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charts/chart40.xml" ContentType="application/vnd.openxmlformats-officedocument.drawingml.chart+xml"/>
  <Override PartName="/word/charts/chart41.xml" ContentType="application/vnd.openxmlformats-officedocument.drawingml.chart+xml"/>
  <Override PartName="/word/charts/chart42.xml" ContentType="application/vnd.openxmlformats-officedocument.drawingml.chart+xml"/>
  <Override PartName="/word/charts/chart43.xml" ContentType="application/vnd.openxmlformats-officedocument.drawingml.chart+xml"/>
  <Override PartName="/word/charts/chart44.xml" ContentType="application/vnd.openxmlformats-officedocument.drawingml.chart+xml"/>
  <Override PartName="/word/charts/chart45.xml" ContentType="application/vnd.openxmlformats-officedocument.drawingml.chart+xml"/>
  <Override PartName="/word/charts/chart46.xml" ContentType="application/vnd.openxmlformats-officedocument.drawingml.chart+xml"/>
  <Override PartName="/word/charts/chart47.xml" ContentType="application/vnd.openxmlformats-officedocument.drawingml.chart+xml"/>
  <Override PartName="/word/charts/chart48.xml" ContentType="application/vnd.openxmlformats-officedocument.drawingml.chart+xml"/>
  <Override PartName="/word/charts/chart49.xml" ContentType="application/vnd.openxmlformats-officedocument.drawingml.chart+xml"/>
  <Override PartName="/word/charts/chart50.xml" ContentType="application/vnd.openxmlformats-officedocument.drawingml.chart+xml"/>
  <Override PartName="/word/charts/chart51.xml" ContentType="application/vnd.openxmlformats-officedocument.drawingml.chart+xml"/>
  <Override PartName="/word/charts/chart52.xml" ContentType="application/vnd.openxmlformats-officedocument.drawingml.chart+xml"/>
  <Override PartName="/word/charts/chart53.xml" ContentType="application/vnd.openxmlformats-officedocument.drawingml.chart+xml"/>
  <Override PartName="/word/charts/chart54.xml" ContentType="application/vnd.openxmlformats-officedocument.drawingml.chart+xml"/>
  <Override PartName="/word/charts/chart55.xml" ContentType="application/vnd.openxmlformats-officedocument.drawingml.chart+xml"/>
  <Override PartName="/word/charts/chart56.xml" ContentType="application/vnd.openxmlformats-officedocument.drawingml.chart+xml"/>
  <Override PartName="/word/charts/chart57.xml" ContentType="application/vnd.openxmlformats-officedocument.drawingml.chart+xml"/>
  <Override PartName="/word/charts/chart58.xml" ContentType="application/vnd.openxmlformats-officedocument.drawingml.chart+xml"/>
  <Override PartName="/word/charts/chart59.xml" ContentType="application/vnd.openxmlformats-officedocument.drawingml.chart+xml"/>
  <Override PartName="/word/charts/chart60.xml" ContentType="application/vnd.openxmlformats-officedocument.drawingml.chart+xml"/>
  <Override PartName="/word/charts/chart61.xml" ContentType="application/vnd.openxmlformats-officedocument.drawingml.chart+xml"/>
  <Override PartName="/word/charts/chart6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GoBack" w:displacedByCustomXml="next"/>
    <w:bookmarkEnd w:id="0" w:displacedByCustomXml="next"/>
    <w:bookmarkStart w:id="1" w:name="_Toc444477629" w:displacedByCustomXml="next"/>
    <w:sdt>
      <w:sdtPr>
        <w:id w:val="-1452774360"/>
        <w:docPartObj>
          <w:docPartGallery w:val="Cover Pages"/>
          <w:docPartUnique/>
        </w:docPartObj>
      </w:sdtPr>
      <w:sdtEndPr>
        <w:rPr>
          <w:sz w:val="36"/>
        </w:rPr>
      </w:sdtEndPr>
      <w:sdtContent>
        <w:p w14:paraId="23D3FCF6" w14:textId="18C31BA7" w:rsidR="00E31A3F" w:rsidRPr="004B184E" w:rsidRDefault="00B75230" w:rsidP="004B184E">
          <w:pPr>
            <w:spacing w:line="240" w:lineRule="auto"/>
          </w:pPr>
          <w:r w:rsidRPr="007A53AB">
            <w:rPr>
              <w:noProof/>
              <w:sz w:val="36"/>
              <w:lang w:val="es-CL" w:eastAsia="es-CL"/>
            </w:rPr>
            <w:drawing>
              <wp:anchor distT="0" distB="0" distL="114300" distR="114300" simplePos="0" relativeHeight="251701248" behindDoc="1" locked="0" layoutInCell="1" allowOverlap="1" wp14:anchorId="010F72FA" wp14:editId="63DB486E">
                <wp:simplePos x="0" y="0"/>
                <wp:positionH relativeFrom="page">
                  <wp:align>left</wp:align>
                </wp:positionH>
                <wp:positionV relativeFrom="paragraph">
                  <wp:posOffset>0</wp:posOffset>
                </wp:positionV>
                <wp:extent cx="8496935" cy="10981055"/>
                <wp:effectExtent l="0" t="0" r="0" b="0"/>
                <wp:wrapSquare wrapText="bothSides"/>
                <wp:docPr id="16" name="Imagen 16" descr="Portada%20Informes%20(maqueta).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rtada%20Informes%20(maqueta).pd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96935" cy="10981055"/>
                        </a:xfrm>
                        <a:prstGeom prst="rect">
                          <a:avLst/>
                        </a:prstGeom>
                        <a:noFill/>
                        <a:ln>
                          <a:noFill/>
                        </a:ln>
                      </pic:spPr>
                    </pic:pic>
                  </a:graphicData>
                </a:graphic>
                <wp14:sizeRelH relativeFrom="page">
                  <wp14:pctWidth>0</wp14:pctWidth>
                </wp14:sizeRelH>
                <wp14:sizeRelV relativeFrom="page">
                  <wp14:pctHeight>0</wp14:pctHeight>
                </wp14:sizeRelV>
              </wp:anchor>
            </w:drawing>
          </w:r>
          <w:r w:rsidR="000A16F7" w:rsidRPr="007A53AB">
            <w:rPr>
              <w:noProof/>
              <w:lang w:val="es-CL" w:eastAsia="es-CL"/>
            </w:rPr>
            <w:drawing>
              <wp:anchor distT="0" distB="0" distL="114300" distR="114300" simplePos="0" relativeHeight="251703296" behindDoc="0" locked="0" layoutInCell="1" allowOverlap="1" wp14:anchorId="7CA6653E" wp14:editId="665F641D">
                <wp:simplePos x="0" y="0"/>
                <wp:positionH relativeFrom="column">
                  <wp:posOffset>-514985</wp:posOffset>
                </wp:positionH>
                <wp:positionV relativeFrom="paragraph">
                  <wp:posOffset>5915025</wp:posOffset>
                </wp:positionV>
                <wp:extent cx="1931670" cy="1196975"/>
                <wp:effectExtent l="0" t="0" r="0" b="0"/>
                <wp:wrapSquare wrapText="bothSides"/>
                <wp:docPr id="17" name="Imagen 17" descr="../../../Downloads/carne%20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s/carne%20copia.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1670" cy="1196975"/>
                        </a:xfrm>
                        <a:prstGeom prst="rect">
                          <a:avLst/>
                        </a:prstGeom>
                        <a:noFill/>
                        <a:ln>
                          <a:noFill/>
                        </a:ln>
                      </pic:spPr>
                    </pic:pic>
                  </a:graphicData>
                </a:graphic>
                <wp14:sizeRelH relativeFrom="page">
                  <wp14:pctWidth>0</wp14:pctWidth>
                </wp14:sizeRelH>
                <wp14:sizeRelV relativeFrom="page">
                  <wp14:pctHeight>0</wp14:pctHeight>
                </wp14:sizeRelV>
              </wp:anchor>
            </w:drawing>
          </w:r>
          <w:r w:rsidR="000A16F7" w:rsidRPr="007A53AB">
            <w:rPr>
              <w:noProof/>
              <w:lang w:val="es-CL" w:eastAsia="es-CL"/>
            </w:rPr>
            <mc:AlternateContent>
              <mc:Choice Requires="wps">
                <w:drawing>
                  <wp:anchor distT="0" distB="0" distL="114300" distR="114300" simplePos="0" relativeHeight="251695104" behindDoc="0" locked="0" layoutInCell="1" allowOverlap="1" wp14:anchorId="1C04E7B6" wp14:editId="1CF73585">
                    <wp:simplePos x="0" y="0"/>
                    <wp:positionH relativeFrom="page">
                      <wp:posOffset>1605280</wp:posOffset>
                    </wp:positionH>
                    <wp:positionV relativeFrom="page">
                      <wp:posOffset>3905250</wp:posOffset>
                    </wp:positionV>
                    <wp:extent cx="5753100" cy="3253105"/>
                    <wp:effectExtent l="0" t="0" r="10160" b="4445"/>
                    <wp:wrapSquare wrapText="bothSides"/>
                    <wp:docPr id="113" name="Cuadro de texto 113"/>
                    <wp:cNvGraphicFramePr/>
                    <a:graphic xmlns:a="http://schemas.openxmlformats.org/drawingml/2006/main">
                      <a:graphicData uri="http://schemas.microsoft.com/office/word/2010/wordprocessingShape">
                        <wps:wsp>
                          <wps:cNvSpPr txBox="1"/>
                          <wps:spPr>
                            <a:xfrm>
                              <a:off x="0" y="0"/>
                              <a:ext cx="5753100" cy="32531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6EDC1E" w14:textId="102299B7" w:rsidR="008317B9" w:rsidRPr="005E1B54" w:rsidRDefault="008317B9">
                                <w:pPr>
                                  <w:pStyle w:val="Sinespaciado"/>
                                  <w:jc w:val="right"/>
                                  <w:rPr>
                                    <w:rFonts w:ascii="Titillium Bd" w:hAnsi="Titillium Bd"/>
                                    <w:b/>
                                    <w:bCs/>
                                    <w:smallCaps/>
                                    <w:color w:val="FFFFFF" w:themeColor="background1"/>
                                    <w:sz w:val="180"/>
                                    <w:szCs w:val="36"/>
                                  </w:rPr>
                                </w:pPr>
                                <w:r w:rsidRPr="00E44CFE">
                                  <w:rPr>
                                    <w:rFonts w:ascii="Titillium Bd" w:hAnsi="Titillium Bd" w:cs="Times New Roman"/>
                                    <w:b/>
                                    <w:bCs/>
                                    <w:color w:val="0070C0"/>
                                    <w:sz w:val="72"/>
                                    <w:szCs w:val="72"/>
                                  </w:rPr>
                                  <w:t>Diagnóstico de Producción Limpia en Plantas de Proceso de la Industria de Los Mitílidos</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13" o:spid="_x0000_s1026" type="#_x0000_t202" style="position:absolute;margin-left:126.4pt;margin-top:307.5pt;width:453pt;height:256.15pt;z-index:251695104;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" filled="f" stroked="f" strokeweight=".5pt">
                    <v:textbox inset="0,0,0,0">
                      <w:txbxContent>
                        <w:p w14:paraId="7D6EDC1E" w14:textId="102299B7" w:rsidR="00E31A3F" w:rsidRPr="005E1B54" w:rsidRDefault="00E31A3F">
                          <w:pPr>
                            <w:pStyle w:val="Sinespaciado"/>
                            <w:jc w:val="right"/>
                            <w:rPr>
                              <w:rFonts w:ascii="Titillium Bd" w:hAnsi="Titillium Bd"/>
                              <w:b/>
                              <w:bCs/>
                              <w:smallCaps/>
                              <w:color w:val="FFFFFF" w:themeColor="background1"/>
                              <w:sz w:val="180"/>
                              <w:szCs w:val="36"/>
                            </w:rPr>
                          </w:pPr>
                          <w:r w:rsidRPr="00E44CFE">
                            <w:rPr>
                              <w:rFonts w:ascii="Titillium Bd" w:hAnsi="Titillium Bd" w:cs="Times New Roman"/>
                              <w:b/>
                              <w:bCs/>
                              <w:color w:val="0070C0"/>
                              <w:sz w:val="72"/>
                              <w:szCs w:val="72"/>
                            </w:rPr>
                            <w:t>Diagnóstico de Producción Limpia en Plantas de Proceso de la Industria de Los Mitílidos</w:t>
                          </w:r>
                        </w:p>
                      </w:txbxContent>
                    </v:textbox>
                    <w10:wrap type="square" anchorx="page" anchory="page"/>
                  </v:shape>
                </w:pict>
              </mc:Fallback>
            </mc:AlternateContent>
          </w:r>
          <w:r w:rsidR="001A208D" w:rsidRPr="007A53AB">
            <w:rPr>
              <w:noProof/>
              <w:lang w:val="es-CL" w:eastAsia="es-CL"/>
            </w:rPr>
            <w:drawing>
              <wp:anchor distT="0" distB="0" distL="114300" distR="114300" simplePos="0" relativeHeight="251699200" behindDoc="0" locked="0" layoutInCell="1" allowOverlap="1" wp14:anchorId="06EBFC6B" wp14:editId="3D557321">
                <wp:simplePos x="0" y="0"/>
                <wp:positionH relativeFrom="column">
                  <wp:posOffset>2193925</wp:posOffset>
                </wp:positionH>
                <wp:positionV relativeFrom="paragraph">
                  <wp:posOffset>-160020</wp:posOffset>
                </wp:positionV>
                <wp:extent cx="1040765" cy="547370"/>
                <wp:effectExtent l="0" t="0" r="6985" b="5080"/>
                <wp:wrapSquare wrapText="bothSides"/>
                <wp:docPr id="23" name="Imagen 23" descr="Descripción: Descripción: Descripción: C:\Users\YohanaElizabeth\Pictures\LOGO AmiChile 2014\LOGO PAPELERIA AMICH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ción: Descripción: Descripción: C:\Users\YohanaElizabeth\Pictures\LOGO AmiChile 2014\LOGO PAPELERIA AMICHIL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40765" cy="547370"/>
                        </a:xfrm>
                        <a:prstGeom prst="rect">
                          <a:avLst/>
                        </a:prstGeom>
                        <a:noFill/>
                        <a:ln>
                          <a:noFill/>
                        </a:ln>
                      </pic:spPr>
                    </pic:pic>
                  </a:graphicData>
                </a:graphic>
                <wp14:sizeRelH relativeFrom="page">
                  <wp14:pctWidth>0</wp14:pctWidth>
                </wp14:sizeRelH>
                <wp14:sizeRelV relativeFrom="page">
                  <wp14:pctHeight>0</wp14:pctHeight>
                </wp14:sizeRelV>
              </wp:anchor>
            </w:drawing>
          </w:r>
          <w:r w:rsidR="001A208D" w:rsidRPr="007A53AB">
            <w:rPr>
              <w:rFonts w:eastAsia="Arial Unicode MS"/>
              <w:noProof/>
              <w:lang w:val="es-CL" w:eastAsia="es-CL"/>
            </w:rPr>
            <w:drawing>
              <wp:anchor distT="0" distB="0" distL="114300" distR="114300" simplePos="0" relativeHeight="251702272" behindDoc="1" locked="0" layoutInCell="1" allowOverlap="1" wp14:anchorId="51DC385B" wp14:editId="2FBFA7FF">
                <wp:simplePos x="0" y="0"/>
                <wp:positionH relativeFrom="column">
                  <wp:posOffset>4467860</wp:posOffset>
                </wp:positionH>
                <wp:positionV relativeFrom="paragraph">
                  <wp:posOffset>-149225</wp:posOffset>
                </wp:positionV>
                <wp:extent cx="1492885" cy="429260"/>
                <wp:effectExtent l="0" t="0" r="0" b="889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PL.jpg"/>
                        <pic:cNvPicPr/>
                      </pic:nvPicPr>
                      <pic:blipFill rotWithShape="1">
                        <a:blip r:embed="rId13">
                          <a:extLst>
                            <a:ext uri="{28A0092B-C50C-407E-A947-70E740481C1C}">
                              <a14:useLocalDpi xmlns:a14="http://schemas.microsoft.com/office/drawing/2010/main" val="0"/>
                            </a:ext>
                          </a:extLst>
                        </a:blip>
                        <a:srcRect l="58022" t="18823" r="1193"/>
                        <a:stretch/>
                      </pic:blipFill>
                      <pic:spPr bwMode="auto">
                        <a:xfrm>
                          <a:off x="0" y="0"/>
                          <a:ext cx="1492885" cy="4292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A208D" w:rsidRPr="007A53AB">
            <w:rPr>
              <w:noProof/>
              <w:lang w:val="es-CL" w:eastAsia="es-CL"/>
            </w:rPr>
            <mc:AlternateContent>
              <mc:Choice Requires="wps">
                <w:drawing>
                  <wp:anchor distT="0" distB="0" distL="114300" distR="114300" simplePos="0" relativeHeight="251696128" behindDoc="0" locked="0" layoutInCell="1" allowOverlap="1" wp14:anchorId="7A562EEA" wp14:editId="318025E8">
                    <wp:simplePos x="0" y="0"/>
                    <wp:positionH relativeFrom="page">
                      <wp:posOffset>215900</wp:posOffset>
                    </wp:positionH>
                    <wp:positionV relativeFrom="page">
                      <wp:posOffset>8846185</wp:posOffset>
                    </wp:positionV>
                    <wp:extent cx="6960870" cy="652780"/>
                    <wp:effectExtent l="0" t="0" r="11430" b="13970"/>
                    <wp:wrapSquare wrapText="bothSides"/>
                    <wp:docPr id="112" name="Cuadro de texto 112"/>
                    <wp:cNvGraphicFramePr/>
                    <a:graphic xmlns:a="http://schemas.openxmlformats.org/drawingml/2006/main">
                      <a:graphicData uri="http://schemas.microsoft.com/office/word/2010/wordprocessingShape">
                        <wps:wsp>
                          <wps:cNvSpPr txBox="1"/>
                          <wps:spPr>
                            <a:xfrm>
                              <a:off x="0" y="0"/>
                              <a:ext cx="696087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5E7F43" w14:textId="77777777" w:rsidR="008317B9" w:rsidRPr="000A16F7" w:rsidRDefault="008317B9">
                                <w:pPr>
                                  <w:pStyle w:val="Sinespaciado"/>
                                  <w:jc w:val="right"/>
                                  <w:rPr>
                                    <w:b/>
                                    <w:bCs/>
                                    <w:color w:val="0070C0"/>
                                    <w:sz w:val="40"/>
                                    <w:szCs w:val="40"/>
                                  </w:rPr>
                                </w:pPr>
                                <w:r w:rsidRPr="000A16F7">
                                  <w:rPr>
                                    <w:b/>
                                    <w:bCs/>
                                    <w:color w:val="0070C0"/>
                                    <w:sz w:val="40"/>
                                    <w:szCs w:val="40"/>
                                  </w:rPr>
                                  <w:t>Elaborado por</w:t>
                                </w:r>
                              </w:p>
                              <w:p w14:paraId="1A725A52" w14:textId="390B994B" w:rsidR="008317B9" w:rsidRPr="000A16F7" w:rsidRDefault="008317B9">
                                <w:pPr>
                                  <w:pStyle w:val="Sinespaciado"/>
                                  <w:jc w:val="right"/>
                                  <w:rPr>
                                    <w:caps/>
                                    <w:color w:val="0070C0"/>
                                    <w:sz w:val="40"/>
                                    <w:szCs w:val="40"/>
                                  </w:rPr>
                                </w:pPr>
                                <w:r w:rsidRPr="000A16F7">
                                  <w:rPr>
                                    <w:rFonts w:ascii="Titillium Light" w:hAnsi="Titillium Light"/>
                                    <w:color w:val="0070C0"/>
                                    <w:sz w:val="40"/>
                                    <w:szCs w:val="40"/>
                                  </w:rPr>
                                  <w:t xml:space="preserve"> </w:t>
                                </w:r>
                                <w:sdt>
                                  <w:sdtPr>
                                    <w:rPr>
                                      <w:rFonts w:ascii="Titillium Light" w:hAnsi="Titillium Light"/>
                                      <w:color w:val="0070C0"/>
                                      <w:sz w:val="40"/>
                                      <w:szCs w:val="40"/>
                                    </w:rPr>
                                    <w:alias w:val="Dirección"/>
                                    <w:tag w:val=""/>
                                    <w:id w:val="1935852694"/>
                                    <w:dataBinding w:prefixMappings="xmlns:ns0='http://schemas.microsoft.com/office/2006/coverPageProps' " w:xpath="/ns0:CoverPageProperties[1]/ns0:CompanyAddress[1]" w:storeItemID="{55AF091B-3C7A-41E3-B477-F2FDAA23CFDA}"/>
                                    <w:text/>
                                  </w:sdtPr>
                                  <w:sdtEndPr>
                                    <w:rPr>
                                      <w:rFonts w:eastAsiaTheme="minorEastAsia"/>
                                    </w:rPr>
                                  </w:sdtEndPr>
                                  <w:sdtContent>
                                    <w:r w:rsidRPr="000A16F7">
                                      <w:rPr>
                                        <w:rFonts w:ascii="Titillium Light" w:hAnsi="Titillium Light"/>
                                        <w:color w:val="0070C0"/>
                                        <w:sz w:val="40"/>
                                        <w:szCs w:val="40"/>
                                      </w:rPr>
                                      <w:t xml:space="preserve">Ivonne Cartes, </w:t>
                                    </w:r>
                                  </w:sdtContent>
                                </w:sdt>
                                <w:r w:rsidRPr="000A16F7">
                                  <w:rPr>
                                    <w:rFonts w:ascii="Titillium Light" w:hAnsi="Titillium Light"/>
                                    <w:color w:val="0070C0"/>
                                    <w:sz w:val="40"/>
                                    <w:szCs w:val="40"/>
                                  </w:rPr>
                                  <w:t>Yohana González</w:t>
                                </w:r>
                              </w:p>
                              <w:p w14:paraId="2FFFA932" w14:textId="71E01ED5" w:rsidR="008317B9" w:rsidRPr="000A16F7" w:rsidRDefault="008317B9">
                                <w:pPr>
                                  <w:pStyle w:val="Sinespaciado"/>
                                  <w:jc w:val="right"/>
                                  <w:rPr>
                                    <w:caps/>
                                    <w:color w:val="0070C0"/>
                                    <w:sz w:val="20"/>
                                    <w:szCs w:val="20"/>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Cuadro de texto 112" o:spid="_x0000_s1027" type="#_x0000_t202" style="position:absolute;margin-left:17pt;margin-top:696.55pt;width:548.1pt;height:51.4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" filled="f" stroked="f" strokeweight=".5pt">
                    <v:textbox inset="0,0,0,0">
                      <w:txbxContent>
                        <w:p w14:paraId="385E7F43" w14:textId="77777777" w:rsidR="00E31A3F" w:rsidRPr="000A16F7" w:rsidRDefault="00E31A3F">
                          <w:pPr>
                            <w:pStyle w:val="Sinespaciado"/>
                            <w:jc w:val="right"/>
                            <w:rPr>
                              <w:b/>
                              <w:bCs/>
                              <w:color w:val="0070C0"/>
                              <w:sz w:val="40"/>
                              <w:szCs w:val="40"/>
                            </w:rPr>
                          </w:pPr>
                          <w:r w:rsidRPr="000A16F7">
                            <w:rPr>
                              <w:b/>
                              <w:bCs/>
                              <w:color w:val="0070C0"/>
                              <w:sz w:val="40"/>
                              <w:szCs w:val="40"/>
                            </w:rPr>
                            <w:t>Elaborado por</w:t>
                          </w:r>
                        </w:p>
                        <w:p w14:paraId="1A725A52" w14:textId="390B994B" w:rsidR="00E31A3F" w:rsidRPr="000A16F7" w:rsidRDefault="00E31A3F">
                          <w:pPr>
                            <w:pStyle w:val="Sinespaciado"/>
                            <w:jc w:val="right"/>
                            <w:rPr>
                              <w:caps/>
                              <w:color w:val="0070C0"/>
                              <w:sz w:val="40"/>
                              <w:szCs w:val="40"/>
                            </w:rPr>
                          </w:pPr>
                          <w:r w:rsidRPr="000A16F7">
                            <w:rPr>
                              <w:rFonts w:ascii="Titillium Light" w:hAnsi="Titillium Light"/>
                              <w:color w:val="0070C0"/>
                              <w:sz w:val="40"/>
                              <w:szCs w:val="40"/>
                            </w:rPr>
                            <w:t xml:space="preserve"> </w:t>
                          </w:r>
                          <w:sdt>
                            <w:sdtPr>
                              <w:rPr>
                                <w:rFonts w:ascii="Titillium Light" w:hAnsi="Titillium Light"/>
                                <w:color w:val="0070C0"/>
                                <w:sz w:val="40"/>
                                <w:szCs w:val="40"/>
                              </w:rPr>
                              <w:alias w:val="Dirección"/>
                              <w:tag w:val=""/>
                              <w:id w:val="1935852694"/>
                              <w:dataBinding w:prefixMappings="xmlns:ns0='http://schemas.microsoft.com/office/2006/coverPageProps' " w:xpath="/ns0:CoverPageProperties[1]/ns0:CompanyAddress[1]" w:storeItemID="{55AF091B-3C7A-41E3-B477-F2FDAA23CFDA}"/>
                              <w:text/>
                            </w:sdtPr>
                            <w:sdtEndPr>
                              <w:rPr>
                                <w:rFonts w:eastAsiaTheme="minorEastAsia"/>
                              </w:rPr>
                            </w:sdtEndPr>
                            <w:sdtContent>
                              <w:r w:rsidRPr="000A16F7">
                                <w:rPr>
                                  <w:rFonts w:ascii="Titillium Light" w:hAnsi="Titillium Light"/>
                                  <w:color w:val="0070C0"/>
                                  <w:sz w:val="40"/>
                                  <w:szCs w:val="40"/>
                                </w:rPr>
                                <w:t xml:space="preserve">Ivonne Cartes, </w:t>
                              </w:r>
                            </w:sdtContent>
                          </w:sdt>
                          <w:r w:rsidRPr="000A16F7">
                            <w:rPr>
                              <w:rFonts w:ascii="Titillium Light" w:hAnsi="Titillium Light"/>
                              <w:color w:val="0070C0"/>
                              <w:sz w:val="40"/>
                              <w:szCs w:val="40"/>
                            </w:rPr>
                            <w:t>Yohana González</w:t>
                          </w:r>
                        </w:p>
                        <w:p w14:paraId="2FFFA932" w14:textId="71E01ED5" w:rsidR="00E31A3F" w:rsidRPr="000A16F7" w:rsidRDefault="00E31A3F">
                          <w:pPr>
                            <w:pStyle w:val="Sinespaciado"/>
                            <w:jc w:val="right"/>
                            <w:rPr>
                              <w:caps/>
                              <w:color w:val="0070C0"/>
                              <w:sz w:val="20"/>
                              <w:szCs w:val="20"/>
                            </w:rPr>
                          </w:pPr>
                        </w:p>
                      </w:txbxContent>
                    </v:textbox>
                    <w10:wrap type="square" anchorx="page" anchory="page"/>
                  </v:shape>
                </w:pict>
              </mc:Fallback>
            </mc:AlternateContent>
          </w:r>
        </w:p>
      </w:sdtContent>
    </w:sdt>
    <w:sdt>
      <w:sdtPr>
        <w:id w:val="-577373478"/>
        <w:docPartObj>
          <w:docPartGallery w:val="Table of Contents"/>
          <w:docPartUnique/>
        </w:docPartObj>
      </w:sdtPr>
      <w:sdtEndPr>
        <w:rPr>
          <w:b/>
          <w:bCs/>
        </w:rPr>
      </w:sdtEndPr>
      <w:sdtContent>
        <w:p w14:paraId="202DD5FE" w14:textId="0B6B060E" w:rsidR="00E31A3F" w:rsidRDefault="00E31A3F" w:rsidP="00E31A3F">
          <w:pPr>
            <w:spacing w:line="240" w:lineRule="auto"/>
          </w:pPr>
          <w:r>
            <w:t>Contenido</w:t>
          </w:r>
        </w:p>
        <w:p w14:paraId="003136AC" w14:textId="77777777" w:rsidR="00D276F2" w:rsidRPr="00D276F2" w:rsidRDefault="00E31A3F">
          <w:pPr>
            <w:pStyle w:val="TDC2"/>
            <w:rPr>
              <w:rFonts w:ascii="Arial" w:eastAsiaTheme="minorEastAsia" w:hAnsi="Arial" w:cs="Arial"/>
              <w:noProof/>
              <w:lang w:eastAsia="es-CL"/>
            </w:rPr>
          </w:pPr>
          <w:r>
            <w:fldChar w:fldCharType="begin"/>
          </w:r>
          <w:r>
            <w:instrText xml:space="preserve"> TOC \o "1-3" \h \z \u </w:instrText>
          </w:r>
          <w:r>
            <w:fldChar w:fldCharType="separate"/>
          </w:r>
          <w:hyperlink w:anchor="_Toc471999109" w:history="1">
            <w:r w:rsidR="00D276F2" w:rsidRPr="00D276F2">
              <w:rPr>
                <w:rStyle w:val="Hipervnculo"/>
                <w:rFonts w:ascii="Arial" w:hAnsi="Arial" w:cs="Arial"/>
                <w:noProof/>
              </w:rPr>
              <w:t>Alcance</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_Toc471999109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3</w:t>
            </w:r>
            <w:r w:rsidR="00D276F2" w:rsidRPr="00D276F2">
              <w:rPr>
                <w:rFonts w:ascii="Arial" w:hAnsi="Arial" w:cs="Arial"/>
                <w:noProof/>
                <w:webHidden/>
              </w:rPr>
              <w:fldChar w:fldCharType="end"/>
            </w:r>
          </w:hyperlink>
        </w:p>
        <w:p w14:paraId="7B0B035A" w14:textId="77777777" w:rsidR="00D276F2" w:rsidRPr="00D276F2" w:rsidRDefault="008317B9">
          <w:pPr>
            <w:pStyle w:val="TDC2"/>
            <w:rPr>
              <w:rFonts w:ascii="Arial" w:eastAsiaTheme="minorEastAsia" w:hAnsi="Arial" w:cs="Arial"/>
              <w:noProof/>
              <w:lang w:eastAsia="es-CL"/>
            </w:rPr>
          </w:pPr>
          <w:hyperlink w:anchor="_Toc471999110" w:history="1">
            <w:r w:rsidR="00D276F2" w:rsidRPr="00D276F2">
              <w:rPr>
                <w:rStyle w:val="Hipervnculo"/>
                <w:rFonts w:ascii="Arial" w:hAnsi="Arial" w:cs="Arial"/>
                <w:noProof/>
                <w:lang w:eastAsia="es-CL"/>
              </w:rPr>
              <w:t>Representatividad de la muestra e información productiva general</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_Toc471999110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4</w:t>
            </w:r>
            <w:r w:rsidR="00D276F2" w:rsidRPr="00D276F2">
              <w:rPr>
                <w:rFonts w:ascii="Arial" w:hAnsi="Arial" w:cs="Arial"/>
                <w:noProof/>
                <w:webHidden/>
              </w:rPr>
              <w:fldChar w:fldCharType="end"/>
            </w:r>
          </w:hyperlink>
        </w:p>
        <w:p w14:paraId="708C8D9A" w14:textId="77777777" w:rsidR="00D276F2" w:rsidRPr="00D276F2" w:rsidRDefault="008317B9">
          <w:pPr>
            <w:pStyle w:val="TDC2"/>
            <w:rPr>
              <w:rFonts w:ascii="Arial" w:eastAsiaTheme="minorEastAsia" w:hAnsi="Arial" w:cs="Arial"/>
              <w:noProof/>
              <w:lang w:eastAsia="es-CL"/>
            </w:rPr>
          </w:pPr>
          <w:hyperlink w:anchor="_Toc471999111" w:history="1">
            <w:r w:rsidR="00D276F2" w:rsidRPr="00D276F2">
              <w:rPr>
                <w:rStyle w:val="Hipervnculo"/>
                <w:rFonts w:ascii="Arial" w:hAnsi="Arial" w:cs="Arial"/>
                <w:noProof/>
                <w:lang w:eastAsia="es-CL"/>
              </w:rPr>
              <w:t>Fuerza laboral</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_Toc471999111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5</w:t>
            </w:r>
            <w:r w:rsidR="00D276F2" w:rsidRPr="00D276F2">
              <w:rPr>
                <w:rFonts w:ascii="Arial" w:hAnsi="Arial" w:cs="Arial"/>
                <w:noProof/>
                <w:webHidden/>
              </w:rPr>
              <w:fldChar w:fldCharType="end"/>
            </w:r>
          </w:hyperlink>
        </w:p>
        <w:p w14:paraId="5B214966" w14:textId="77777777" w:rsidR="00D276F2" w:rsidRPr="00D276F2" w:rsidRDefault="008317B9">
          <w:pPr>
            <w:pStyle w:val="TDC2"/>
            <w:rPr>
              <w:rFonts w:ascii="Arial" w:eastAsiaTheme="minorEastAsia" w:hAnsi="Arial" w:cs="Arial"/>
              <w:noProof/>
              <w:lang w:eastAsia="es-CL"/>
            </w:rPr>
          </w:pPr>
          <w:hyperlink w:anchor="_Toc471999112" w:history="1">
            <w:r w:rsidR="00D276F2" w:rsidRPr="00D276F2">
              <w:rPr>
                <w:rStyle w:val="Hipervnculo"/>
                <w:rFonts w:ascii="Arial" w:hAnsi="Arial" w:cs="Arial"/>
                <w:noProof/>
                <w:lang w:eastAsia="es-CL"/>
              </w:rPr>
              <w:t>Materias Primas e Insumos</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_Toc471999112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9</w:t>
            </w:r>
            <w:r w:rsidR="00D276F2" w:rsidRPr="00D276F2">
              <w:rPr>
                <w:rFonts w:ascii="Arial" w:hAnsi="Arial" w:cs="Arial"/>
                <w:noProof/>
                <w:webHidden/>
              </w:rPr>
              <w:fldChar w:fldCharType="end"/>
            </w:r>
          </w:hyperlink>
        </w:p>
        <w:p w14:paraId="2709C305" w14:textId="77777777" w:rsidR="00D276F2" w:rsidRPr="00D276F2" w:rsidRDefault="008317B9">
          <w:pPr>
            <w:pStyle w:val="TDC2"/>
            <w:rPr>
              <w:rFonts w:ascii="Arial" w:eastAsiaTheme="minorEastAsia" w:hAnsi="Arial" w:cs="Arial"/>
              <w:noProof/>
              <w:lang w:eastAsia="es-CL"/>
            </w:rPr>
          </w:pPr>
          <w:hyperlink w:anchor="_Toc471999113" w:history="1">
            <w:r w:rsidR="00D276F2" w:rsidRPr="00D276F2">
              <w:rPr>
                <w:rStyle w:val="Hipervnculo"/>
                <w:rFonts w:ascii="Arial" w:hAnsi="Arial" w:cs="Arial"/>
                <w:noProof/>
                <w:lang w:eastAsia="es-CL"/>
              </w:rPr>
              <w:t>Consumos de Agua</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_Toc471999113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11</w:t>
            </w:r>
            <w:r w:rsidR="00D276F2" w:rsidRPr="00D276F2">
              <w:rPr>
                <w:rFonts w:ascii="Arial" w:hAnsi="Arial" w:cs="Arial"/>
                <w:noProof/>
                <w:webHidden/>
              </w:rPr>
              <w:fldChar w:fldCharType="end"/>
            </w:r>
          </w:hyperlink>
        </w:p>
        <w:p w14:paraId="3C8B5F0C" w14:textId="77777777" w:rsidR="00D276F2" w:rsidRPr="00D276F2" w:rsidRDefault="008317B9">
          <w:pPr>
            <w:pStyle w:val="TDC2"/>
            <w:rPr>
              <w:rFonts w:ascii="Arial" w:eastAsiaTheme="minorEastAsia" w:hAnsi="Arial" w:cs="Arial"/>
              <w:noProof/>
              <w:lang w:eastAsia="es-CL"/>
            </w:rPr>
          </w:pPr>
          <w:hyperlink w:anchor="_Toc471999114" w:history="1">
            <w:r w:rsidR="00D276F2" w:rsidRPr="00D276F2">
              <w:rPr>
                <w:rStyle w:val="Hipervnculo"/>
                <w:rFonts w:ascii="Arial" w:hAnsi="Arial" w:cs="Arial"/>
                <w:noProof/>
                <w:lang w:eastAsia="es-CL"/>
              </w:rPr>
              <w:t>Uso de Energía y Combustibles</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_Toc471999114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12</w:t>
            </w:r>
            <w:r w:rsidR="00D276F2" w:rsidRPr="00D276F2">
              <w:rPr>
                <w:rFonts w:ascii="Arial" w:hAnsi="Arial" w:cs="Arial"/>
                <w:noProof/>
                <w:webHidden/>
              </w:rPr>
              <w:fldChar w:fldCharType="end"/>
            </w:r>
          </w:hyperlink>
        </w:p>
        <w:p w14:paraId="49CA2D18" w14:textId="77777777" w:rsidR="00D276F2" w:rsidRPr="00D276F2" w:rsidRDefault="008317B9">
          <w:pPr>
            <w:pStyle w:val="TDC2"/>
            <w:rPr>
              <w:rFonts w:ascii="Arial" w:eastAsiaTheme="minorEastAsia" w:hAnsi="Arial" w:cs="Arial"/>
              <w:noProof/>
              <w:lang w:eastAsia="es-CL"/>
            </w:rPr>
          </w:pPr>
          <w:hyperlink w:anchor="_Toc471999115" w:history="1">
            <w:r w:rsidR="00D276F2" w:rsidRPr="00D276F2">
              <w:rPr>
                <w:rStyle w:val="Hipervnculo"/>
                <w:rFonts w:ascii="Arial" w:hAnsi="Arial" w:cs="Arial"/>
                <w:noProof/>
                <w:lang w:eastAsia="es-CL"/>
              </w:rPr>
              <w:t>Consumo de Energía Eléctrica</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_Toc471999115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14</w:t>
            </w:r>
            <w:r w:rsidR="00D276F2" w:rsidRPr="00D276F2">
              <w:rPr>
                <w:rFonts w:ascii="Arial" w:hAnsi="Arial" w:cs="Arial"/>
                <w:noProof/>
                <w:webHidden/>
              </w:rPr>
              <w:fldChar w:fldCharType="end"/>
            </w:r>
          </w:hyperlink>
        </w:p>
        <w:p w14:paraId="6C30D479" w14:textId="77777777" w:rsidR="00D276F2" w:rsidRPr="00D276F2" w:rsidRDefault="008317B9">
          <w:pPr>
            <w:pStyle w:val="TDC2"/>
            <w:rPr>
              <w:rFonts w:ascii="Arial" w:eastAsiaTheme="minorEastAsia" w:hAnsi="Arial" w:cs="Arial"/>
              <w:noProof/>
              <w:lang w:eastAsia="es-CL"/>
            </w:rPr>
          </w:pPr>
          <w:hyperlink w:anchor="_Toc471999116" w:history="1">
            <w:r w:rsidR="00D276F2" w:rsidRPr="00D276F2">
              <w:rPr>
                <w:rStyle w:val="Hipervnculo"/>
                <w:rFonts w:ascii="Arial" w:hAnsi="Arial" w:cs="Arial"/>
                <w:noProof/>
                <w:lang w:eastAsia="es-CL"/>
              </w:rPr>
              <w:t>Consumo de Combustibles</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_Toc471999116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15</w:t>
            </w:r>
            <w:r w:rsidR="00D276F2" w:rsidRPr="00D276F2">
              <w:rPr>
                <w:rFonts w:ascii="Arial" w:hAnsi="Arial" w:cs="Arial"/>
                <w:noProof/>
                <w:webHidden/>
              </w:rPr>
              <w:fldChar w:fldCharType="end"/>
            </w:r>
          </w:hyperlink>
        </w:p>
        <w:p w14:paraId="28540F3C" w14:textId="77777777" w:rsidR="00D276F2" w:rsidRPr="00D276F2" w:rsidRDefault="008317B9">
          <w:pPr>
            <w:pStyle w:val="TDC2"/>
            <w:rPr>
              <w:rFonts w:ascii="Arial" w:eastAsiaTheme="minorEastAsia" w:hAnsi="Arial" w:cs="Arial"/>
              <w:noProof/>
              <w:lang w:eastAsia="es-CL"/>
            </w:rPr>
          </w:pPr>
          <w:hyperlink w:anchor="_Toc471999117" w:history="1">
            <w:r w:rsidR="00D276F2" w:rsidRPr="00D276F2">
              <w:rPr>
                <w:rStyle w:val="Hipervnculo"/>
                <w:rFonts w:ascii="Arial" w:hAnsi="Arial" w:cs="Arial"/>
                <w:noProof/>
                <w:lang w:eastAsia="es-CL"/>
              </w:rPr>
              <w:t>Bodegas o sitios de almacenamiento</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_Toc471999117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17</w:t>
            </w:r>
            <w:r w:rsidR="00D276F2" w:rsidRPr="00D276F2">
              <w:rPr>
                <w:rFonts w:ascii="Arial" w:hAnsi="Arial" w:cs="Arial"/>
                <w:noProof/>
                <w:webHidden/>
              </w:rPr>
              <w:fldChar w:fldCharType="end"/>
            </w:r>
          </w:hyperlink>
        </w:p>
        <w:p w14:paraId="3BD92C37" w14:textId="77777777" w:rsidR="00D276F2" w:rsidRPr="00D276F2" w:rsidRDefault="008317B9">
          <w:pPr>
            <w:pStyle w:val="TDC2"/>
            <w:rPr>
              <w:rFonts w:ascii="Arial" w:eastAsiaTheme="minorEastAsia" w:hAnsi="Arial" w:cs="Arial"/>
              <w:noProof/>
              <w:lang w:eastAsia="es-CL"/>
            </w:rPr>
          </w:pPr>
          <w:hyperlink w:anchor="_Toc471999118" w:history="1">
            <w:r w:rsidR="00D276F2" w:rsidRPr="00D276F2">
              <w:rPr>
                <w:rStyle w:val="Hipervnculo"/>
                <w:rFonts w:ascii="Arial" w:hAnsi="Arial" w:cs="Arial"/>
                <w:noProof/>
                <w:lang w:eastAsia="es-CL"/>
              </w:rPr>
              <w:t>Residuos</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_Toc471999118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19</w:t>
            </w:r>
            <w:r w:rsidR="00D276F2" w:rsidRPr="00D276F2">
              <w:rPr>
                <w:rFonts w:ascii="Arial" w:hAnsi="Arial" w:cs="Arial"/>
                <w:noProof/>
                <w:webHidden/>
              </w:rPr>
              <w:fldChar w:fldCharType="end"/>
            </w:r>
          </w:hyperlink>
        </w:p>
        <w:p w14:paraId="15821565" w14:textId="77777777" w:rsidR="00D276F2" w:rsidRPr="00D276F2" w:rsidRDefault="008317B9">
          <w:pPr>
            <w:pStyle w:val="TDC2"/>
            <w:rPr>
              <w:rFonts w:ascii="Arial" w:eastAsiaTheme="minorEastAsia" w:hAnsi="Arial" w:cs="Arial"/>
              <w:noProof/>
              <w:lang w:eastAsia="es-CL"/>
            </w:rPr>
          </w:pPr>
          <w:hyperlink w:anchor="_Toc471999119" w:history="1">
            <w:r w:rsidR="00D276F2" w:rsidRPr="00D276F2">
              <w:rPr>
                <w:rStyle w:val="Hipervnculo"/>
                <w:rFonts w:ascii="Arial" w:hAnsi="Arial" w:cs="Arial"/>
                <w:noProof/>
                <w:lang w:eastAsia="es-CL"/>
              </w:rPr>
              <w:t>Residuos Industriales Líquidos (Riles)</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_Toc471999119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21</w:t>
            </w:r>
            <w:r w:rsidR="00D276F2" w:rsidRPr="00D276F2">
              <w:rPr>
                <w:rFonts w:ascii="Arial" w:hAnsi="Arial" w:cs="Arial"/>
                <w:noProof/>
                <w:webHidden/>
              </w:rPr>
              <w:fldChar w:fldCharType="end"/>
            </w:r>
          </w:hyperlink>
        </w:p>
        <w:p w14:paraId="3A7B8E3F" w14:textId="77777777" w:rsidR="00D276F2" w:rsidRPr="00D276F2" w:rsidRDefault="008317B9">
          <w:pPr>
            <w:pStyle w:val="TDC2"/>
            <w:rPr>
              <w:rFonts w:ascii="Arial" w:eastAsiaTheme="minorEastAsia" w:hAnsi="Arial" w:cs="Arial"/>
              <w:noProof/>
              <w:lang w:eastAsia="es-CL"/>
            </w:rPr>
          </w:pPr>
          <w:hyperlink w:anchor="_Toc471999120" w:history="1">
            <w:r w:rsidR="00D276F2" w:rsidRPr="00D276F2">
              <w:rPr>
                <w:rStyle w:val="Hipervnculo"/>
                <w:rFonts w:ascii="Arial" w:hAnsi="Arial" w:cs="Arial"/>
                <w:noProof/>
                <w:lang w:eastAsia="es-CL"/>
              </w:rPr>
              <w:t>Residuos Sólidos</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_Toc471999120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21</w:t>
            </w:r>
            <w:r w:rsidR="00D276F2" w:rsidRPr="00D276F2">
              <w:rPr>
                <w:rFonts w:ascii="Arial" w:hAnsi="Arial" w:cs="Arial"/>
                <w:noProof/>
                <w:webHidden/>
              </w:rPr>
              <w:fldChar w:fldCharType="end"/>
            </w:r>
          </w:hyperlink>
        </w:p>
        <w:p w14:paraId="310CD676" w14:textId="77777777" w:rsidR="00D276F2" w:rsidRPr="00D276F2" w:rsidRDefault="008317B9" w:rsidP="00D276F2">
          <w:pPr>
            <w:pStyle w:val="TDC3"/>
            <w:rPr>
              <w:rFonts w:eastAsiaTheme="minorEastAsia"/>
              <w:sz w:val="22"/>
              <w:lang w:val="es-CL" w:eastAsia="es-CL"/>
            </w:rPr>
          </w:pPr>
          <w:hyperlink w:anchor="_Toc471999121" w:history="1">
            <w:r w:rsidR="00D276F2" w:rsidRPr="00D276F2">
              <w:rPr>
                <w:rStyle w:val="Hipervnculo"/>
                <w:color w:val="auto"/>
              </w:rPr>
              <w:t>Cabos y red</w:t>
            </w:r>
            <w:r w:rsidR="00D276F2" w:rsidRPr="00D276F2">
              <w:rPr>
                <w:webHidden/>
              </w:rPr>
              <w:tab/>
            </w:r>
            <w:r w:rsidR="00D276F2" w:rsidRPr="00D276F2">
              <w:rPr>
                <w:webHidden/>
              </w:rPr>
              <w:fldChar w:fldCharType="begin"/>
            </w:r>
            <w:r w:rsidR="00D276F2" w:rsidRPr="00D276F2">
              <w:rPr>
                <w:webHidden/>
              </w:rPr>
              <w:instrText xml:space="preserve"> PAGEREF _Toc471999121 \h </w:instrText>
            </w:r>
            <w:r w:rsidR="00D276F2" w:rsidRPr="00D276F2">
              <w:rPr>
                <w:webHidden/>
              </w:rPr>
            </w:r>
            <w:r w:rsidR="00D276F2" w:rsidRPr="00D276F2">
              <w:rPr>
                <w:webHidden/>
              </w:rPr>
              <w:fldChar w:fldCharType="separate"/>
            </w:r>
            <w:r w:rsidR="00781EA9">
              <w:rPr>
                <w:webHidden/>
              </w:rPr>
              <w:t>25</w:t>
            </w:r>
            <w:r w:rsidR="00D276F2" w:rsidRPr="00D276F2">
              <w:rPr>
                <w:webHidden/>
              </w:rPr>
              <w:fldChar w:fldCharType="end"/>
            </w:r>
          </w:hyperlink>
        </w:p>
        <w:p w14:paraId="548C42F5" w14:textId="77777777" w:rsidR="00D276F2" w:rsidRPr="00D276F2" w:rsidRDefault="008317B9" w:rsidP="00D276F2">
          <w:pPr>
            <w:pStyle w:val="TDC3"/>
            <w:rPr>
              <w:rFonts w:eastAsiaTheme="minorEastAsia"/>
              <w:sz w:val="22"/>
              <w:lang w:val="es-CL" w:eastAsia="es-CL"/>
            </w:rPr>
          </w:pPr>
          <w:hyperlink w:anchor="_Toc471999122" w:history="1">
            <w:r w:rsidR="00D276F2" w:rsidRPr="00D276F2">
              <w:rPr>
                <w:rStyle w:val="Hipervnculo"/>
                <w:color w:val="auto"/>
              </w:rPr>
              <w:t>Boyas plásticas</w:t>
            </w:r>
            <w:r w:rsidR="00D276F2" w:rsidRPr="00D276F2">
              <w:rPr>
                <w:webHidden/>
              </w:rPr>
              <w:tab/>
            </w:r>
            <w:r w:rsidR="00D276F2" w:rsidRPr="00D276F2">
              <w:rPr>
                <w:webHidden/>
              </w:rPr>
              <w:fldChar w:fldCharType="begin"/>
            </w:r>
            <w:r w:rsidR="00D276F2" w:rsidRPr="00D276F2">
              <w:rPr>
                <w:webHidden/>
              </w:rPr>
              <w:instrText xml:space="preserve"> PAGEREF _Toc471999122 \h </w:instrText>
            </w:r>
            <w:r w:rsidR="00D276F2" w:rsidRPr="00D276F2">
              <w:rPr>
                <w:webHidden/>
              </w:rPr>
            </w:r>
            <w:r w:rsidR="00D276F2" w:rsidRPr="00D276F2">
              <w:rPr>
                <w:webHidden/>
              </w:rPr>
              <w:fldChar w:fldCharType="separate"/>
            </w:r>
            <w:r w:rsidR="00781EA9">
              <w:rPr>
                <w:webHidden/>
              </w:rPr>
              <w:t>26</w:t>
            </w:r>
            <w:r w:rsidR="00D276F2" w:rsidRPr="00D276F2">
              <w:rPr>
                <w:webHidden/>
              </w:rPr>
              <w:fldChar w:fldCharType="end"/>
            </w:r>
          </w:hyperlink>
        </w:p>
        <w:p w14:paraId="23F1A5E5" w14:textId="77777777" w:rsidR="00D276F2" w:rsidRPr="00D276F2" w:rsidRDefault="008317B9" w:rsidP="00D276F2">
          <w:pPr>
            <w:pStyle w:val="TDC3"/>
            <w:rPr>
              <w:rFonts w:eastAsiaTheme="minorEastAsia"/>
              <w:sz w:val="22"/>
              <w:lang w:val="es-CL" w:eastAsia="es-CL"/>
            </w:rPr>
          </w:pPr>
          <w:hyperlink w:anchor="_Toc471999123" w:history="1">
            <w:r w:rsidR="00D276F2" w:rsidRPr="00D276F2">
              <w:rPr>
                <w:rStyle w:val="Hipervnculo"/>
                <w:color w:val="auto"/>
              </w:rPr>
              <w:t>Flotadores Plumavit</w:t>
            </w:r>
            <w:r w:rsidR="00D276F2" w:rsidRPr="00D276F2">
              <w:rPr>
                <w:webHidden/>
              </w:rPr>
              <w:tab/>
            </w:r>
            <w:r w:rsidR="00D276F2" w:rsidRPr="00D276F2">
              <w:rPr>
                <w:webHidden/>
              </w:rPr>
              <w:fldChar w:fldCharType="begin"/>
            </w:r>
            <w:r w:rsidR="00D276F2" w:rsidRPr="00D276F2">
              <w:rPr>
                <w:webHidden/>
              </w:rPr>
              <w:instrText xml:space="preserve"> PAGEREF _Toc471999123 \h </w:instrText>
            </w:r>
            <w:r w:rsidR="00D276F2" w:rsidRPr="00D276F2">
              <w:rPr>
                <w:webHidden/>
              </w:rPr>
            </w:r>
            <w:r w:rsidR="00D276F2" w:rsidRPr="00D276F2">
              <w:rPr>
                <w:webHidden/>
              </w:rPr>
              <w:fldChar w:fldCharType="separate"/>
            </w:r>
            <w:r w:rsidR="00781EA9">
              <w:rPr>
                <w:webHidden/>
              </w:rPr>
              <w:t>27</w:t>
            </w:r>
            <w:r w:rsidR="00D276F2" w:rsidRPr="00D276F2">
              <w:rPr>
                <w:webHidden/>
              </w:rPr>
              <w:fldChar w:fldCharType="end"/>
            </w:r>
          </w:hyperlink>
        </w:p>
        <w:p w14:paraId="08760375" w14:textId="77777777" w:rsidR="00D276F2" w:rsidRPr="00D276F2" w:rsidRDefault="008317B9" w:rsidP="00D276F2">
          <w:pPr>
            <w:pStyle w:val="TDC3"/>
            <w:rPr>
              <w:rFonts w:eastAsiaTheme="minorEastAsia"/>
              <w:lang w:val="es-CL" w:eastAsia="es-CL"/>
            </w:rPr>
          </w:pPr>
          <w:hyperlink w:anchor="_Toc471999124" w:history="1">
            <w:r w:rsidR="00D276F2" w:rsidRPr="00D276F2">
              <w:rPr>
                <w:rStyle w:val="Hipervnculo"/>
                <w:color w:val="auto"/>
              </w:rPr>
              <w:t>Desprendimiento de Materia Prima (MMPP) en cosecha y manejo de cuelgas de engorda.</w:t>
            </w:r>
            <w:r w:rsidR="00D276F2" w:rsidRPr="00D276F2">
              <w:rPr>
                <w:webHidden/>
              </w:rPr>
              <w:tab/>
            </w:r>
            <w:r w:rsidR="00D276F2" w:rsidRPr="00D276F2">
              <w:rPr>
                <w:webHidden/>
              </w:rPr>
              <w:fldChar w:fldCharType="begin"/>
            </w:r>
            <w:r w:rsidR="00D276F2" w:rsidRPr="00D276F2">
              <w:rPr>
                <w:webHidden/>
              </w:rPr>
              <w:instrText xml:space="preserve"> PAGEREF _Toc471999124 \h </w:instrText>
            </w:r>
            <w:r w:rsidR="00D276F2" w:rsidRPr="00D276F2">
              <w:rPr>
                <w:webHidden/>
              </w:rPr>
            </w:r>
            <w:r w:rsidR="00D276F2" w:rsidRPr="00D276F2">
              <w:rPr>
                <w:webHidden/>
              </w:rPr>
              <w:fldChar w:fldCharType="separate"/>
            </w:r>
            <w:r w:rsidR="00781EA9">
              <w:rPr>
                <w:webHidden/>
              </w:rPr>
              <w:t>29</w:t>
            </w:r>
            <w:r w:rsidR="00D276F2" w:rsidRPr="00D276F2">
              <w:rPr>
                <w:webHidden/>
              </w:rPr>
              <w:fldChar w:fldCharType="end"/>
            </w:r>
          </w:hyperlink>
        </w:p>
        <w:p w14:paraId="326F5B00" w14:textId="77777777" w:rsidR="00D276F2" w:rsidRPr="00D276F2" w:rsidRDefault="008317B9">
          <w:pPr>
            <w:pStyle w:val="TDC2"/>
            <w:rPr>
              <w:rFonts w:ascii="Arial" w:eastAsiaTheme="minorEastAsia" w:hAnsi="Arial" w:cs="Arial"/>
              <w:noProof/>
              <w:lang w:eastAsia="es-CL"/>
            </w:rPr>
          </w:pPr>
          <w:hyperlink w:anchor="_Toc471999125" w:history="1">
            <w:r w:rsidR="00D276F2" w:rsidRPr="00D276F2">
              <w:rPr>
                <w:rStyle w:val="Hipervnculo"/>
                <w:rFonts w:ascii="Arial" w:hAnsi="Arial" w:cs="Arial"/>
                <w:noProof/>
                <w:lang w:eastAsia="es-CL"/>
              </w:rPr>
              <w:t>Residuos Peligrosos</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_Toc471999125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30</w:t>
            </w:r>
            <w:r w:rsidR="00D276F2" w:rsidRPr="00D276F2">
              <w:rPr>
                <w:rFonts w:ascii="Arial" w:hAnsi="Arial" w:cs="Arial"/>
                <w:noProof/>
                <w:webHidden/>
              </w:rPr>
              <w:fldChar w:fldCharType="end"/>
            </w:r>
          </w:hyperlink>
        </w:p>
        <w:p w14:paraId="7502CB04" w14:textId="77777777" w:rsidR="00D276F2" w:rsidRPr="00D276F2" w:rsidRDefault="008317B9">
          <w:pPr>
            <w:pStyle w:val="TDC2"/>
            <w:rPr>
              <w:rFonts w:ascii="Arial" w:eastAsiaTheme="minorEastAsia" w:hAnsi="Arial" w:cs="Arial"/>
              <w:noProof/>
              <w:lang w:eastAsia="es-CL"/>
            </w:rPr>
          </w:pPr>
          <w:hyperlink w:anchor="_Toc471999126" w:history="1">
            <w:r w:rsidR="00D276F2" w:rsidRPr="00D276F2">
              <w:rPr>
                <w:rStyle w:val="Hipervnculo"/>
                <w:rFonts w:ascii="Arial" w:hAnsi="Arial" w:cs="Arial"/>
                <w:noProof/>
                <w:lang w:eastAsia="es-CL"/>
              </w:rPr>
              <w:t>Uso de energía y eficiencia energética</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_Toc471999126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33</w:t>
            </w:r>
            <w:r w:rsidR="00D276F2" w:rsidRPr="00D276F2">
              <w:rPr>
                <w:rFonts w:ascii="Arial" w:hAnsi="Arial" w:cs="Arial"/>
                <w:noProof/>
                <w:webHidden/>
              </w:rPr>
              <w:fldChar w:fldCharType="end"/>
            </w:r>
          </w:hyperlink>
        </w:p>
        <w:p w14:paraId="07334541" w14:textId="77777777" w:rsidR="00D276F2" w:rsidRPr="00D276F2" w:rsidRDefault="008317B9">
          <w:pPr>
            <w:pStyle w:val="TDC2"/>
            <w:rPr>
              <w:rFonts w:ascii="Arial" w:eastAsiaTheme="minorEastAsia" w:hAnsi="Arial" w:cs="Arial"/>
              <w:noProof/>
              <w:lang w:eastAsia="es-CL"/>
            </w:rPr>
          </w:pPr>
          <w:hyperlink w:anchor="_Toc471999127" w:history="1">
            <w:r w:rsidR="00D276F2" w:rsidRPr="00D276F2">
              <w:rPr>
                <w:rStyle w:val="Hipervnculo"/>
                <w:rFonts w:ascii="Arial" w:hAnsi="Arial" w:cs="Arial"/>
                <w:noProof/>
                <w:lang w:eastAsia="es-CL"/>
              </w:rPr>
              <w:t>Valorización de Residuos</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_Toc471999127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36</w:t>
            </w:r>
            <w:r w:rsidR="00D276F2" w:rsidRPr="00D276F2">
              <w:rPr>
                <w:rFonts w:ascii="Arial" w:hAnsi="Arial" w:cs="Arial"/>
                <w:noProof/>
                <w:webHidden/>
              </w:rPr>
              <w:fldChar w:fldCharType="end"/>
            </w:r>
          </w:hyperlink>
        </w:p>
        <w:p w14:paraId="54F47833" w14:textId="77777777" w:rsidR="00D276F2" w:rsidRPr="00D276F2" w:rsidRDefault="008317B9">
          <w:pPr>
            <w:pStyle w:val="TDC2"/>
            <w:rPr>
              <w:rFonts w:ascii="Arial" w:eastAsiaTheme="minorEastAsia" w:hAnsi="Arial" w:cs="Arial"/>
              <w:noProof/>
              <w:lang w:eastAsia="es-CL"/>
            </w:rPr>
          </w:pPr>
          <w:hyperlink w:anchor="_Toc471999128" w:history="1">
            <w:r w:rsidR="00D276F2" w:rsidRPr="00D276F2">
              <w:rPr>
                <w:rStyle w:val="Hipervnculo"/>
                <w:rFonts w:ascii="Arial" w:hAnsi="Arial" w:cs="Arial"/>
                <w:noProof/>
                <w:lang w:eastAsia="es-CL"/>
              </w:rPr>
              <w:t>Gestión de emisiones atmosféricas</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_Toc471999128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37</w:t>
            </w:r>
            <w:r w:rsidR="00D276F2" w:rsidRPr="00D276F2">
              <w:rPr>
                <w:rFonts w:ascii="Arial" w:hAnsi="Arial" w:cs="Arial"/>
                <w:noProof/>
                <w:webHidden/>
              </w:rPr>
              <w:fldChar w:fldCharType="end"/>
            </w:r>
          </w:hyperlink>
        </w:p>
        <w:p w14:paraId="41B40F19" w14:textId="77777777" w:rsidR="00D276F2" w:rsidRPr="00D276F2" w:rsidRDefault="008317B9">
          <w:pPr>
            <w:pStyle w:val="TDC2"/>
            <w:rPr>
              <w:rFonts w:ascii="Arial" w:eastAsiaTheme="minorEastAsia" w:hAnsi="Arial" w:cs="Arial"/>
              <w:noProof/>
              <w:lang w:eastAsia="es-CL"/>
            </w:rPr>
          </w:pPr>
          <w:hyperlink w:anchor="_Toc471999129" w:history="1">
            <w:r w:rsidR="00D276F2" w:rsidRPr="00D276F2">
              <w:rPr>
                <w:rStyle w:val="Hipervnculo"/>
                <w:rFonts w:ascii="Arial" w:hAnsi="Arial" w:cs="Arial"/>
                <w:noProof/>
                <w:lang w:eastAsia="es-CL"/>
              </w:rPr>
              <w:t>Gestión ambiental</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_Toc471999129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41</w:t>
            </w:r>
            <w:r w:rsidR="00D276F2" w:rsidRPr="00D276F2">
              <w:rPr>
                <w:rFonts w:ascii="Arial" w:hAnsi="Arial" w:cs="Arial"/>
                <w:noProof/>
                <w:webHidden/>
              </w:rPr>
              <w:fldChar w:fldCharType="end"/>
            </w:r>
          </w:hyperlink>
        </w:p>
        <w:p w14:paraId="33B4125E" w14:textId="77777777" w:rsidR="00D276F2" w:rsidRPr="00D276F2" w:rsidRDefault="008317B9">
          <w:pPr>
            <w:pStyle w:val="TDC2"/>
            <w:rPr>
              <w:rFonts w:ascii="Arial" w:eastAsiaTheme="minorEastAsia" w:hAnsi="Arial" w:cs="Arial"/>
              <w:noProof/>
              <w:lang w:eastAsia="es-CL"/>
            </w:rPr>
          </w:pPr>
          <w:hyperlink w:anchor="_Toc471999130" w:history="1">
            <w:r w:rsidR="00D276F2" w:rsidRPr="00D276F2">
              <w:rPr>
                <w:rStyle w:val="Hipervnculo"/>
                <w:rFonts w:ascii="Arial" w:hAnsi="Arial" w:cs="Arial"/>
                <w:noProof/>
                <w:lang w:eastAsia="es-CL"/>
              </w:rPr>
              <w:t>Emisiones de ruido</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_Toc471999130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44</w:t>
            </w:r>
            <w:r w:rsidR="00D276F2" w:rsidRPr="00D276F2">
              <w:rPr>
                <w:rFonts w:ascii="Arial" w:hAnsi="Arial" w:cs="Arial"/>
                <w:noProof/>
                <w:webHidden/>
              </w:rPr>
              <w:fldChar w:fldCharType="end"/>
            </w:r>
          </w:hyperlink>
        </w:p>
        <w:p w14:paraId="1E316349" w14:textId="77777777" w:rsidR="00D276F2" w:rsidRPr="00D276F2" w:rsidRDefault="008317B9">
          <w:pPr>
            <w:pStyle w:val="TDC2"/>
            <w:rPr>
              <w:rFonts w:ascii="Arial" w:eastAsiaTheme="minorEastAsia" w:hAnsi="Arial" w:cs="Arial"/>
              <w:noProof/>
              <w:lang w:eastAsia="es-CL"/>
            </w:rPr>
          </w:pPr>
          <w:hyperlink w:anchor="_Toc471999131" w:history="1">
            <w:r w:rsidR="00D276F2" w:rsidRPr="00D276F2">
              <w:rPr>
                <w:rStyle w:val="Hipervnculo"/>
                <w:rFonts w:ascii="Arial" w:hAnsi="Arial" w:cs="Arial"/>
                <w:noProof/>
                <w:lang w:eastAsia="es-CL"/>
              </w:rPr>
              <w:t>Luminancia e iluminancia</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_Toc471999131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45</w:t>
            </w:r>
            <w:r w:rsidR="00D276F2" w:rsidRPr="00D276F2">
              <w:rPr>
                <w:rFonts w:ascii="Arial" w:hAnsi="Arial" w:cs="Arial"/>
                <w:noProof/>
                <w:webHidden/>
              </w:rPr>
              <w:fldChar w:fldCharType="end"/>
            </w:r>
          </w:hyperlink>
        </w:p>
        <w:p w14:paraId="67BAB7C4" w14:textId="77777777" w:rsidR="00D276F2" w:rsidRPr="00D276F2" w:rsidRDefault="008317B9">
          <w:pPr>
            <w:pStyle w:val="TDC2"/>
            <w:rPr>
              <w:rFonts w:ascii="Arial" w:eastAsiaTheme="minorEastAsia" w:hAnsi="Arial" w:cs="Arial"/>
              <w:noProof/>
              <w:lang w:eastAsia="es-CL"/>
            </w:rPr>
          </w:pPr>
          <w:hyperlink w:anchor="_Toc471999132" w:history="1">
            <w:r w:rsidR="00D276F2" w:rsidRPr="00D276F2">
              <w:rPr>
                <w:rStyle w:val="Hipervnculo"/>
                <w:rFonts w:ascii="Arial" w:hAnsi="Arial" w:cs="Arial"/>
                <w:noProof/>
                <w:lang w:eastAsia="es-CL"/>
              </w:rPr>
              <w:t>Certificaciones</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_Toc471999132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47</w:t>
            </w:r>
            <w:r w:rsidR="00D276F2" w:rsidRPr="00D276F2">
              <w:rPr>
                <w:rFonts w:ascii="Arial" w:hAnsi="Arial" w:cs="Arial"/>
                <w:noProof/>
                <w:webHidden/>
              </w:rPr>
              <w:fldChar w:fldCharType="end"/>
            </w:r>
          </w:hyperlink>
        </w:p>
        <w:p w14:paraId="0128C8A7" w14:textId="77777777" w:rsidR="00D276F2" w:rsidRPr="00D276F2" w:rsidRDefault="008317B9">
          <w:pPr>
            <w:pStyle w:val="TDC2"/>
            <w:rPr>
              <w:rFonts w:ascii="Arial" w:eastAsiaTheme="minorEastAsia" w:hAnsi="Arial" w:cs="Arial"/>
              <w:noProof/>
              <w:lang w:eastAsia="es-CL"/>
            </w:rPr>
          </w:pPr>
          <w:hyperlink w:anchor="_Toc471999133" w:history="1">
            <w:r w:rsidR="00D276F2" w:rsidRPr="00D276F2">
              <w:rPr>
                <w:rStyle w:val="Hipervnculo"/>
                <w:rFonts w:ascii="Arial" w:hAnsi="Arial" w:cs="Arial"/>
                <w:noProof/>
                <w:lang w:eastAsia="es-CL"/>
              </w:rPr>
              <w:t>Seguridad ocupacional</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_Toc471999133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50</w:t>
            </w:r>
            <w:r w:rsidR="00D276F2" w:rsidRPr="00D276F2">
              <w:rPr>
                <w:rFonts w:ascii="Arial" w:hAnsi="Arial" w:cs="Arial"/>
                <w:noProof/>
                <w:webHidden/>
              </w:rPr>
              <w:fldChar w:fldCharType="end"/>
            </w:r>
          </w:hyperlink>
        </w:p>
        <w:p w14:paraId="14A6581B" w14:textId="77777777" w:rsidR="00D276F2" w:rsidRDefault="008317B9">
          <w:pPr>
            <w:pStyle w:val="TDC2"/>
            <w:rPr>
              <w:rFonts w:eastAsiaTheme="minorEastAsia"/>
              <w:noProof/>
              <w:lang w:eastAsia="es-CL"/>
            </w:rPr>
          </w:pPr>
          <w:hyperlink w:anchor="_Toc471999134" w:history="1">
            <w:r w:rsidR="00D276F2" w:rsidRPr="00D276F2">
              <w:rPr>
                <w:rStyle w:val="Hipervnculo"/>
                <w:rFonts w:ascii="Arial" w:hAnsi="Arial" w:cs="Arial"/>
                <w:noProof/>
                <w:lang w:eastAsia="es-CL"/>
              </w:rPr>
              <w:t>Conclusiones</w:t>
            </w:r>
            <w:r w:rsidR="00D276F2" w:rsidRPr="00D276F2">
              <w:rPr>
                <w:rFonts w:ascii="Arial" w:hAnsi="Arial" w:cs="Arial"/>
                <w:noProof/>
                <w:webHidden/>
              </w:rPr>
              <w:tab/>
            </w:r>
            <w:r w:rsidR="00D276F2" w:rsidRPr="00D276F2">
              <w:rPr>
                <w:rFonts w:ascii="Arial" w:hAnsi="Arial" w:cs="Arial"/>
                <w:noProof/>
                <w:webHidden/>
              </w:rPr>
              <w:fldChar w:fldCharType="begin"/>
            </w:r>
            <w:r w:rsidR="00D276F2" w:rsidRPr="00D276F2">
              <w:rPr>
                <w:rFonts w:ascii="Arial" w:hAnsi="Arial" w:cs="Arial"/>
                <w:noProof/>
                <w:webHidden/>
              </w:rPr>
              <w:instrText xml:space="preserve"> PAGEREF _Toc471999134 \h </w:instrText>
            </w:r>
            <w:r w:rsidR="00D276F2" w:rsidRPr="00D276F2">
              <w:rPr>
                <w:rFonts w:ascii="Arial" w:hAnsi="Arial" w:cs="Arial"/>
                <w:noProof/>
                <w:webHidden/>
              </w:rPr>
            </w:r>
            <w:r w:rsidR="00D276F2" w:rsidRPr="00D276F2">
              <w:rPr>
                <w:rFonts w:ascii="Arial" w:hAnsi="Arial" w:cs="Arial"/>
                <w:noProof/>
                <w:webHidden/>
              </w:rPr>
              <w:fldChar w:fldCharType="separate"/>
            </w:r>
            <w:r w:rsidR="00781EA9">
              <w:rPr>
                <w:rFonts w:ascii="Arial" w:hAnsi="Arial" w:cs="Arial"/>
                <w:noProof/>
                <w:webHidden/>
              </w:rPr>
              <w:t>58</w:t>
            </w:r>
            <w:r w:rsidR="00D276F2" w:rsidRPr="00D276F2">
              <w:rPr>
                <w:rFonts w:ascii="Arial" w:hAnsi="Arial" w:cs="Arial"/>
                <w:noProof/>
                <w:webHidden/>
              </w:rPr>
              <w:fldChar w:fldCharType="end"/>
            </w:r>
          </w:hyperlink>
        </w:p>
        <w:p w14:paraId="19774545" w14:textId="67836826" w:rsidR="00E31A3F" w:rsidRDefault="00E31A3F">
          <w:r>
            <w:rPr>
              <w:b/>
              <w:bCs/>
            </w:rPr>
            <w:fldChar w:fldCharType="end"/>
          </w:r>
        </w:p>
      </w:sdtContent>
    </w:sdt>
    <w:p w14:paraId="132AE4A2" w14:textId="2FD2BF72" w:rsidR="00492B0C" w:rsidRPr="004B184E" w:rsidRDefault="001D7126" w:rsidP="00E31A3F">
      <w:pPr>
        <w:pStyle w:val="Ttulo2"/>
        <w:rPr>
          <w:rFonts w:cs="Times New Roman"/>
          <w:b w:val="0"/>
          <w:sz w:val="32"/>
          <w:szCs w:val="32"/>
        </w:rPr>
      </w:pPr>
      <w:bookmarkStart w:id="2" w:name="_Toc443926765"/>
      <w:bookmarkStart w:id="3" w:name="_Toc471999109"/>
      <w:r w:rsidRPr="004B184E">
        <w:rPr>
          <w:b w:val="0"/>
          <w:sz w:val="32"/>
          <w:szCs w:val="32"/>
        </w:rPr>
        <w:lastRenderedPageBreak/>
        <w:t>A</w:t>
      </w:r>
      <w:bookmarkEnd w:id="2"/>
      <w:r w:rsidR="00492B0C" w:rsidRPr="004B184E">
        <w:rPr>
          <w:b w:val="0"/>
          <w:sz w:val="32"/>
          <w:szCs w:val="32"/>
        </w:rPr>
        <w:t>lcance</w:t>
      </w:r>
      <w:bookmarkEnd w:id="3"/>
    </w:p>
    <w:p w14:paraId="18F8762A" w14:textId="77777777" w:rsidR="003A115D" w:rsidRPr="00EB354D" w:rsidRDefault="003A115D" w:rsidP="00207C9A">
      <w:pPr>
        <w:pStyle w:val="Sinespaciado"/>
        <w:spacing w:before="240" w:line="276" w:lineRule="auto"/>
        <w:rPr>
          <w:rFonts w:cs="Times New Roman"/>
          <w:szCs w:val="24"/>
        </w:rPr>
      </w:pPr>
      <w:r w:rsidRPr="00EB354D">
        <w:rPr>
          <w:rFonts w:cs="Times New Roman"/>
          <w:szCs w:val="24"/>
        </w:rPr>
        <w:t xml:space="preserve">El Diagnostico de Producción Limpia (PL) realizado a los centro de cultivo del sector mitilicultor fue realizado a 25 empresas del rubro, ubicadas en la X Región de Los Lagos, siendo </w:t>
      </w:r>
      <w:r>
        <w:rPr>
          <w:rFonts w:cs="Times New Roman"/>
          <w:szCs w:val="24"/>
        </w:rPr>
        <w:t xml:space="preserve">la mayoría </w:t>
      </w:r>
      <w:r w:rsidRPr="00EB354D">
        <w:rPr>
          <w:rFonts w:cs="Times New Roman"/>
          <w:szCs w:val="24"/>
        </w:rPr>
        <w:t>socias de AmiChile</w:t>
      </w:r>
      <w:r>
        <w:rPr>
          <w:rFonts w:cs="Times New Roman"/>
          <w:szCs w:val="24"/>
        </w:rPr>
        <w:t xml:space="preserve"> (23 empresas). El nivel </w:t>
      </w:r>
      <w:r w:rsidRPr="00EB354D">
        <w:rPr>
          <w:rFonts w:cs="Times New Roman"/>
          <w:szCs w:val="24"/>
        </w:rPr>
        <w:t>de ventas</w:t>
      </w:r>
      <w:r>
        <w:rPr>
          <w:rFonts w:cs="Times New Roman"/>
          <w:szCs w:val="24"/>
        </w:rPr>
        <w:t xml:space="preserve"> de las empresas</w:t>
      </w:r>
      <w:r w:rsidRPr="00EB354D">
        <w:rPr>
          <w:rFonts w:cs="Times New Roman"/>
          <w:szCs w:val="24"/>
        </w:rPr>
        <w:t xml:space="preserve"> corresponde</w:t>
      </w:r>
      <w:r>
        <w:rPr>
          <w:rFonts w:cs="Times New Roman"/>
          <w:szCs w:val="24"/>
        </w:rPr>
        <w:t>n</w:t>
      </w:r>
      <w:r w:rsidRPr="00EB354D">
        <w:rPr>
          <w:rFonts w:cs="Times New Roman"/>
          <w:szCs w:val="24"/>
        </w:rPr>
        <w:t xml:space="preserve"> a la categoría de empresas PYME (13 centros de cultivo) y  </w:t>
      </w:r>
      <w:r>
        <w:rPr>
          <w:rFonts w:cs="Times New Roman"/>
          <w:szCs w:val="24"/>
        </w:rPr>
        <w:t>categor</w:t>
      </w:r>
      <w:r w:rsidRPr="00EB354D">
        <w:rPr>
          <w:rFonts w:cs="Times New Roman"/>
          <w:szCs w:val="24"/>
        </w:rPr>
        <w:t>ía Grande (12 centros de cultivo)</w:t>
      </w:r>
      <w:r>
        <w:rPr>
          <w:rFonts w:cs="Times New Roman"/>
          <w:szCs w:val="24"/>
        </w:rPr>
        <w:t>. L</w:t>
      </w:r>
      <w:r w:rsidRPr="00EB354D">
        <w:rPr>
          <w:rFonts w:cs="Times New Roman"/>
          <w:szCs w:val="24"/>
        </w:rPr>
        <w:t xml:space="preserve">a antigüedad promedio </w:t>
      </w:r>
      <w:r>
        <w:rPr>
          <w:rFonts w:cs="Times New Roman"/>
          <w:szCs w:val="24"/>
        </w:rPr>
        <w:t xml:space="preserve">de los centros de cultivo diagnosticados es </w:t>
      </w:r>
      <w:r w:rsidRPr="00EB354D">
        <w:rPr>
          <w:rFonts w:cs="Times New Roman"/>
          <w:szCs w:val="24"/>
        </w:rPr>
        <w:t>de 16 a</w:t>
      </w:r>
      <w:r>
        <w:rPr>
          <w:rFonts w:cs="Times New Roman"/>
          <w:szCs w:val="24"/>
        </w:rPr>
        <w:t>ños (Tabla 1), sin embargo la categoría PYME tiene una antigüedad mayor de 17,3 años, en cambio la Grande de 14,5 años. (Figura 1).</w:t>
      </w:r>
    </w:p>
    <w:p w14:paraId="0ED9F5FD" w14:textId="126B244D" w:rsidR="003A115D" w:rsidRDefault="003A115D" w:rsidP="003A115D">
      <w:pPr>
        <w:pStyle w:val="Encabezado"/>
        <w:spacing w:before="240" w:line="276" w:lineRule="auto"/>
        <w:jc w:val="both"/>
        <w:rPr>
          <w:color w:val="auto"/>
          <w:sz w:val="24"/>
          <w:lang w:eastAsia="es-CL"/>
        </w:rPr>
      </w:pPr>
      <w:r w:rsidRPr="00EB354D">
        <w:rPr>
          <w:color w:val="auto"/>
          <w:sz w:val="24"/>
          <w:lang w:eastAsia="es-CL"/>
        </w:rPr>
        <w:t>Cabe mencionar que dos empresas</w:t>
      </w:r>
      <w:r w:rsidR="00F1079C">
        <w:rPr>
          <w:color w:val="auto"/>
          <w:sz w:val="24"/>
          <w:lang w:eastAsia="es-CL"/>
        </w:rPr>
        <w:t xml:space="preserve"> del segmento Grande</w:t>
      </w:r>
      <w:r w:rsidRPr="00EB354D">
        <w:rPr>
          <w:color w:val="auto"/>
          <w:sz w:val="24"/>
          <w:lang w:eastAsia="es-CL"/>
        </w:rPr>
        <w:t>, inicialmente interesadas en participar en el diagnóstico de PL, desistieron en el transcurso de la implementación de esta iniciativa no contestar la encuesta correspondiente</w:t>
      </w:r>
      <w:r w:rsidRPr="00F1079C">
        <w:rPr>
          <w:color w:val="auto"/>
          <w:sz w:val="24"/>
          <w:lang w:eastAsia="es-CL"/>
        </w:rPr>
        <w:t>,</w:t>
      </w:r>
      <w:r w:rsidRPr="00EB354D">
        <w:rPr>
          <w:color w:val="auto"/>
          <w:sz w:val="24"/>
          <w:lang w:eastAsia="es-CL"/>
        </w:rPr>
        <w:t xml:space="preserve"> por lo que el presente documento fue elaborado en base a la información 2015 proporcionada por 23 ellas, quienes entregaron los antecedentes requeridos.</w:t>
      </w:r>
      <w:r w:rsidRPr="007A53AB">
        <w:rPr>
          <w:color w:val="auto"/>
          <w:sz w:val="24"/>
          <w:lang w:eastAsia="es-CL"/>
        </w:rPr>
        <w:t xml:space="preserve"> </w:t>
      </w:r>
    </w:p>
    <w:p w14:paraId="6D440A26" w14:textId="7A59167D" w:rsidR="00ED1C70" w:rsidRDefault="003A115D" w:rsidP="00ED1C70">
      <w:pPr>
        <w:pStyle w:val="Encabezado"/>
        <w:spacing w:before="240" w:line="276" w:lineRule="auto"/>
        <w:jc w:val="both"/>
        <w:rPr>
          <w:rFonts w:asciiTheme="minorHAnsi" w:hAnsiTheme="minorHAnsi"/>
          <w:color w:val="auto"/>
          <w:sz w:val="22"/>
        </w:rPr>
      </w:pPr>
      <w:r>
        <w:rPr>
          <w:lang w:eastAsia="es-CL"/>
        </w:rPr>
        <w:fldChar w:fldCharType="begin"/>
      </w:r>
      <w:r>
        <w:rPr>
          <w:lang w:eastAsia="es-CL"/>
        </w:rPr>
        <w:instrText xml:space="preserve"> LINK </w:instrText>
      </w:r>
      <w:r w:rsidR="008317B9">
        <w:rPr>
          <w:lang w:eastAsia="es-CL"/>
        </w:rPr>
        <w:instrText xml:space="preserve">Excel.Sheet.12 "C:\\Users\\Ivonne Cartes\\Desktop\\INFORME_FINAL_APL\\TABULACIÓN_CENTROS_V1.xlsx" Clasificación!F3C3:F29C7 </w:instrText>
      </w:r>
      <w:r>
        <w:rPr>
          <w:lang w:eastAsia="es-CL"/>
        </w:rPr>
        <w:instrText xml:space="preserve">\a \f 4 \h  \* MERGEFORMAT </w:instrText>
      </w:r>
      <w:r>
        <w:rPr>
          <w:lang w:eastAsia="es-CL"/>
        </w:rPr>
        <w:fldChar w:fldCharType="separate"/>
      </w:r>
    </w:p>
    <w:tbl>
      <w:tblPr>
        <w:tblStyle w:val="GridTable1LightAccent6"/>
        <w:tblW w:w="7696" w:type="dxa"/>
        <w:jc w:val="center"/>
        <w:tblLook w:val="04A0" w:firstRow="1" w:lastRow="0" w:firstColumn="1" w:lastColumn="0" w:noHBand="0" w:noVBand="1"/>
      </w:tblPr>
      <w:tblGrid>
        <w:gridCol w:w="2160"/>
        <w:gridCol w:w="1560"/>
        <w:gridCol w:w="1200"/>
        <w:gridCol w:w="1276"/>
        <w:gridCol w:w="1500"/>
      </w:tblGrid>
      <w:tr w:rsidR="00ED1C70" w:rsidRPr="00ED1C70" w14:paraId="20790981" w14:textId="77777777" w:rsidTr="00ED1C70">
        <w:trPr>
          <w:cnfStyle w:val="100000000000" w:firstRow="1" w:lastRow="0" w:firstColumn="0" w:lastColumn="0" w:oddVBand="0" w:evenVBand="0" w:oddHBand="0" w:evenHBand="0" w:firstRowFirstColumn="0" w:firstRowLastColumn="0" w:lastRowFirstColumn="0" w:lastRowLastColumn="0"/>
          <w:divId w:val="1401908569"/>
          <w:trHeight w:val="600"/>
          <w:jc w:val="center"/>
        </w:trPr>
        <w:tc>
          <w:tcPr>
            <w:cnfStyle w:val="001000000000" w:firstRow="0" w:lastRow="0" w:firstColumn="1" w:lastColumn="0" w:oddVBand="0" w:evenVBand="0" w:oddHBand="0" w:evenHBand="0" w:firstRowFirstColumn="0" w:firstRowLastColumn="0" w:lastRowFirstColumn="0" w:lastRowLastColumn="0"/>
            <w:tcW w:w="2160" w:type="dxa"/>
            <w:tcBorders>
              <w:top w:val="single" w:sz="18" w:space="0" w:color="FBD4B4" w:themeColor="accent6" w:themeTint="66"/>
              <w:left w:val="single" w:sz="18" w:space="0" w:color="FBD4B4" w:themeColor="accent6" w:themeTint="66"/>
              <w:bottom w:val="single" w:sz="18" w:space="0" w:color="FBD4B4" w:themeColor="accent6" w:themeTint="66"/>
            </w:tcBorders>
            <w:hideMark/>
          </w:tcPr>
          <w:p w14:paraId="1307F7A7"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Centro</w:t>
            </w:r>
          </w:p>
        </w:tc>
        <w:tc>
          <w:tcPr>
            <w:tcW w:w="1560" w:type="dxa"/>
            <w:tcBorders>
              <w:top w:val="single" w:sz="18" w:space="0" w:color="FBD4B4" w:themeColor="accent6" w:themeTint="66"/>
              <w:bottom w:val="single" w:sz="18" w:space="0" w:color="FBD4B4" w:themeColor="accent6" w:themeTint="66"/>
            </w:tcBorders>
            <w:hideMark/>
          </w:tcPr>
          <w:p w14:paraId="33B470CD" w14:textId="77777777" w:rsidR="00ED1C70" w:rsidRPr="00ED1C70" w:rsidRDefault="00ED1C70" w:rsidP="00ED1C7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Región</w:t>
            </w:r>
          </w:p>
        </w:tc>
        <w:tc>
          <w:tcPr>
            <w:tcW w:w="1200" w:type="dxa"/>
            <w:tcBorders>
              <w:top w:val="single" w:sz="18" w:space="0" w:color="FBD4B4" w:themeColor="accent6" w:themeTint="66"/>
              <w:bottom w:val="single" w:sz="18" w:space="0" w:color="FBD4B4" w:themeColor="accent6" w:themeTint="66"/>
            </w:tcBorders>
            <w:hideMark/>
          </w:tcPr>
          <w:p w14:paraId="2C58259E" w14:textId="77777777" w:rsidR="00ED1C70" w:rsidRPr="00ED1C70" w:rsidRDefault="00ED1C70" w:rsidP="00ED1C7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Tamaño</w:t>
            </w:r>
          </w:p>
        </w:tc>
        <w:tc>
          <w:tcPr>
            <w:tcW w:w="1276" w:type="dxa"/>
            <w:tcBorders>
              <w:top w:val="single" w:sz="18" w:space="0" w:color="FBD4B4" w:themeColor="accent6" w:themeTint="66"/>
              <w:bottom w:val="single" w:sz="18" w:space="0" w:color="FBD4B4" w:themeColor="accent6" w:themeTint="66"/>
            </w:tcBorders>
            <w:hideMark/>
          </w:tcPr>
          <w:p w14:paraId="4CA7DA44" w14:textId="77777777" w:rsidR="00ED1C70" w:rsidRPr="00ED1C70" w:rsidRDefault="00ED1C70" w:rsidP="00ED1C7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Antigüedad (años)</w:t>
            </w:r>
          </w:p>
        </w:tc>
        <w:tc>
          <w:tcPr>
            <w:tcW w:w="1500" w:type="dxa"/>
            <w:tcBorders>
              <w:top w:val="single" w:sz="18" w:space="0" w:color="FBD4B4" w:themeColor="accent6" w:themeTint="66"/>
              <w:bottom w:val="single" w:sz="18" w:space="0" w:color="FBD4B4" w:themeColor="accent6" w:themeTint="66"/>
              <w:right w:val="single" w:sz="18" w:space="0" w:color="FBD4B4" w:themeColor="accent6" w:themeTint="66"/>
            </w:tcBorders>
            <w:hideMark/>
          </w:tcPr>
          <w:p w14:paraId="5E6D4190" w14:textId="77777777" w:rsidR="00ED1C70" w:rsidRPr="00ED1C70" w:rsidRDefault="00ED1C70" w:rsidP="00ED1C7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 xml:space="preserve">Socio </w:t>
            </w:r>
            <w:proofErr w:type="spellStart"/>
            <w:r w:rsidRPr="00ED1C70">
              <w:rPr>
                <w:rFonts w:ascii="Calibri" w:eastAsia="Times New Roman" w:hAnsi="Calibri" w:cs="Calibri"/>
                <w:color w:val="000000"/>
                <w:sz w:val="22"/>
                <w:lang w:val="es-CL" w:eastAsia="es-CL"/>
              </w:rPr>
              <w:t>Amichile</w:t>
            </w:r>
            <w:proofErr w:type="spellEnd"/>
          </w:p>
        </w:tc>
      </w:tr>
      <w:tr w:rsidR="00ED1C70" w:rsidRPr="00ED1C70" w14:paraId="7C2F4BA7" w14:textId="77777777" w:rsidTr="00F1079C">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top w:val="single" w:sz="18" w:space="0" w:color="FBD4B4" w:themeColor="accent6" w:themeTint="66"/>
              <w:left w:val="single" w:sz="18" w:space="0" w:color="FBD4B4" w:themeColor="accent6" w:themeTint="66"/>
            </w:tcBorders>
            <w:noWrap/>
            <w:hideMark/>
          </w:tcPr>
          <w:p w14:paraId="5E6E6BAF"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C1</w:t>
            </w:r>
          </w:p>
        </w:tc>
        <w:tc>
          <w:tcPr>
            <w:tcW w:w="1560" w:type="dxa"/>
            <w:vMerge w:val="restart"/>
            <w:tcBorders>
              <w:top w:val="single" w:sz="18" w:space="0" w:color="FBD4B4" w:themeColor="accent6" w:themeTint="66"/>
            </w:tcBorders>
            <w:noWrap/>
            <w:vAlign w:val="center"/>
            <w:hideMark/>
          </w:tcPr>
          <w:p w14:paraId="4D25FFE6" w14:textId="77777777" w:rsidR="00ED1C70" w:rsidRPr="00F1079C" w:rsidRDefault="00ED1C70" w:rsidP="00F1079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color w:val="000000"/>
                <w:sz w:val="24"/>
                <w:szCs w:val="24"/>
                <w:lang w:val="es-CL" w:eastAsia="es-CL"/>
              </w:rPr>
            </w:pPr>
            <w:r w:rsidRPr="00F1079C">
              <w:rPr>
                <w:rFonts w:ascii="Calibri" w:eastAsia="Times New Roman" w:hAnsi="Calibri" w:cs="Calibri"/>
                <w:b/>
                <w:color w:val="000000"/>
                <w:sz w:val="24"/>
                <w:szCs w:val="24"/>
                <w:lang w:val="es-CL" w:eastAsia="es-CL"/>
              </w:rPr>
              <w:t>X de Los Lagos</w:t>
            </w:r>
          </w:p>
        </w:tc>
        <w:tc>
          <w:tcPr>
            <w:tcW w:w="1200" w:type="dxa"/>
            <w:vMerge w:val="restart"/>
            <w:tcBorders>
              <w:top w:val="single" w:sz="18" w:space="0" w:color="FBD4B4" w:themeColor="accent6" w:themeTint="66"/>
            </w:tcBorders>
            <w:noWrap/>
            <w:hideMark/>
          </w:tcPr>
          <w:p w14:paraId="45D706E7"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pPr>
            <w:r w:rsidRPr="00ED1C70">
              <w:rPr>
                <w:rFonts w:ascii="Calibri" w:eastAsia="Times New Roman" w:hAnsi="Calibri" w:cs="Calibri"/>
                <w:color w:val="000000"/>
                <w:sz w:val="22"/>
                <w:lang w:val="es-CL" w:eastAsia="es-CL"/>
              </w:rPr>
              <w:t>Pyme</w:t>
            </w:r>
          </w:p>
        </w:tc>
        <w:tc>
          <w:tcPr>
            <w:tcW w:w="1276" w:type="dxa"/>
            <w:tcBorders>
              <w:top w:val="single" w:sz="18" w:space="0" w:color="FBD4B4" w:themeColor="accent6" w:themeTint="66"/>
            </w:tcBorders>
            <w:noWrap/>
            <w:hideMark/>
          </w:tcPr>
          <w:p w14:paraId="6530986B"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r w:rsidRPr="00ED1C70">
              <w:rPr>
                <w:rFonts w:ascii="Arial" w:eastAsia="Times New Roman" w:hAnsi="Arial" w:cs="Arial"/>
                <w:color w:val="000000"/>
                <w:sz w:val="18"/>
                <w:szCs w:val="18"/>
                <w:lang w:val="es-CL" w:eastAsia="es-CL"/>
              </w:rPr>
              <w:t>10</w:t>
            </w:r>
          </w:p>
        </w:tc>
        <w:tc>
          <w:tcPr>
            <w:tcW w:w="1500" w:type="dxa"/>
            <w:tcBorders>
              <w:top w:val="single" w:sz="18" w:space="0" w:color="FBD4B4" w:themeColor="accent6" w:themeTint="66"/>
              <w:right w:val="single" w:sz="18" w:space="0" w:color="FBD4B4" w:themeColor="accent6" w:themeTint="66"/>
            </w:tcBorders>
            <w:noWrap/>
            <w:hideMark/>
          </w:tcPr>
          <w:p w14:paraId="14542C2C"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4B58EB6B"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3D76444C"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C2</w:t>
            </w:r>
          </w:p>
        </w:tc>
        <w:tc>
          <w:tcPr>
            <w:tcW w:w="1560" w:type="dxa"/>
            <w:vMerge/>
            <w:hideMark/>
          </w:tcPr>
          <w:p w14:paraId="7D26F065"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59E15C42"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359D3CB3"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20</w:t>
            </w:r>
          </w:p>
        </w:tc>
        <w:tc>
          <w:tcPr>
            <w:tcW w:w="1500" w:type="dxa"/>
            <w:tcBorders>
              <w:right w:val="single" w:sz="18" w:space="0" w:color="FBD4B4" w:themeColor="accent6" w:themeTint="66"/>
            </w:tcBorders>
            <w:noWrap/>
            <w:hideMark/>
          </w:tcPr>
          <w:p w14:paraId="6C2E6801"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5DABE0D3"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2D4C47DB"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C3</w:t>
            </w:r>
          </w:p>
        </w:tc>
        <w:tc>
          <w:tcPr>
            <w:tcW w:w="1560" w:type="dxa"/>
            <w:vMerge/>
            <w:hideMark/>
          </w:tcPr>
          <w:p w14:paraId="626D6A2F"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1A8F6DCF"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0B7464C9"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11</w:t>
            </w:r>
          </w:p>
        </w:tc>
        <w:tc>
          <w:tcPr>
            <w:tcW w:w="1500" w:type="dxa"/>
            <w:tcBorders>
              <w:right w:val="single" w:sz="18" w:space="0" w:color="FBD4B4" w:themeColor="accent6" w:themeTint="66"/>
            </w:tcBorders>
            <w:noWrap/>
            <w:hideMark/>
          </w:tcPr>
          <w:p w14:paraId="0B4B2A8C"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No</w:t>
            </w:r>
          </w:p>
        </w:tc>
      </w:tr>
      <w:tr w:rsidR="00ED1C70" w:rsidRPr="00ED1C70" w14:paraId="63CA00AB"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25DCDFB0"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C4</w:t>
            </w:r>
          </w:p>
        </w:tc>
        <w:tc>
          <w:tcPr>
            <w:tcW w:w="1560" w:type="dxa"/>
            <w:vMerge/>
            <w:hideMark/>
          </w:tcPr>
          <w:p w14:paraId="257E1F08"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7279434E"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3117F987"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15</w:t>
            </w:r>
          </w:p>
        </w:tc>
        <w:tc>
          <w:tcPr>
            <w:tcW w:w="1500" w:type="dxa"/>
            <w:tcBorders>
              <w:right w:val="single" w:sz="18" w:space="0" w:color="FBD4B4" w:themeColor="accent6" w:themeTint="66"/>
            </w:tcBorders>
            <w:noWrap/>
            <w:hideMark/>
          </w:tcPr>
          <w:p w14:paraId="7FCC82FC"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1DA21619"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57889B61"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C5</w:t>
            </w:r>
          </w:p>
        </w:tc>
        <w:tc>
          <w:tcPr>
            <w:tcW w:w="1560" w:type="dxa"/>
            <w:vMerge/>
            <w:hideMark/>
          </w:tcPr>
          <w:p w14:paraId="2EBDAA5C"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3D3D6842"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77D587D6"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15</w:t>
            </w:r>
          </w:p>
        </w:tc>
        <w:tc>
          <w:tcPr>
            <w:tcW w:w="1500" w:type="dxa"/>
            <w:tcBorders>
              <w:right w:val="single" w:sz="18" w:space="0" w:color="FBD4B4" w:themeColor="accent6" w:themeTint="66"/>
            </w:tcBorders>
            <w:noWrap/>
            <w:hideMark/>
          </w:tcPr>
          <w:p w14:paraId="55C9111B"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591291D7"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6E367606"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C6</w:t>
            </w:r>
          </w:p>
        </w:tc>
        <w:tc>
          <w:tcPr>
            <w:tcW w:w="1560" w:type="dxa"/>
            <w:vMerge/>
            <w:hideMark/>
          </w:tcPr>
          <w:p w14:paraId="3A5AC62E"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4771B23F"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6FCFE510"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20</w:t>
            </w:r>
          </w:p>
        </w:tc>
        <w:tc>
          <w:tcPr>
            <w:tcW w:w="1500" w:type="dxa"/>
            <w:tcBorders>
              <w:right w:val="single" w:sz="18" w:space="0" w:color="FBD4B4" w:themeColor="accent6" w:themeTint="66"/>
            </w:tcBorders>
            <w:noWrap/>
            <w:hideMark/>
          </w:tcPr>
          <w:p w14:paraId="15939046"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6837C1CF"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3871B8BA"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C7</w:t>
            </w:r>
          </w:p>
        </w:tc>
        <w:tc>
          <w:tcPr>
            <w:tcW w:w="1560" w:type="dxa"/>
            <w:vMerge/>
            <w:hideMark/>
          </w:tcPr>
          <w:p w14:paraId="7DC88651"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10D5CDF6"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754B057F"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26</w:t>
            </w:r>
          </w:p>
        </w:tc>
        <w:tc>
          <w:tcPr>
            <w:tcW w:w="1500" w:type="dxa"/>
            <w:tcBorders>
              <w:right w:val="single" w:sz="18" w:space="0" w:color="FBD4B4" w:themeColor="accent6" w:themeTint="66"/>
            </w:tcBorders>
            <w:noWrap/>
            <w:hideMark/>
          </w:tcPr>
          <w:p w14:paraId="5A1EBCA4"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119624FF"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3E13010F"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C8</w:t>
            </w:r>
          </w:p>
        </w:tc>
        <w:tc>
          <w:tcPr>
            <w:tcW w:w="1560" w:type="dxa"/>
            <w:vMerge/>
            <w:hideMark/>
          </w:tcPr>
          <w:p w14:paraId="7A1C74A3"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30B38967"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72AAF561"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2</w:t>
            </w:r>
          </w:p>
        </w:tc>
        <w:tc>
          <w:tcPr>
            <w:tcW w:w="1500" w:type="dxa"/>
            <w:tcBorders>
              <w:right w:val="single" w:sz="18" w:space="0" w:color="FBD4B4" w:themeColor="accent6" w:themeTint="66"/>
            </w:tcBorders>
            <w:noWrap/>
            <w:hideMark/>
          </w:tcPr>
          <w:p w14:paraId="23947696"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3A1E670E"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48160F92"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C9</w:t>
            </w:r>
          </w:p>
        </w:tc>
        <w:tc>
          <w:tcPr>
            <w:tcW w:w="1560" w:type="dxa"/>
            <w:vMerge/>
            <w:hideMark/>
          </w:tcPr>
          <w:p w14:paraId="11603214"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326DDB2B"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3B7DD969"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27</w:t>
            </w:r>
          </w:p>
        </w:tc>
        <w:tc>
          <w:tcPr>
            <w:tcW w:w="1500" w:type="dxa"/>
            <w:tcBorders>
              <w:right w:val="single" w:sz="18" w:space="0" w:color="FBD4B4" w:themeColor="accent6" w:themeTint="66"/>
            </w:tcBorders>
            <w:noWrap/>
            <w:hideMark/>
          </w:tcPr>
          <w:p w14:paraId="660A7459"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70762777"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3B644D11"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C10</w:t>
            </w:r>
          </w:p>
        </w:tc>
        <w:tc>
          <w:tcPr>
            <w:tcW w:w="1560" w:type="dxa"/>
            <w:vMerge/>
            <w:hideMark/>
          </w:tcPr>
          <w:p w14:paraId="11ED5BDF"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59EA338E"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08C8BB9C"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21</w:t>
            </w:r>
          </w:p>
        </w:tc>
        <w:tc>
          <w:tcPr>
            <w:tcW w:w="1500" w:type="dxa"/>
            <w:tcBorders>
              <w:right w:val="single" w:sz="18" w:space="0" w:color="FBD4B4" w:themeColor="accent6" w:themeTint="66"/>
            </w:tcBorders>
            <w:noWrap/>
            <w:hideMark/>
          </w:tcPr>
          <w:p w14:paraId="17D20E2A"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636FC56C"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7FD4E1A2"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C11</w:t>
            </w:r>
          </w:p>
        </w:tc>
        <w:tc>
          <w:tcPr>
            <w:tcW w:w="1560" w:type="dxa"/>
            <w:vMerge/>
            <w:hideMark/>
          </w:tcPr>
          <w:p w14:paraId="24E10927"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6828D609"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01A8124E"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20</w:t>
            </w:r>
          </w:p>
        </w:tc>
        <w:tc>
          <w:tcPr>
            <w:tcW w:w="1500" w:type="dxa"/>
            <w:tcBorders>
              <w:right w:val="single" w:sz="18" w:space="0" w:color="FBD4B4" w:themeColor="accent6" w:themeTint="66"/>
            </w:tcBorders>
            <w:noWrap/>
            <w:hideMark/>
          </w:tcPr>
          <w:p w14:paraId="27D2F78E"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7838394B"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51F5A679"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C12</w:t>
            </w:r>
          </w:p>
        </w:tc>
        <w:tc>
          <w:tcPr>
            <w:tcW w:w="1560" w:type="dxa"/>
            <w:vMerge/>
            <w:hideMark/>
          </w:tcPr>
          <w:p w14:paraId="58005735"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201E71A2"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4AFA2479"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30</w:t>
            </w:r>
          </w:p>
        </w:tc>
        <w:tc>
          <w:tcPr>
            <w:tcW w:w="1500" w:type="dxa"/>
            <w:tcBorders>
              <w:right w:val="single" w:sz="18" w:space="0" w:color="FBD4B4" w:themeColor="accent6" w:themeTint="66"/>
            </w:tcBorders>
            <w:noWrap/>
            <w:hideMark/>
          </w:tcPr>
          <w:p w14:paraId="795620E0"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4F7646FA"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1FFADF1F"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C13</w:t>
            </w:r>
          </w:p>
        </w:tc>
        <w:tc>
          <w:tcPr>
            <w:tcW w:w="1560" w:type="dxa"/>
            <w:vMerge/>
            <w:hideMark/>
          </w:tcPr>
          <w:p w14:paraId="764E58E3"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36B4F83F"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57A4656C"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8</w:t>
            </w:r>
          </w:p>
        </w:tc>
        <w:tc>
          <w:tcPr>
            <w:tcW w:w="1500" w:type="dxa"/>
            <w:tcBorders>
              <w:right w:val="single" w:sz="18" w:space="0" w:color="FBD4B4" w:themeColor="accent6" w:themeTint="66"/>
            </w:tcBorders>
            <w:noWrap/>
            <w:hideMark/>
          </w:tcPr>
          <w:p w14:paraId="58D3C696"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No</w:t>
            </w:r>
          </w:p>
        </w:tc>
      </w:tr>
      <w:tr w:rsidR="00ED1C70" w:rsidRPr="00ED1C70" w14:paraId="05741C20"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078DC089"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C14</w:t>
            </w:r>
          </w:p>
        </w:tc>
        <w:tc>
          <w:tcPr>
            <w:tcW w:w="1560" w:type="dxa"/>
            <w:vMerge/>
            <w:hideMark/>
          </w:tcPr>
          <w:p w14:paraId="642007D5"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val="restart"/>
            <w:noWrap/>
            <w:hideMark/>
          </w:tcPr>
          <w:p w14:paraId="3BD95BD5"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pPr>
            <w:r w:rsidRPr="00ED1C70">
              <w:rPr>
                <w:rFonts w:ascii="Calibri" w:eastAsia="Times New Roman" w:hAnsi="Calibri" w:cs="Calibri"/>
                <w:color w:val="000000"/>
                <w:sz w:val="22"/>
                <w:lang w:val="es-CL" w:eastAsia="es-CL"/>
              </w:rPr>
              <w:t>Grande</w:t>
            </w:r>
          </w:p>
        </w:tc>
        <w:tc>
          <w:tcPr>
            <w:tcW w:w="1276" w:type="dxa"/>
            <w:noWrap/>
            <w:hideMark/>
          </w:tcPr>
          <w:p w14:paraId="1CA4D1F9"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11</w:t>
            </w:r>
          </w:p>
        </w:tc>
        <w:tc>
          <w:tcPr>
            <w:tcW w:w="1500" w:type="dxa"/>
            <w:tcBorders>
              <w:right w:val="single" w:sz="18" w:space="0" w:color="FBD4B4" w:themeColor="accent6" w:themeTint="66"/>
            </w:tcBorders>
            <w:noWrap/>
            <w:hideMark/>
          </w:tcPr>
          <w:p w14:paraId="7A17FDE4"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70053A81"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5267BAAF"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C15</w:t>
            </w:r>
          </w:p>
        </w:tc>
        <w:tc>
          <w:tcPr>
            <w:tcW w:w="1560" w:type="dxa"/>
            <w:vMerge/>
            <w:hideMark/>
          </w:tcPr>
          <w:p w14:paraId="7071BB37"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56281F8B"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5C4F0D5B"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16</w:t>
            </w:r>
          </w:p>
        </w:tc>
        <w:tc>
          <w:tcPr>
            <w:tcW w:w="1500" w:type="dxa"/>
            <w:tcBorders>
              <w:right w:val="single" w:sz="18" w:space="0" w:color="FBD4B4" w:themeColor="accent6" w:themeTint="66"/>
            </w:tcBorders>
            <w:noWrap/>
            <w:hideMark/>
          </w:tcPr>
          <w:p w14:paraId="5FC0518B"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7FF1B3C4"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13A24E1E"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C16</w:t>
            </w:r>
          </w:p>
        </w:tc>
        <w:tc>
          <w:tcPr>
            <w:tcW w:w="1560" w:type="dxa"/>
            <w:vMerge/>
            <w:hideMark/>
          </w:tcPr>
          <w:p w14:paraId="549B93EA"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6F8648A1"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0D9D336A"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9</w:t>
            </w:r>
          </w:p>
        </w:tc>
        <w:tc>
          <w:tcPr>
            <w:tcW w:w="1500" w:type="dxa"/>
            <w:tcBorders>
              <w:right w:val="single" w:sz="18" w:space="0" w:color="FBD4B4" w:themeColor="accent6" w:themeTint="66"/>
            </w:tcBorders>
            <w:noWrap/>
            <w:hideMark/>
          </w:tcPr>
          <w:p w14:paraId="62CA24C6"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35C1B9A7"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768A5F5C"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lastRenderedPageBreak/>
              <w:t>C17</w:t>
            </w:r>
          </w:p>
        </w:tc>
        <w:tc>
          <w:tcPr>
            <w:tcW w:w="1560" w:type="dxa"/>
            <w:vMerge/>
            <w:hideMark/>
          </w:tcPr>
          <w:p w14:paraId="357941B0"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07D9BAC2"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46DE5255"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9</w:t>
            </w:r>
          </w:p>
        </w:tc>
        <w:tc>
          <w:tcPr>
            <w:tcW w:w="1500" w:type="dxa"/>
            <w:tcBorders>
              <w:right w:val="single" w:sz="18" w:space="0" w:color="FBD4B4" w:themeColor="accent6" w:themeTint="66"/>
            </w:tcBorders>
            <w:noWrap/>
            <w:hideMark/>
          </w:tcPr>
          <w:p w14:paraId="5A096703"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16B2A20B"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63FC1428"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C18</w:t>
            </w:r>
          </w:p>
        </w:tc>
        <w:tc>
          <w:tcPr>
            <w:tcW w:w="1560" w:type="dxa"/>
            <w:vMerge/>
            <w:hideMark/>
          </w:tcPr>
          <w:p w14:paraId="589E303A"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47ACF7E9"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51AF937D"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9</w:t>
            </w:r>
          </w:p>
        </w:tc>
        <w:tc>
          <w:tcPr>
            <w:tcW w:w="1500" w:type="dxa"/>
            <w:tcBorders>
              <w:right w:val="single" w:sz="18" w:space="0" w:color="FBD4B4" w:themeColor="accent6" w:themeTint="66"/>
            </w:tcBorders>
            <w:noWrap/>
            <w:hideMark/>
          </w:tcPr>
          <w:p w14:paraId="57BA0730"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1FFA3D6E"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5DFF3F29"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C19</w:t>
            </w:r>
          </w:p>
        </w:tc>
        <w:tc>
          <w:tcPr>
            <w:tcW w:w="1560" w:type="dxa"/>
            <w:vMerge/>
            <w:hideMark/>
          </w:tcPr>
          <w:p w14:paraId="2426E675"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0363D2D3"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279BA499"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6</w:t>
            </w:r>
          </w:p>
        </w:tc>
        <w:tc>
          <w:tcPr>
            <w:tcW w:w="1500" w:type="dxa"/>
            <w:tcBorders>
              <w:right w:val="single" w:sz="18" w:space="0" w:color="FBD4B4" w:themeColor="accent6" w:themeTint="66"/>
            </w:tcBorders>
            <w:noWrap/>
            <w:hideMark/>
          </w:tcPr>
          <w:p w14:paraId="1906410D"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2A1E3C56"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5E137728"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C20</w:t>
            </w:r>
          </w:p>
        </w:tc>
        <w:tc>
          <w:tcPr>
            <w:tcW w:w="1560" w:type="dxa"/>
            <w:vMerge/>
            <w:hideMark/>
          </w:tcPr>
          <w:p w14:paraId="2BCF1D56"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43A543FC"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362DE8EC"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8</w:t>
            </w:r>
          </w:p>
        </w:tc>
        <w:tc>
          <w:tcPr>
            <w:tcW w:w="1500" w:type="dxa"/>
            <w:tcBorders>
              <w:right w:val="single" w:sz="18" w:space="0" w:color="FBD4B4" w:themeColor="accent6" w:themeTint="66"/>
            </w:tcBorders>
            <w:noWrap/>
            <w:hideMark/>
          </w:tcPr>
          <w:p w14:paraId="1A4D7F6D"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2B0AA79F"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64FD6A82"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C21</w:t>
            </w:r>
          </w:p>
        </w:tc>
        <w:tc>
          <w:tcPr>
            <w:tcW w:w="1560" w:type="dxa"/>
            <w:vMerge/>
            <w:hideMark/>
          </w:tcPr>
          <w:p w14:paraId="68EBF110"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3E8BEBF9"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18E87E49"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35</w:t>
            </w:r>
          </w:p>
        </w:tc>
        <w:tc>
          <w:tcPr>
            <w:tcW w:w="1500" w:type="dxa"/>
            <w:tcBorders>
              <w:right w:val="single" w:sz="18" w:space="0" w:color="FBD4B4" w:themeColor="accent6" w:themeTint="66"/>
            </w:tcBorders>
            <w:noWrap/>
            <w:hideMark/>
          </w:tcPr>
          <w:p w14:paraId="2A416D4B"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3E3548F1"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52CD3C47"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C22</w:t>
            </w:r>
          </w:p>
        </w:tc>
        <w:tc>
          <w:tcPr>
            <w:tcW w:w="1560" w:type="dxa"/>
            <w:vMerge/>
            <w:hideMark/>
          </w:tcPr>
          <w:p w14:paraId="268E4E81"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3C66751E"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41A7D9F6"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36</w:t>
            </w:r>
          </w:p>
        </w:tc>
        <w:tc>
          <w:tcPr>
            <w:tcW w:w="1500" w:type="dxa"/>
            <w:tcBorders>
              <w:right w:val="single" w:sz="18" w:space="0" w:color="FBD4B4" w:themeColor="accent6" w:themeTint="66"/>
            </w:tcBorders>
            <w:noWrap/>
            <w:hideMark/>
          </w:tcPr>
          <w:p w14:paraId="5F6198F1"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371DDDAF"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1D3C14E7"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C23</w:t>
            </w:r>
          </w:p>
        </w:tc>
        <w:tc>
          <w:tcPr>
            <w:tcW w:w="1560" w:type="dxa"/>
            <w:vMerge/>
            <w:hideMark/>
          </w:tcPr>
          <w:p w14:paraId="24FAA31C"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3E501DB2"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22901C2B"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10</w:t>
            </w:r>
          </w:p>
        </w:tc>
        <w:tc>
          <w:tcPr>
            <w:tcW w:w="1500" w:type="dxa"/>
            <w:tcBorders>
              <w:right w:val="single" w:sz="18" w:space="0" w:color="FBD4B4" w:themeColor="accent6" w:themeTint="66"/>
            </w:tcBorders>
            <w:noWrap/>
            <w:hideMark/>
          </w:tcPr>
          <w:p w14:paraId="0D9563AF"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3E2C7A47"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tcBorders>
            <w:noWrap/>
            <w:hideMark/>
          </w:tcPr>
          <w:p w14:paraId="0FCE4364"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C24</w:t>
            </w:r>
          </w:p>
        </w:tc>
        <w:tc>
          <w:tcPr>
            <w:tcW w:w="1560" w:type="dxa"/>
            <w:vMerge/>
            <w:hideMark/>
          </w:tcPr>
          <w:p w14:paraId="76FC0B5F"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hideMark/>
          </w:tcPr>
          <w:p w14:paraId="3E4D369F"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noWrap/>
            <w:hideMark/>
          </w:tcPr>
          <w:p w14:paraId="33353606"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10</w:t>
            </w:r>
          </w:p>
        </w:tc>
        <w:tc>
          <w:tcPr>
            <w:tcW w:w="1500" w:type="dxa"/>
            <w:tcBorders>
              <w:right w:val="single" w:sz="18" w:space="0" w:color="FBD4B4" w:themeColor="accent6" w:themeTint="66"/>
            </w:tcBorders>
            <w:noWrap/>
            <w:hideMark/>
          </w:tcPr>
          <w:p w14:paraId="1B6649DE"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Si</w:t>
            </w:r>
          </w:p>
        </w:tc>
      </w:tr>
      <w:tr w:rsidR="00ED1C70" w:rsidRPr="00ED1C70" w14:paraId="20639A60"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left w:val="single" w:sz="18" w:space="0" w:color="FBD4B4" w:themeColor="accent6" w:themeTint="66"/>
              <w:bottom w:val="single" w:sz="18" w:space="0" w:color="FBD4B4" w:themeColor="accent6" w:themeTint="66"/>
            </w:tcBorders>
            <w:noWrap/>
            <w:hideMark/>
          </w:tcPr>
          <w:p w14:paraId="4B5BCB36" w14:textId="77777777" w:rsidR="00ED1C70" w:rsidRPr="00ED1C70" w:rsidRDefault="00ED1C70" w:rsidP="00ED1C70">
            <w:pPr>
              <w:jc w:val="center"/>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C25</w:t>
            </w:r>
          </w:p>
        </w:tc>
        <w:tc>
          <w:tcPr>
            <w:tcW w:w="1560" w:type="dxa"/>
            <w:vMerge/>
            <w:tcBorders>
              <w:bottom w:val="single" w:sz="18" w:space="0" w:color="FBD4B4" w:themeColor="accent6" w:themeTint="66"/>
            </w:tcBorders>
            <w:hideMark/>
          </w:tcPr>
          <w:p w14:paraId="1B8FB328"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val="es-CL" w:eastAsia="es-CL"/>
              </w:rPr>
            </w:pPr>
          </w:p>
        </w:tc>
        <w:tc>
          <w:tcPr>
            <w:tcW w:w="1200" w:type="dxa"/>
            <w:vMerge/>
            <w:tcBorders>
              <w:bottom w:val="single" w:sz="18" w:space="0" w:color="FBD4B4" w:themeColor="accent6" w:themeTint="66"/>
            </w:tcBorders>
            <w:hideMark/>
          </w:tcPr>
          <w:p w14:paraId="72D8C584" w14:textId="77777777" w:rsidR="00ED1C70" w:rsidRPr="00ED1C70" w:rsidRDefault="00ED1C70" w:rsidP="00ED1C7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p>
        </w:tc>
        <w:tc>
          <w:tcPr>
            <w:tcW w:w="1276" w:type="dxa"/>
            <w:tcBorders>
              <w:bottom w:val="single" w:sz="18" w:space="0" w:color="FBD4B4" w:themeColor="accent6" w:themeTint="66"/>
            </w:tcBorders>
            <w:noWrap/>
            <w:hideMark/>
          </w:tcPr>
          <w:p w14:paraId="011E5DCE"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15</w:t>
            </w:r>
          </w:p>
        </w:tc>
        <w:tc>
          <w:tcPr>
            <w:tcW w:w="1500" w:type="dxa"/>
            <w:tcBorders>
              <w:bottom w:val="single" w:sz="18" w:space="0" w:color="FBD4B4" w:themeColor="accent6" w:themeTint="66"/>
              <w:right w:val="single" w:sz="18" w:space="0" w:color="FBD4B4" w:themeColor="accent6" w:themeTint="66"/>
            </w:tcBorders>
            <w:noWrap/>
            <w:hideMark/>
          </w:tcPr>
          <w:p w14:paraId="05015D44"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 </w:t>
            </w:r>
          </w:p>
        </w:tc>
      </w:tr>
      <w:tr w:rsidR="00ED1C70" w:rsidRPr="00ED1C70" w14:paraId="73B120CB" w14:textId="77777777" w:rsidTr="00ED1C70">
        <w:trPr>
          <w:divId w:val="1401908569"/>
          <w:trHeight w:val="300"/>
          <w:jc w:val="center"/>
        </w:trPr>
        <w:tc>
          <w:tcPr>
            <w:cnfStyle w:val="001000000000" w:firstRow="0" w:lastRow="0" w:firstColumn="1" w:lastColumn="0" w:oddVBand="0" w:evenVBand="0" w:oddHBand="0" w:evenHBand="0" w:firstRowFirstColumn="0" w:firstRowLastColumn="0" w:lastRowFirstColumn="0" w:lastRowLastColumn="0"/>
            <w:tcW w:w="4920" w:type="dxa"/>
            <w:gridSpan w:val="3"/>
            <w:tcBorders>
              <w:top w:val="single" w:sz="18" w:space="0" w:color="FBD4B4" w:themeColor="accent6" w:themeTint="66"/>
              <w:left w:val="single" w:sz="18" w:space="0" w:color="FBD4B4" w:themeColor="accent6" w:themeTint="66"/>
              <w:bottom w:val="single" w:sz="18" w:space="0" w:color="FBD4B4" w:themeColor="accent6" w:themeTint="66"/>
            </w:tcBorders>
            <w:noWrap/>
            <w:hideMark/>
          </w:tcPr>
          <w:p w14:paraId="28261B59" w14:textId="77777777" w:rsidR="00ED1C70" w:rsidRPr="00ED1C70" w:rsidRDefault="00ED1C70" w:rsidP="00ED1C70">
            <w:pPr>
              <w:jc w:val="right"/>
              <w:rPr>
                <w:rFonts w:ascii="Calibri" w:eastAsia="Times New Roman" w:hAnsi="Calibri" w:cs="Calibri"/>
                <w:color w:val="000000"/>
                <w:sz w:val="22"/>
                <w:lang w:val="es-CL" w:eastAsia="es-CL"/>
              </w:rPr>
            </w:pPr>
            <w:r w:rsidRPr="00ED1C70">
              <w:rPr>
                <w:rFonts w:ascii="Calibri" w:eastAsia="Times New Roman" w:hAnsi="Calibri" w:cs="Calibri"/>
                <w:color w:val="000000"/>
                <w:sz w:val="22"/>
                <w:lang w:val="es-CL" w:eastAsia="es-CL"/>
              </w:rPr>
              <w:t>Promedio</w:t>
            </w:r>
          </w:p>
        </w:tc>
        <w:tc>
          <w:tcPr>
            <w:tcW w:w="1276" w:type="dxa"/>
            <w:tcBorders>
              <w:top w:val="single" w:sz="18" w:space="0" w:color="FBD4B4" w:themeColor="accent6" w:themeTint="66"/>
              <w:bottom w:val="single" w:sz="18" w:space="0" w:color="FBD4B4" w:themeColor="accent6" w:themeTint="66"/>
            </w:tcBorders>
            <w:noWrap/>
            <w:hideMark/>
          </w:tcPr>
          <w:p w14:paraId="58F3E595"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22"/>
                <w:lang w:val="es-CL" w:eastAsia="es-CL"/>
              </w:rPr>
            </w:pPr>
            <w:r w:rsidRPr="00ED1C70">
              <w:rPr>
                <w:rFonts w:ascii="Calibri" w:eastAsia="Times New Roman" w:hAnsi="Calibri" w:cs="Calibri"/>
                <w:b/>
                <w:bCs/>
                <w:color w:val="000000"/>
                <w:sz w:val="22"/>
                <w:lang w:val="es-CL" w:eastAsia="es-CL"/>
              </w:rPr>
              <w:t>16,0</w:t>
            </w:r>
          </w:p>
        </w:tc>
        <w:tc>
          <w:tcPr>
            <w:tcW w:w="1500" w:type="dxa"/>
            <w:tcBorders>
              <w:top w:val="single" w:sz="18" w:space="0" w:color="FBD4B4" w:themeColor="accent6" w:themeTint="66"/>
              <w:bottom w:val="single" w:sz="18" w:space="0" w:color="FBD4B4" w:themeColor="accent6" w:themeTint="66"/>
              <w:right w:val="single" w:sz="18" w:space="0" w:color="FBD4B4" w:themeColor="accent6" w:themeTint="66"/>
            </w:tcBorders>
            <w:noWrap/>
            <w:hideMark/>
          </w:tcPr>
          <w:p w14:paraId="1FBB68D3" w14:textId="77777777" w:rsidR="00ED1C70" w:rsidRPr="00ED1C70" w:rsidRDefault="00ED1C70" w:rsidP="00ED1C7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22"/>
                <w:lang w:val="es-CL" w:eastAsia="es-CL"/>
              </w:rPr>
            </w:pPr>
            <w:r w:rsidRPr="00ED1C70">
              <w:rPr>
                <w:rFonts w:ascii="Calibri" w:eastAsia="Times New Roman" w:hAnsi="Calibri" w:cs="Calibri"/>
                <w:b/>
                <w:bCs/>
                <w:color w:val="000000"/>
                <w:sz w:val="22"/>
                <w:lang w:val="es-CL" w:eastAsia="es-CL"/>
              </w:rPr>
              <w:t>SI</w:t>
            </w:r>
          </w:p>
        </w:tc>
      </w:tr>
    </w:tbl>
    <w:p w14:paraId="0C14A262" w14:textId="77777777" w:rsidR="003A115D" w:rsidRDefault="003A115D" w:rsidP="00884A27">
      <w:pPr>
        <w:pStyle w:val="Encabezado"/>
        <w:spacing w:line="276" w:lineRule="auto"/>
        <w:jc w:val="both"/>
        <w:rPr>
          <w:color w:val="auto"/>
          <w:sz w:val="24"/>
          <w:lang w:eastAsia="es-CL"/>
        </w:rPr>
      </w:pPr>
      <w:r>
        <w:rPr>
          <w:color w:val="auto"/>
          <w:sz w:val="24"/>
          <w:lang w:eastAsia="es-CL"/>
        </w:rPr>
        <w:fldChar w:fldCharType="end"/>
      </w:r>
      <w:r w:rsidRPr="00DD5FC5">
        <w:rPr>
          <w:b/>
          <w:color w:val="auto"/>
          <w:sz w:val="24"/>
          <w:lang w:eastAsia="es-CL"/>
        </w:rPr>
        <w:t>Tabla 1.</w:t>
      </w:r>
      <w:r w:rsidRPr="007A53AB">
        <w:rPr>
          <w:b/>
          <w:color w:val="auto"/>
          <w:sz w:val="24"/>
          <w:lang w:eastAsia="es-CL"/>
        </w:rPr>
        <w:t xml:space="preserve"> </w:t>
      </w:r>
      <w:r>
        <w:rPr>
          <w:color w:val="auto"/>
          <w:sz w:val="24"/>
          <w:lang w:eastAsia="es-CL"/>
        </w:rPr>
        <w:t>Clasificación de lo</w:t>
      </w:r>
      <w:r w:rsidRPr="007A53AB">
        <w:rPr>
          <w:color w:val="auto"/>
          <w:sz w:val="24"/>
          <w:lang w:eastAsia="es-CL"/>
        </w:rPr>
        <w:t xml:space="preserve">s </w:t>
      </w:r>
      <w:r>
        <w:rPr>
          <w:color w:val="auto"/>
          <w:sz w:val="24"/>
          <w:lang w:eastAsia="es-CL"/>
        </w:rPr>
        <w:t>centros de cultivo diagnosticado</w:t>
      </w:r>
      <w:r w:rsidRPr="007A53AB">
        <w:rPr>
          <w:color w:val="auto"/>
          <w:sz w:val="24"/>
          <w:lang w:eastAsia="es-CL"/>
        </w:rPr>
        <w:t>s.</w:t>
      </w:r>
    </w:p>
    <w:p w14:paraId="0EA6342A" w14:textId="77777777" w:rsidR="003A115D" w:rsidRDefault="003A115D" w:rsidP="003A115D">
      <w:pPr>
        <w:pStyle w:val="Encabezado"/>
        <w:spacing w:before="240" w:line="276" w:lineRule="auto"/>
        <w:jc w:val="both"/>
        <w:rPr>
          <w:color w:val="auto"/>
          <w:sz w:val="24"/>
          <w:lang w:eastAsia="es-CL"/>
        </w:rPr>
      </w:pPr>
    </w:p>
    <w:p w14:paraId="79314B21" w14:textId="77777777" w:rsidR="00884A27" w:rsidRDefault="003A115D" w:rsidP="00884A27">
      <w:pPr>
        <w:pStyle w:val="Encabezado"/>
        <w:spacing w:before="240" w:line="276" w:lineRule="auto"/>
        <w:jc w:val="center"/>
        <w:rPr>
          <w:b/>
          <w:color w:val="auto"/>
          <w:sz w:val="24"/>
          <w:highlight w:val="lightGray"/>
          <w:lang w:eastAsia="es-CL"/>
        </w:rPr>
      </w:pPr>
      <w:r>
        <w:rPr>
          <w:noProof/>
          <w:lang w:val="es-CL" w:eastAsia="es-CL"/>
        </w:rPr>
        <w:drawing>
          <wp:inline distT="0" distB="0" distL="0" distR="0" wp14:anchorId="3E26C4DD" wp14:editId="705B1B1D">
            <wp:extent cx="3076575" cy="2085975"/>
            <wp:effectExtent l="0" t="0" r="9525"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4A30C97" w14:textId="335C5E90" w:rsidR="003A115D" w:rsidRDefault="003A115D" w:rsidP="00884A27">
      <w:pPr>
        <w:pStyle w:val="Encabezado"/>
        <w:spacing w:line="276" w:lineRule="auto"/>
        <w:jc w:val="both"/>
        <w:rPr>
          <w:color w:val="auto"/>
          <w:sz w:val="24"/>
          <w:lang w:eastAsia="es-CL"/>
        </w:rPr>
      </w:pPr>
      <w:r w:rsidRPr="00DD5FC5">
        <w:rPr>
          <w:b/>
          <w:color w:val="auto"/>
          <w:sz w:val="24"/>
          <w:lang w:eastAsia="es-CL"/>
        </w:rPr>
        <w:t xml:space="preserve">Figura 1. </w:t>
      </w:r>
      <w:r w:rsidRPr="00DD5FC5">
        <w:rPr>
          <w:color w:val="auto"/>
          <w:sz w:val="24"/>
          <w:lang w:eastAsia="es-CL"/>
        </w:rPr>
        <w:t>Antigüedad</w:t>
      </w:r>
      <w:r>
        <w:rPr>
          <w:color w:val="auto"/>
          <w:sz w:val="24"/>
          <w:lang w:eastAsia="es-CL"/>
        </w:rPr>
        <w:t xml:space="preserve"> promedio de empresas diagnosticadas  por segmento PYME y Grande (años).</w:t>
      </w:r>
    </w:p>
    <w:p w14:paraId="79A483D0" w14:textId="77777777" w:rsidR="00F1079C" w:rsidRDefault="00F1079C" w:rsidP="00884A27">
      <w:pPr>
        <w:pStyle w:val="Encabezado"/>
        <w:spacing w:line="276" w:lineRule="auto"/>
        <w:jc w:val="both"/>
        <w:rPr>
          <w:sz w:val="28"/>
          <w:lang w:eastAsia="es-CL"/>
        </w:rPr>
      </w:pPr>
    </w:p>
    <w:p w14:paraId="037CF0FA" w14:textId="77777777" w:rsidR="004B184E" w:rsidRPr="007A53AB" w:rsidRDefault="004B184E" w:rsidP="00884A27">
      <w:pPr>
        <w:pStyle w:val="Encabezado"/>
        <w:spacing w:line="276" w:lineRule="auto"/>
        <w:jc w:val="both"/>
        <w:rPr>
          <w:sz w:val="28"/>
          <w:lang w:eastAsia="es-CL"/>
        </w:rPr>
      </w:pPr>
    </w:p>
    <w:p w14:paraId="574D8DAF" w14:textId="77777777" w:rsidR="002A3919" w:rsidRPr="004B184E" w:rsidRDefault="002A3919" w:rsidP="00E31A3F">
      <w:pPr>
        <w:pStyle w:val="Ttulo2"/>
        <w:rPr>
          <w:b w:val="0"/>
          <w:sz w:val="32"/>
          <w:szCs w:val="32"/>
          <w:lang w:eastAsia="es-CL"/>
        </w:rPr>
      </w:pPr>
      <w:bookmarkStart w:id="4" w:name="_Toc471999110"/>
      <w:r w:rsidRPr="004B184E">
        <w:rPr>
          <w:b w:val="0"/>
          <w:sz w:val="32"/>
          <w:szCs w:val="32"/>
          <w:lang w:eastAsia="es-CL"/>
        </w:rPr>
        <w:t>Representatividad de la muestra e información productiva general</w:t>
      </w:r>
      <w:bookmarkEnd w:id="4"/>
    </w:p>
    <w:p w14:paraId="17C66AB0" w14:textId="2C744877" w:rsidR="006D14C2" w:rsidRDefault="00DB70A0" w:rsidP="00DB70A0">
      <w:pPr>
        <w:pStyle w:val="Encabezado"/>
        <w:tabs>
          <w:tab w:val="clear" w:pos="4252"/>
        </w:tabs>
        <w:spacing w:before="240" w:line="276" w:lineRule="auto"/>
        <w:ind w:firstLine="851"/>
        <w:jc w:val="both"/>
        <w:rPr>
          <w:color w:val="auto"/>
          <w:sz w:val="24"/>
          <w:lang w:eastAsia="es-CL"/>
        </w:rPr>
      </w:pPr>
      <w:r>
        <w:rPr>
          <w:color w:val="auto"/>
          <w:sz w:val="24"/>
          <w:lang w:eastAsia="es-CL"/>
        </w:rPr>
        <w:tab/>
      </w:r>
      <w:r w:rsidR="002A3919" w:rsidRPr="007A53AB">
        <w:rPr>
          <w:color w:val="auto"/>
          <w:sz w:val="24"/>
          <w:lang w:eastAsia="es-CL"/>
        </w:rPr>
        <w:t xml:space="preserve">La muestra encuestada representa un volumen </w:t>
      </w:r>
      <w:r w:rsidR="00B81D40">
        <w:rPr>
          <w:color w:val="auto"/>
          <w:sz w:val="24"/>
          <w:lang w:eastAsia="es-CL"/>
        </w:rPr>
        <w:t>de</w:t>
      </w:r>
      <w:r w:rsidR="00F1079C">
        <w:rPr>
          <w:color w:val="auto"/>
          <w:sz w:val="24"/>
          <w:lang w:eastAsia="es-CL"/>
        </w:rPr>
        <w:t xml:space="preserve"> Materia P</w:t>
      </w:r>
      <w:r w:rsidR="00E044C8">
        <w:rPr>
          <w:color w:val="auto"/>
          <w:sz w:val="24"/>
          <w:lang w:eastAsia="es-CL"/>
        </w:rPr>
        <w:t xml:space="preserve">rima </w:t>
      </w:r>
      <w:r w:rsidR="00B81D40">
        <w:rPr>
          <w:color w:val="auto"/>
          <w:sz w:val="24"/>
          <w:lang w:eastAsia="es-CL"/>
        </w:rPr>
        <w:t xml:space="preserve">cosechada </w:t>
      </w:r>
      <w:r w:rsidR="006D14C2">
        <w:rPr>
          <w:color w:val="auto"/>
          <w:sz w:val="24"/>
          <w:lang w:eastAsia="es-CL"/>
        </w:rPr>
        <w:t xml:space="preserve">por los centros de cultivo diagnosticados </w:t>
      </w:r>
      <w:r w:rsidR="00B81D40">
        <w:rPr>
          <w:color w:val="auto"/>
          <w:sz w:val="24"/>
          <w:lang w:eastAsia="es-CL"/>
        </w:rPr>
        <w:t xml:space="preserve">de </w:t>
      </w:r>
      <w:r w:rsidR="00E044C8">
        <w:rPr>
          <w:color w:val="auto"/>
          <w:sz w:val="24"/>
          <w:lang w:eastAsia="es-CL"/>
        </w:rPr>
        <w:t>17</w:t>
      </w:r>
      <w:r w:rsidR="00B81D40">
        <w:rPr>
          <w:color w:val="auto"/>
          <w:sz w:val="24"/>
          <w:lang w:eastAsia="es-CL"/>
        </w:rPr>
        <w:t>7.773</w:t>
      </w:r>
      <w:r w:rsidR="00245123" w:rsidRPr="007A53AB">
        <w:rPr>
          <w:color w:val="auto"/>
          <w:sz w:val="24"/>
          <w:lang w:eastAsia="es-CL"/>
        </w:rPr>
        <w:t xml:space="preserve"> </w:t>
      </w:r>
      <w:r w:rsidR="00B81D40">
        <w:rPr>
          <w:color w:val="auto"/>
          <w:sz w:val="24"/>
          <w:lang w:eastAsia="es-CL"/>
        </w:rPr>
        <w:t>(</w:t>
      </w:r>
      <w:r w:rsidR="00245123" w:rsidRPr="007A53AB">
        <w:rPr>
          <w:color w:val="auto"/>
          <w:sz w:val="24"/>
          <w:lang w:eastAsia="es-CL"/>
        </w:rPr>
        <w:t>Ton)</w:t>
      </w:r>
      <w:r w:rsidR="002A3919" w:rsidRPr="007A53AB">
        <w:rPr>
          <w:color w:val="auto"/>
          <w:sz w:val="24"/>
          <w:lang w:eastAsia="es-CL"/>
        </w:rPr>
        <w:t xml:space="preserve"> en </w:t>
      </w:r>
      <w:r w:rsidR="00B81D40">
        <w:rPr>
          <w:color w:val="auto"/>
          <w:sz w:val="24"/>
          <w:lang w:eastAsia="es-CL"/>
        </w:rPr>
        <w:t xml:space="preserve">el año </w:t>
      </w:r>
      <w:r w:rsidR="002A3919" w:rsidRPr="007A53AB">
        <w:rPr>
          <w:color w:val="auto"/>
          <w:sz w:val="24"/>
          <w:lang w:eastAsia="es-CL"/>
        </w:rPr>
        <w:t xml:space="preserve">2015, </w:t>
      </w:r>
      <w:r w:rsidR="006D14C2">
        <w:rPr>
          <w:color w:val="auto"/>
          <w:sz w:val="24"/>
          <w:lang w:eastAsia="es-CL"/>
        </w:rPr>
        <w:t>lo cual equivale al 62% de las producción</w:t>
      </w:r>
      <w:r w:rsidR="002A3919" w:rsidRPr="007A53AB">
        <w:rPr>
          <w:color w:val="auto"/>
          <w:sz w:val="24"/>
          <w:lang w:eastAsia="es-CL"/>
        </w:rPr>
        <w:t xml:space="preserve"> total</w:t>
      </w:r>
      <w:r w:rsidR="006D14C2">
        <w:rPr>
          <w:color w:val="auto"/>
          <w:sz w:val="24"/>
          <w:lang w:eastAsia="es-CL"/>
        </w:rPr>
        <w:t xml:space="preserve"> </w:t>
      </w:r>
      <w:r w:rsidR="002A3919" w:rsidRPr="007A53AB">
        <w:rPr>
          <w:color w:val="auto"/>
          <w:sz w:val="24"/>
          <w:lang w:eastAsia="es-CL"/>
        </w:rPr>
        <w:t>del rubro</w:t>
      </w:r>
      <w:r w:rsidR="00E044C8">
        <w:rPr>
          <w:color w:val="auto"/>
          <w:sz w:val="24"/>
          <w:lang w:eastAsia="es-CL"/>
        </w:rPr>
        <w:t>, co</w:t>
      </w:r>
      <w:r w:rsidR="006D14C2">
        <w:rPr>
          <w:color w:val="auto"/>
          <w:sz w:val="24"/>
          <w:lang w:eastAsia="es-CL"/>
        </w:rPr>
        <w:t>nsiderando que la materia prima cosechada f</w:t>
      </w:r>
      <w:r w:rsidR="00E044C8">
        <w:rPr>
          <w:color w:val="auto"/>
          <w:sz w:val="24"/>
          <w:lang w:eastAsia="es-CL"/>
        </w:rPr>
        <w:t xml:space="preserve">ue de 286.000 toneladas (Ton). </w:t>
      </w:r>
      <w:r w:rsidR="000B7DD5">
        <w:rPr>
          <w:color w:val="auto"/>
          <w:sz w:val="24"/>
          <w:lang w:eastAsia="es-CL"/>
        </w:rPr>
        <w:t>(Figura 2).</w:t>
      </w:r>
    </w:p>
    <w:p w14:paraId="79DDE601" w14:textId="110C8C23" w:rsidR="00F1166D" w:rsidRDefault="00F1079C" w:rsidP="00207C9A">
      <w:pPr>
        <w:pStyle w:val="Encabezado"/>
        <w:tabs>
          <w:tab w:val="clear" w:pos="4252"/>
        </w:tabs>
        <w:spacing w:before="240" w:line="276" w:lineRule="auto"/>
        <w:jc w:val="both"/>
        <w:rPr>
          <w:color w:val="auto"/>
          <w:sz w:val="24"/>
          <w:lang w:eastAsia="es-CL"/>
        </w:rPr>
      </w:pPr>
      <w:r>
        <w:rPr>
          <w:color w:val="auto"/>
          <w:sz w:val="24"/>
          <w:lang w:eastAsia="es-CL"/>
        </w:rPr>
        <w:lastRenderedPageBreak/>
        <w:t>El volumen de Materia P</w:t>
      </w:r>
      <w:r w:rsidR="006D14C2">
        <w:rPr>
          <w:color w:val="auto"/>
          <w:sz w:val="24"/>
          <w:lang w:eastAsia="es-CL"/>
        </w:rPr>
        <w:t>rima cosechada por la categoría Pyme de las muestra es de 18.050 (Ton), mientras que la categoría Grande es de 159.723 (Ton)</w:t>
      </w:r>
      <w:r>
        <w:rPr>
          <w:color w:val="auto"/>
          <w:sz w:val="24"/>
          <w:lang w:eastAsia="es-CL"/>
        </w:rPr>
        <w:t xml:space="preserve">. </w:t>
      </w:r>
      <w:r w:rsidR="00C95232">
        <w:rPr>
          <w:color w:val="auto"/>
          <w:sz w:val="24"/>
          <w:lang w:eastAsia="es-CL"/>
        </w:rPr>
        <w:t>(</w:t>
      </w:r>
      <w:r w:rsidR="00AF49DC">
        <w:rPr>
          <w:color w:val="auto"/>
          <w:sz w:val="24"/>
          <w:lang w:eastAsia="es-CL"/>
        </w:rPr>
        <w:t>Figura 2</w:t>
      </w:r>
      <w:r w:rsidR="00C95232">
        <w:rPr>
          <w:color w:val="auto"/>
          <w:sz w:val="24"/>
          <w:lang w:eastAsia="es-CL"/>
        </w:rPr>
        <w:t>).</w:t>
      </w:r>
    </w:p>
    <w:p w14:paraId="1476AB13" w14:textId="5344D938" w:rsidR="0006015B" w:rsidRDefault="00122D9C" w:rsidP="00DB70A0">
      <w:pPr>
        <w:pStyle w:val="Encabezado"/>
        <w:spacing w:before="240" w:line="276" w:lineRule="auto"/>
        <w:ind w:firstLine="709"/>
        <w:jc w:val="both"/>
        <w:rPr>
          <w:color w:val="auto"/>
          <w:sz w:val="24"/>
          <w:lang w:eastAsia="es-CL"/>
        </w:rPr>
      </w:pPr>
      <w:r>
        <w:rPr>
          <w:noProof/>
          <w:lang w:val="es-CL" w:eastAsia="es-CL"/>
        </w:rPr>
        <w:drawing>
          <wp:inline distT="0" distB="0" distL="0" distR="0" wp14:anchorId="5AF1B3A7" wp14:editId="7A9E7804">
            <wp:extent cx="2238375" cy="2390775"/>
            <wp:effectExtent l="0" t="0" r="9525" b="9525"/>
            <wp:docPr id="455" name="Gráfico 45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Pr>
          <w:noProof/>
          <w:lang w:val="es-CL" w:eastAsia="es-CL"/>
        </w:rPr>
        <w:drawing>
          <wp:inline distT="0" distB="0" distL="0" distR="0" wp14:anchorId="7D9931B0" wp14:editId="2C6F2DD6">
            <wp:extent cx="2238375" cy="2390775"/>
            <wp:effectExtent l="0" t="0" r="9525" b="9525"/>
            <wp:docPr id="458" name="Gráfico 45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2D5F549" w14:textId="67A3EEE8" w:rsidR="006420E2" w:rsidRPr="00153640" w:rsidRDefault="00153640" w:rsidP="00DD5FC5">
      <w:pPr>
        <w:pStyle w:val="Encabezado"/>
        <w:spacing w:line="276" w:lineRule="auto"/>
        <w:jc w:val="both"/>
        <w:rPr>
          <w:color w:val="auto"/>
          <w:sz w:val="24"/>
          <w:lang w:eastAsia="es-CL"/>
        </w:rPr>
      </w:pPr>
      <w:r>
        <w:rPr>
          <w:b/>
          <w:color w:val="auto"/>
          <w:sz w:val="24"/>
          <w:lang w:eastAsia="es-CL"/>
        </w:rPr>
        <w:t>F</w:t>
      </w:r>
      <w:r w:rsidR="006420E2" w:rsidRPr="007A53AB">
        <w:rPr>
          <w:b/>
          <w:color w:val="auto"/>
          <w:sz w:val="24"/>
          <w:lang w:eastAsia="es-CL"/>
        </w:rPr>
        <w:t xml:space="preserve">igura </w:t>
      </w:r>
      <w:r w:rsidR="00AF49DC">
        <w:rPr>
          <w:b/>
          <w:color w:val="auto"/>
          <w:sz w:val="24"/>
          <w:lang w:eastAsia="es-CL"/>
        </w:rPr>
        <w:t>2</w:t>
      </w:r>
      <w:r w:rsidR="006420E2" w:rsidRPr="007A53AB">
        <w:rPr>
          <w:color w:val="auto"/>
          <w:sz w:val="24"/>
          <w:lang w:eastAsia="es-CL"/>
        </w:rPr>
        <w:t>. Representatividad de la muestra encuestada</w:t>
      </w:r>
    </w:p>
    <w:p w14:paraId="268BD86D" w14:textId="77777777" w:rsidR="0081192B" w:rsidRPr="007A53AB" w:rsidRDefault="0081192B" w:rsidP="0081192B">
      <w:pPr>
        <w:pStyle w:val="Encabezado"/>
      </w:pPr>
    </w:p>
    <w:p w14:paraId="528EDBB3" w14:textId="77777777" w:rsidR="00ED06B7" w:rsidRDefault="00ED06B7" w:rsidP="006420E2">
      <w:pPr>
        <w:pStyle w:val="Encabezado"/>
        <w:spacing w:before="240" w:after="240"/>
        <w:rPr>
          <w:szCs w:val="52"/>
        </w:rPr>
      </w:pPr>
    </w:p>
    <w:p w14:paraId="1EFFCFEF" w14:textId="637EC317" w:rsidR="00582FDE" w:rsidRPr="004B184E" w:rsidRDefault="00582FDE" w:rsidP="00E31A3F">
      <w:pPr>
        <w:pStyle w:val="Ttulo2"/>
        <w:rPr>
          <w:b w:val="0"/>
          <w:sz w:val="32"/>
          <w:szCs w:val="32"/>
          <w:lang w:eastAsia="es-CL"/>
        </w:rPr>
      </w:pPr>
      <w:bookmarkStart w:id="5" w:name="_Toc471999111"/>
      <w:r w:rsidRPr="004B184E">
        <w:rPr>
          <w:b w:val="0"/>
          <w:sz w:val="32"/>
          <w:szCs w:val="32"/>
          <w:lang w:eastAsia="es-CL"/>
        </w:rPr>
        <w:t>Fuerza laboral</w:t>
      </w:r>
      <w:bookmarkEnd w:id="5"/>
    </w:p>
    <w:p w14:paraId="55DCB589" w14:textId="1C6CF51D" w:rsidR="00582FDE" w:rsidRDefault="00582FDE" w:rsidP="00207C9A">
      <w:pPr>
        <w:spacing w:before="240" w:after="240"/>
        <w:jc w:val="both"/>
        <w:rPr>
          <w:color w:val="auto"/>
          <w:sz w:val="24"/>
          <w:lang w:eastAsia="es-CL"/>
        </w:rPr>
      </w:pPr>
      <w:r w:rsidRPr="007A53AB">
        <w:rPr>
          <w:color w:val="auto"/>
          <w:sz w:val="24"/>
          <w:lang w:eastAsia="es-CL"/>
        </w:rPr>
        <w:t>El número de trabajadores de la muestra diagnostica</w:t>
      </w:r>
      <w:r w:rsidR="00ED06B7">
        <w:rPr>
          <w:color w:val="auto"/>
          <w:sz w:val="24"/>
          <w:lang w:eastAsia="es-CL"/>
        </w:rPr>
        <w:t>da asciende a 202</w:t>
      </w:r>
      <w:r w:rsidR="00515034">
        <w:rPr>
          <w:color w:val="auto"/>
          <w:sz w:val="24"/>
          <w:lang w:eastAsia="es-CL"/>
        </w:rPr>
        <w:t xml:space="preserve"> trabajadores</w:t>
      </w:r>
      <w:r w:rsidR="00112C2D">
        <w:rPr>
          <w:color w:val="auto"/>
          <w:sz w:val="24"/>
          <w:lang w:eastAsia="es-CL"/>
        </w:rPr>
        <w:t xml:space="preserve">. </w:t>
      </w:r>
      <w:r w:rsidR="006D3DE4">
        <w:rPr>
          <w:color w:val="auto"/>
          <w:sz w:val="24"/>
          <w:lang w:eastAsia="es-CL"/>
        </w:rPr>
        <w:t xml:space="preserve">El análisis de </w:t>
      </w:r>
      <w:r w:rsidR="00940E0E">
        <w:rPr>
          <w:color w:val="auto"/>
          <w:sz w:val="24"/>
          <w:lang w:eastAsia="es-CL"/>
        </w:rPr>
        <w:t>la mano de obra</w:t>
      </w:r>
      <w:r w:rsidR="00FB38F3">
        <w:rPr>
          <w:color w:val="auto"/>
          <w:sz w:val="24"/>
          <w:lang w:eastAsia="es-CL"/>
        </w:rPr>
        <w:t xml:space="preserve"> </w:t>
      </w:r>
      <w:r w:rsidR="00940E0E">
        <w:rPr>
          <w:color w:val="auto"/>
          <w:sz w:val="24"/>
          <w:lang w:eastAsia="es-CL"/>
        </w:rPr>
        <w:t>según el</w:t>
      </w:r>
      <w:r w:rsidRPr="007A53AB">
        <w:rPr>
          <w:color w:val="auto"/>
          <w:sz w:val="24"/>
          <w:lang w:eastAsia="es-CL"/>
        </w:rPr>
        <w:t xml:space="preserve"> </w:t>
      </w:r>
      <w:r w:rsidR="00940E0E">
        <w:rPr>
          <w:color w:val="auto"/>
          <w:sz w:val="24"/>
          <w:lang w:eastAsia="es-CL"/>
        </w:rPr>
        <w:t>gé</w:t>
      </w:r>
      <w:r w:rsidRPr="007A53AB">
        <w:rPr>
          <w:color w:val="auto"/>
          <w:sz w:val="24"/>
          <w:lang w:eastAsia="es-CL"/>
        </w:rPr>
        <w:t>nero</w:t>
      </w:r>
      <w:r w:rsidR="00940E0E">
        <w:rPr>
          <w:color w:val="auto"/>
          <w:sz w:val="24"/>
          <w:lang w:eastAsia="es-CL"/>
        </w:rPr>
        <w:t xml:space="preserve"> de los trabajadores</w:t>
      </w:r>
      <w:r w:rsidR="006D3DE4">
        <w:rPr>
          <w:color w:val="auto"/>
          <w:sz w:val="24"/>
          <w:lang w:eastAsia="es-CL"/>
        </w:rPr>
        <w:t xml:space="preserve"> de la muestra</w:t>
      </w:r>
      <w:r w:rsidR="00FB38F3">
        <w:rPr>
          <w:color w:val="auto"/>
          <w:sz w:val="24"/>
          <w:lang w:eastAsia="es-CL"/>
        </w:rPr>
        <w:t xml:space="preserve">, </w:t>
      </w:r>
      <w:r w:rsidR="006D3DE4">
        <w:rPr>
          <w:color w:val="auto"/>
          <w:sz w:val="24"/>
          <w:lang w:eastAsia="es-CL"/>
        </w:rPr>
        <w:t>172</w:t>
      </w:r>
      <w:r w:rsidRPr="007A53AB">
        <w:rPr>
          <w:color w:val="auto"/>
          <w:sz w:val="24"/>
          <w:lang w:eastAsia="es-CL"/>
        </w:rPr>
        <w:t xml:space="preserve"> </w:t>
      </w:r>
      <w:r w:rsidR="006D3DE4">
        <w:rPr>
          <w:color w:val="auto"/>
          <w:sz w:val="24"/>
          <w:lang w:eastAsia="es-CL"/>
        </w:rPr>
        <w:t>trabajadores</w:t>
      </w:r>
      <w:r w:rsidR="005E1050">
        <w:rPr>
          <w:color w:val="auto"/>
          <w:sz w:val="24"/>
          <w:lang w:eastAsia="es-CL"/>
        </w:rPr>
        <w:t xml:space="preserve"> </w:t>
      </w:r>
      <w:r w:rsidR="00FB38F3">
        <w:rPr>
          <w:color w:val="auto"/>
          <w:sz w:val="24"/>
          <w:lang w:eastAsia="es-CL"/>
        </w:rPr>
        <w:t xml:space="preserve">son </w:t>
      </w:r>
      <w:r w:rsidR="005E1050">
        <w:rPr>
          <w:color w:val="auto"/>
          <w:sz w:val="24"/>
          <w:lang w:eastAsia="es-CL"/>
        </w:rPr>
        <w:t>hombres</w:t>
      </w:r>
      <w:r w:rsidR="006D3DE4">
        <w:rPr>
          <w:color w:val="auto"/>
          <w:sz w:val="24"/>
          <w:lang w:eastAsia="es-CL"/>
        </w:rPr>
        <w:t xml:space="preserve"> y 30 trabajadores</w:t>
      </w:r>
      <w:r w:rsidR="00FB38F3">
        <w:rPr>
          <w:color w:val="auto"/>
          <w:sz w:val="24"/>
          <w:lang w:eastAsia="es-CL"/>
        </w:rPr>
        <w:t xml:space="preserve"> son</w:t>
      </w:r>
      <w:r w:rsidR="006D3DE4">
        <w:rPr>
          <w:color w:val="auto"/>
          <w:sz w:val="24"/>
          <w:lang w:eastAsia="es-CL"/>
        </w:rPr>
        <w:t xml:space="preserve"> mujeres. Según el tipo de contrato, 37 trabajadores poseen contrato temporal y 165 trabajadores contrato indefinido</w:t>
      </w:r>
      <w:r w:rsidR="009C4432">
        <w:rPr>
          <w:color w:val="auto"/>
          <w:sz w:val="24"/>
          <w:lang w:eastAsia="es-CL"/>
        </w:rPr>
        <w:t>.</w:t>
      </w:r>
      <w:r w:rsidRPr="007A53AB">
        <w:rPr>
          <w:color w:val="auto"/>
          <w:sz w:val="24"/>
          <w:lang w:eastAsia="es-CL"/>
        </w:rPr>
        <w:t xml:space="preserve"> (Figura </w:t>
      </w:r>
      <w:r w:rsidR="009E3E4C" w:rsidRPr="007A53AB">
        <w:rPr>
          <w:color w:val="auto"/>
          <w:sz w:val="24"/>
          <w:lang w:eastAsia="es-CL"/>
        </w:rPr>
        <w:t>3</w:t>
      </w:r>
      <w:r w:rsidRPr="007A53AB">
        <w:rPr>
          <w:color w:val="auto"/>
          <w:sz w:val="24"/>
          <w:lang w:eastAsia="es-CL"/>
        </w:rPr>
        <w:t>).</w:t>
      </w:r>
      <w:r w:rsidR="005E1050">
        <w:rPr>
          <w:color w:val="auto"/>
          <w:sz w:val="24"/>
          <w:lang w:eastAsia="es-CL"/>
        </w:rPr>
        <w:t xml:space="preserve">Por lo tanto, la mayor cantidad de trabajadores corresponden al género masculino </w:t>
      </w:r>
      <w:r w:rsidR="008C43F9">
        <w:rPr>
          <w:color w:val="auto"/>
          <w:sz w:val="24"/>
          <w:lang w:eastAsia="es-CL"/>
        </w:rPr>
        <w:t>y poseen contrato indefinido.</w:t>
      </w:r>
    </w:p>
    <w:p w14:paraId="30350782" w14:textId="129F6822" w:rsidR="00D43CEE" w:rsidRDefault="00D43CEE" w:rsidP="00D43CEE">
      <w:pPr>
        <w:pStyle w:val="Encabezado"/>
        <w:rPr>
          <w:lang w:eastAsia="es-CL"/>
        </w:rPr>
      </w:pPr>
      <w:r>
        <w:rPr>
          <w:noProof/>
          <w:lang w:val="es-CL" w:eastAsia="es-CL"/>
        </w:rPr>
        <w:lastRenderedPageBreak/>
        <w:drawing>
          <wp:inline distT="0" distB="0" distL="0" distR="0" wp14:anchorId="086A9661" wp14:editId="3765A378">
            <wp:extent cx="1629834" cy="2108200"/>
            <wp:effectExtent l="0" t="0" r="27940" b="25400"/>
            <wp:docPr id="473" name="Gráfico 47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Pr>
          <w:noProof/>
          <w:lang w:val="es-CL" w:eastAsia="es-CL"/>
        </w:rPr>
        <w:drawing>
          <wp:inline distT="0" distB="0" distL="0" distR="0" wp14:anchorId="352C329C" wp14:editId="13D8AE2C">
            <wp:extent cx="1629834" cy="2108200"/>
            <wp:effectExtent l="0" t="0" r="27940" b="25400"/>
            <wp:docPr id="474" name="Gráfico 47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435547">
        <w:rPr>
          <w:noProof/>
          <w:sz w:val="16"/>
          <w:szCs w:val="16"/>
          <w:lang w:val="es-CL" w:eastAsia="es-CL"/>
        </w:rPr>
        <w:drawing>
          <wp:inline distT="0" distB="0" distL="0" distR="0" wp14:anchorId="06B0C532" wp14:editId="5A90980F">
            <wp:extent cx="1629834" cy="2108200"/>
            <wp:effectExtent l="0" t="0" r="27940" b="25400"/>
            <wp:docPr id="475" name="Gráfico 47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CF65D2E" w14:textId="294183B9" w:rsidR="005E1050" w:rsidRDefault="005E1050" w:rsidP="005E1050">
      <w:pPr>
        <w:pStyle w:val="Encabezado"/>
        <w:rPr>
          <w:color w:val="auto"/>
          <w:sz w:val="24"/>
          <w:lang w:eastAsia="es-CL"/>
        </w:rPr>
      </w:pPr>
      <w:r w:rsidRPr="007A53AB">
        <w:rPr>
          <w:b/>
          <w:color w:val="auto"/>
          <w:sz w:val="24"/>
          <w:lang w:eastAsia="es-CL"/>
        </w:rPr>
        <w:t>Figura 3</w:t>
      </w:r>
      <w:r w:rsidRPr="007A53AB">
        <w:rPr>
          <w:color w:val="auto"/>
          <w:sz w:val="24"/>
          <w:lang w:eastAsia="es-CL"/>
        </w:rPr>
        <w:t xml:space="preserve">. </w:t>
      </w:r>
      <w:r>
        <w:rPr>
          <w:color w:val="auto"/>
          <w:sz w:val="24"/>
          <w:lang w:eastAsia="es-CL"/>
        </w:rPr>
        <w:t>Total de trabajadores de centros de cultivos diagnosticados</w:t>
      </w:r>
      <w:r w:rsidR="0036019E">
        <w:rPr>
          <w:color w:val="auto"/>
          <w:sz w:val="24"/>
          <w:lang w:eastAsia="es-CL"/>
        </w:rPr>
        <w:t>,</w:t>
      </w:r>
      <w:r>
        <w:rPr>
          <w:color w:val="auto"/>
          <w:sz w:val="24"/>
          <w:lang w:eastAsia="es-CL"/>
        </w:rPr>
        <w:t xml:space="preserve"> y</w:t>
      </w:r>
      <w:r w:rsidRPr="007A53AB">
        <w:rPr>
          <w:color w:val="auto"/>
          <w:sz w:val="24"/>
          <w:lang w:eastAsia="es-CL"/>
        </w:rPr>
        <w:t xml:space="preserve"> según tipo de contrato y género</w:t>
      </w:r>
      <w:r>
        <w:rPr>
          <w:color w:val="auto"/>
          <w:sz w:val="24"/>
          <w:lang w:eastAsia="es-CL"/>
        </w:rPr>
        <w:t xml:space="preserve"> (N°).</w:t>
      </w:r>
    </w:p>
    <w:p w14:paraId="174F9D80" w14:textId="77777777" w:rsidR="00DD5FC5" w:rsidRPr="007A53AB" w:rsidRDefault="00DD5FC5" w:rsidP="005E1050">
      <w:pPr>
        <w:pStyle w:val="Encabezado"/>
        <w:rPr>
          <w:color w:val="auto"/>
          <w:sz w:val="24"/>
          <w:lang w:eastAsia="es-CL"/>
        </w:rPr>
      </w:pPr>
    </w:p>
    <w:p w14:paraId="7D6DD0ED" w14:textId="303950DB" w:rsidR="00D43CEE" w:rsidRPr="00D43CEE" w:rsidRDefault="00D43CEE" w:rsidP="00D43CEE">
      <w:pPr>
        <w:pStyle w:val="Encabezado"/>
        <w:rPr>
          <w:lang w:eastAsia="es-CL"/>
        </w:rPr>
      </w:pPr>
    </w:p>
    <w:p w14:paraId="7629B5B3" w14:textId="5760A412" w:rsidR="00ED06B7" w:rsidRDefault="008C43F9" w:rsidP="00207C9A">
      <w:pPr>
        <w:pStyle w:val="Encabezado"/>
        <w:jc w:val="both"/>
        <w:rPr>
          <w:color w:val="auto"/>
          <w:sz w:val="24"/>
          <w:lang w:eastAsia="es-CL"/>
        </w:rPr>
      </w:pPr>
      <w:r w:rsidRPr="007A53AB">
        <w:rPr>
          <w:color w:val="auto"/>
          <w:sz w:val="24"/>
          <w:lang w:eastAsia="es-CL"/>
        </w:rPr>
        <w:t xml:space="preserve">El número de trabajadores </w:t>
      </w:r>
      <w:r>
        <w:rPr>
          <w:color w:val="auto"/>
          <w:sz w:val="24"/>
          <w:lang w:eastAsia="es-CL"/>
        </w:rPr>
        <w:t xml:space="preserve">promedio </w:t>
      </w:r>
      <w:r w:rsidRPr="007A53AB">
        <w:rPr>
          <w:color w:val="auto"/>
          <w:sz w:val="24"/>
          <w:lang w:eastAsia="es-CL"/>
        </w:rPr>
        <w:t>de la muestra diagnostica</w:t>
      </w:r>
      <w:r>
        <w:rPr>
          <w:color w:val="auto"/>
          <w:sz w:val="24"/>
          <w:lang w:eastAsia="es-CL"/>
        </w:rPr>
        <w:t>da son indicados a continuación en la Tabla 2.</w:t>
      </w:r>
    </w:p>
    <w:p w14:paraId="269E3E32" w14:textId="77777777" w:rsidR="008C43F9" w:rsidRDefault="008C43F9" w:rsidP="00ED06B7">
      <w:pPr>
        <w:pStyle w:val="Encabezado"/>
        <w:rPr>
          <w:color w:val="auto"/>
          <w:sz w:val="24"/>
          <w:lang w:eastAsia="es-CL"/>
        </w:rPr>
      </w:pPr>
    </w:p>
    <w:tbl>
      <w:tblPr>
        <w:tblStyle w:val="GridTable1LightAccent6"/>
        <w:tblW w:w="8240" w:type="dxa"/>
        <w:tblLook w:val="04A0" w:firstRow="1" w:lastRow="0" w:firstColumn="1" w:lastColumn="0" w:noHBand="0" w:noVBand="1"/>
      </w:tblPr>
      <w:tblGrid>
        <w:gridCol w:w="2240"/>
        <w:gridCol w:w="1200"/>
        <w:gridCol w:w="1200"/>
        <w:gridCol w:w="1200"/>
        <w:gridCol w:w="1200"/>
        <w:gridCol w:w="1200"/>
      </w:tblGrid>
      <w:tr w:rsidR="008C43F9" w:rsidRPr="008C43F9" w14:paraId="0E8D8D50" w14:textId="77777777" w:rsidTr="008C43F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240" w:type="dxa"/>
            <w:noWrap/>
            <w:hideMark/>
          </w:tcPr>
          <w:p w14:paraId="36D0F610" w14:textId="77777777" w:rsidR="008C43F9" w:rsidRPr="008C43F9" w:rsidRDefault="008C43F9" w:rsidP="008C43F9">
            <w:pPr>
              <w:jc w:val="center"/>
              <w:rPr>
                <w:rFonts w:ascii="Calibri" w:eastAsia="Times New Roman" w:hAnsi="Calibri" w:cs="Calibri"/>
                <w:color w:val="000000"/>
                <w:sz w:val="22"/>
                <w:lang w:val="es-CL" w:eastAsia="es-CL"/>
              </w:rPr>
            </w:pPr>
            <w:r w:rsidRPr="008C43F9">
              <w:rPr>
                <w:rFonts w:ascii="Calibri" w:eastAsia="Times New Roman" w:hAnsi="Calibri" w:cs="Calibri"/>
                <w:color w:val="000000"/>
                <w:sz w:val="22"/>
                <w:lang w:val="es-CL" w:eastAsia="es-CL"/>
              </w:rPr>
              <w:t> </w:t>
            </w:r>
          </w:p>
        </w:tc>
        <w:tc>
          <w:tcPr>
            <w:tcW w:w="1200" w:type="dxa"/>
            <w:noWrap/>
            <w:hideMark/>
          </w:tcPr>
          <w:p w14:paraId="097C89E0" w14:textId="77777777" w:rsidR="008C43F9" w:rsidRPr="008C43F9" w:rsidRDefault="008C43F9" w:rsidP="008C43F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val="es-CL" w:eastAsia="es-CL"/>
              </w:rPr>
            </w:pPr>
            <w:r w:rsidRPr="008C43F9">
              <w:rPr>
                <w:rFonts w:ascii="Calibri" w:eastAsia="Times New Roman" w:hAnsi="Calibri" w:cs="Calibri"/>
                <w:color w:val="000000"/>
                <w:sz w:val="18"/>
                <w:szCs w:val="18"/>
                <w:lang w:val="es-CL" w:eastAsia="es-CL"/>
              </w:rPr>
              <w:t>Trabajadores (N°)</w:t>
            </w:r>
          </w:p>
        </w:tc>
        <w:tc>
          <w:tcPr>
            <w:tcW w:w="1200" w:type="dxa"/>
            <w:noWrap/>
            <w:hideMark/>
          </w:tcPr>
          <w:p w14:paraId="09C2037C" w14:textId="77777777" w:rsidR="008C43F9" w:rsidRPr="008C43F9" w:rsidRDefault="008C43F9" w:rsidP="008C43F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val="es-CL" w:eastAsia="es-CL"/>
              </w:rPr>
            </w:pPr>
            <w:r w:rsidRPr="008C43F9">
              <w:rPr>
                <w:rFonts w:ascii="Calibri" w:eastAsia="Times New Roman" w:hAnsi="Calibri" w:cs="Calibri"/>
                <w:color w:val="000000"/>
                <w:sz w:val="18"/>
                <w:szCs w:val="18"/>
                <w:lang w:val="es-CL" w:eastAsia="es-CL"/>
              </w:rPr>
              <w:t>Hombres (N°)</w:t>
            </w:r>
          </w:p>
        </w:tc>
        <w:tc>
          <w:tcPr>
            <w:tcW w:w="1200" w:type="dxa"/>
            <w:noWrap/>
            <w:hideMark/>
          </w:tcPr>
          <w:p w14:paraId="730C6CDB" w14:textId="77777777" w:rsidR="008C43F9" w:rsidRPr="008C43F9" w:rsidRDefault="008C43F9" w:rsidP="008C43F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val="es-CL" w:eastAsia="es-CL"/>
              </w:rPr>
            </w:pPr>
            <w:r w:rsidRPr="008C43F9">
              <w:rPr>
                <w:rFonts w:ascii="Calibri" w:eastAsia="Times New Roman" w:hAnsi="Calibri" w:cs="Calibri"/>
                <w:color w:val="000000"/>
                <w:sz w:val="18"/>
                <w:szCs w:val="18"/>
                <w:lang w:val="es-CL" w:eastAsia="es-CL"/>
              </w:rPr>
              <w:t>Mujeres (N°)</w:t>
            </w:r>
          </w:p>
        </w:tc>
        <w:tc>
          <w:tcPr>
            <w:tcW w:w="1200" w:type="dxa"/>
            <w:noWrap/>
            <w:hideMark/>
          </w:tcPr>
          <w:p w14:paraId="3EB91255" w14:textId="77777777" w:rsidR="008C43F9" w:rsidRPr="008C43F9" w:rsidRDefault="008C43F9" w:rsidP="008C43F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val="es-CL" w:eastAsia="es-CL"/>
              </w:rPr>
            </w:pPr>
            <w:r w:rsidRPr="008C43F9">
              <w:rPr>
                <w:rFonts w:ascii="Calibri" w:eastAsia="Times New Roman" w:hAnsi="Calibri" w:cs="Calibri"/>
                <w:color w:val="000000"/>
                <w:sz w:val="18"/>
                <w:szCs w:val="18"/>
                <w:lang w:val="es-CL" w:eastAsia="es-CL"/>
              </w:rPr>
              <w:t>Temporal (N°)</w:t>
            </w:r>
          </w:p>
        </w:tc>
        <w:tc>
          <w:tcPr>
            <w:tcW w:w="1200" w:type="dxa"/>
            <w:noWrap/>
            <w:hideMark/>
          </w:tcPr>
          <w:p w14:paraId="5D011B9F" w14:textId="77777777" w:rsidR="008C43F9" w:rsidRPr="008C43F9" w:rsidRDefault="008C43F9" w:rsidP="008C43F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val="es-CL" w:eastAsia="es-CL"/>
              </w:rPr>
            </w:pPr>
            <w:r w:rsidRPr="008C43F9">
              <w:rPr>
                <w:rFonts w:ascii="Calibri" w:eastAsia="Times New Roman" w:hAnsi="Calibri" w:cs="Calibri"/>
                <w:color w:val="000000"/>
                <w:sz w:val="18"/>
                <w:szCs w:val="18"/>
                <w:lang w:val="es-CL" w:eastAsia="es-CL"/>
              </w:rPr>
              <w:t>Indefinido (N°)</w:t>
            </w:r>
          </w:p>
        </w:tc>
      </w:tr>
      <w:tr w:rsidR="008C43F9" w:rsidRPr="008C43F9" w14:paraId="0EA68DE5" w14:textId="77777777" w:rsidTr="008C43F9">
        <w:trPr>
          <w:trHeight w:val="315"/>
        </w:trPr>
        <w:tc>
          <w:tcPr>
            <w:cnfStyle w:val="001000000000" w:firstRow="0" w:lastRow="0" w:firstColumn="1" w:lastColumn="0" w:oddVBand="0" w:evenVBand="0" w:oddHBand="0" w:evenHBand="0" w:firstRowFirstColumn="0" w:firstRowLastColumn="0" w:lastRowFirstColumn="0" w:lastRowLastColumn="0"/>
            <w:tcW w:w="2240" w:type="dxa"/>
            <w:noWrap/>
            <w:hideMark/>
          </w:tcPr>
          <w:p w14:paraId="6772F4C7" w14:textId="77777777" w:rsidR="008C43F9" w:rsidRPr="008C43F9" w:rsidRDefault="008C43F9" w:rsidP="008C43F9">
            <w:pPr>
              <w:jc w:val="center"/>
              <w:rPr>
                <w:rFonts w:ascii="Calibri" w:eastAsia="Times New Roman" w:hAnsi="Calibri" w:cs="Calibri"/>
                <w:color w:val="000000"/>
                <w:sz w:val="18"/>
                <w:szCs w:val="18"/>
                <w:lang w:val="es-CL" w:eastAsia="es-CL"/>
              </w:rPr>
            </w:pPr>
            <w:r w:rsidRPr="008C43F9">
              <w:rPr>
                <w:rFonts w:ascii="Calibri" w:eastAsia="Times New Roman" w:hAnsi="Calibri" w:cs="Calibri"/>
                <w:color w:val="000000"/>
                <w:sz w:val="18"/>
                <w:szCs w:val="18"/>
                <w:lang w:val="es-CL" w:eastAsia="es-CL"/>
              </w:rPr>
              <w:t>Promedio</w:t>
            </w:r>
          </w:p>
        </w:tc>
        <w:tc>
          <w:tcPr>
            <w:tcW w:w="1200" w:type="dxa"/>
            <w:noWrap/>
            <w:hideMark/>
          </w:tcPr>
          <w:p w14:paraId="40255168" w14:textId="77777777" w:rsidR="008C43F9" w:rsidRPr="008C43F9" w:rsidRDefault="008C43F9" w:rsidP="008C43F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8C43F9">
              <w:rPr>
                <w:rFonts w:ascii="Calibri" w:eastAsia="Times New Roman" w:hAnsi="Calibri" w:cs="Calibri"/>
                <w:color w:val="000000"/>
                <w:sz w:val="22"/>
                <w:lang w:val="es-CL" w:eastAsia="es-CL"/>
              </w:rPr>
              <w:t>10</w:t>
            </w:r>
          </w:p>
        </w:tc>
        <w:tc>
          <w:tcPr>
            <w:tcW w:w="1200" w:type="dxa"/>
            <w:noWrap/>
            <w:hideMark/>
          </w:tcPr>
          <w:p w14:paraId="72B0D7D2" w14:textId="77777777" w:rsidR="008C43F9" w:rsidRPr="008C43F9" w:rsidRDefault="008C43F9" w:rsidP="008C43F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8C43F9">
              <w:rPr>
                <w:rFonts w:ascii="Calibri" w:eastAsia="Times New Roman" w:hAnsi="Calibri" w:cs="Calibri"/>
                <w:color w:val="000000"/>
                <w:sz w:val="22"/>
                <w:lang w:val="es-CL" w:eastAsia="es-CL"/>
              </w:rPr>
              <w:t>8</w:t>
            </w:r>
          </w:p>
        </w:tc>
        <w:tc>
          <w:tcPr>
            <w:tcW w:w="1200" w:type="dxa"/>
            <w:noWrap/>
            <w:hideMark/>
          </w:tcPr>
          <w:p w14:paraId="055499B7" w14:textId="77777777" w:rsidR="008C43F9" w:rsidRPr="008C43F9" w:rsidRDefault="008C43F9" w:rsidP="008C43F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8C43F9">
              <w:rPr>
                <w:rFonts w:ascii="Calibri" w:eastAsia="Times New Roman" w:hAnsi="Calibri" w:cs="Calibri"/>
                <w:color w:val="000000"/>
                <w:sz w:val="22"/>
                <w:lang w:val="es-CL" w:eastAsia="es-CL"/>
              </w:rPr>
              <w:t>2</w:t>
            </w:r>
          </w:p>
        </w:tc>
        <w:tc>
          <w:tcPr>
            <w:tcW w:w="1200" w:type="dxa"/>
            <w:noWrap/>
            <w:hideMark/>
          </w:tcPr>
          <w:p w14:paraId="1999AFB7" w14:textId="77777777" w:rsidR="008C43F9" w:rsidRPr="008C43F9" w:rsidRDefault="008C43F9" w:rsidP="008C43F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8C43F9">
              <w:rPr>
                <w:rFonts w:ascii="Calibri" w:eastAsia="Times New Roman" w:hAnsi="Calibri" w:cs="Calibri"/>
                <w:color w:val="000000"/>
                <w:sz w:val="22"/>
                <w:lang w:val="es-CL" w:eastAsia="es-CL"/>
              </w:rPr>
              <w:t>2</w:t>
            </w:r>
          </w:p>
        </w:tc>
        <w:tc>
          <w:tcPr>
            <w:tcW w:w="1200" w:type="dxa"/>
            <w:noWrap/>
            <w:hideMark/>
          </w:tcPr>
          <w:p w14:paraId="37F6B5BB" w14:textId="77777777" w:rsidR="008C43F9" w:rsidRPr="008C43F9" w:rsidRDefault="008C43F9" w:rsidP="008C43F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val="es-CL" w:eastAsia="es-CL"/>
              </w:rPr>
            </w:pPr>
            <w:r w:rsidRPr="008C43F9">
              <w:rPr>
                <w:rFonts w:ascii="Calibri" w:eastAsia="Times New Roman" w:hAnsi="Calibri" w:cs="Calibri"/>
                <w:color w:val="000000"/>
                <w:sz w:val="22"/>
                <w:lang w:val="es-CL" w:eastAsia="es-CL"/>
              </w:rPr>
              <w:t>8</w:t>
            </w:r>
          </w:p>
        </w:tc>
      </w:tr>
    </w:tbl>
    <w:p w14:paraId="335BAF2B" w14:textId="674F6C0E" w:rsidR="008C43F9" w:rsidRDefault="008C43F9" w:rsidP="0036019E">
      <w:pPr>
        <w:pStyle w:val="Encabezado"/>
        <w:spacing w:line="276" w:lineRule="auto"/>
        <w:jc w:val="both"/>
        <w:rPr>
          <w:lang w:eastAsia="es-CL"/>
        </w:rPr>
      </w:pPr>
      <w:r w:rsidRPr="00DD5FC5">
        <w:rPr>
          <w:b/>
          <w:color w:val="auto"/>
          <w:sz w:val="24"/>
          <w:lang w:eastAsia="es-CL"/>
        </w:rPr>
        <w:t>Tabla 2.</w:t>
      </w:r>
      <w:r w:rsidRPr="007A53AB">
        <w:rPr>
          <w:b/>
          <w:color w:val="auto"/>
          <w:sz w:val="24"/>
          <w:lang w:eastAsia="es-CL"/>
        </w:rPr>
        <w:t xml:space="preserve"> </w:t>
      </w:r>
      <w:r w:rsidR="0036019E" w:rsidRPr="0036019E">
        <w:rPr>
          <w:color w:val="auto"/>
          <w:sz w:val="24"/>
          <w:lang w:eastAsia="es-CL"/>
        </w:rPr>
        <w:t>Promedio del</w:t>
      </w:r>
      <w:r w:rsidR="0036019E">
        <w:rPr>
          <w:b/>
          <w:color w:val="auto"/>
          <w:sz w:val="24"/>
          <w:lang w:eastAsia="es-CL"/>
        </w:rPr>
        <w:t xml:space="preserve"> </w:t>
      </w:r>
      <w:r w:rsidR="0036019E" w:rsidRPr="0036019E">
        <w:rPr>
          <w:color w:val="auto"/>
          <w:sz w:val="24"/>
          <w:lang w:eastAsia="es-CL"/>
        </w:rPr>
        <w:t xml:space="preserve">Número de trabajadores </w:t>
      </w:r>
      <w:r>
        <w:rPr>
          <w:color w:val="auto"/>
          <w:sz w:val="24"/>
          <w:lang w:eastAsia="es-CL"/>
        </w:rPr>
        <w:t>de lo</w:t>
      </w:r>
      <w:r w:rsidRPr="007A53AB">
        <w:rPr>
          <w:color w:val="auto"/>
          <w:sz w:val="24"/>
          <w:lang w:eastAsia="es-CL"/>
        </w:rPr>
        <w:t xml:space="preserve">s </w:t>
      </w:r>
      <w:r>
        <w:rPr>
          <w:color w:val="auto"/>
          <w:sz w:val="24"/>
          <w:lang w:eastAsia="es-CL"/>
        </w:rPr>
        <w:t>centros de cultivo diagnosticado</w:t>
      </w:r>
      <w:r w:rsidRPr="007A53AB">
        <w:rPr>
          <w:color w:val="auto"/>
          <w:sz w:val="24"/>
          <w:lang w:eastAsia="es-CL"/>
        </w:rPr>
        <w:t>s.</w:t>
      </w:r>
    </w:p>
    <w:p w14:paraId="1834D02F" w14:textId="77777777" w:rsidR="00D9663A" w:rsidRDefault="00D9663A" w:rsidP="00ED06B7">
      <w:pPr>
        <w:pStyle w:val="Encabezado"/>
        <w:rPr>
          <w:lang w:eastAsia="es-CL"/>
        </w:rPr>
      </w:pPr>
    </w:p>
    <w:p w14:paraId="3D23573E" w14:textId="3ADBD7C6" w:rsidR="00D9663A" w:rsidRDefault="00D9663A" w:rsidP="00207C9A">
      <w:pPr>
        <w:pStyle w:val="Encabezado"/>
        <w:spacing w:line="276" w:lineRule="auto"/>
        <w:jc w:val="both"/>
        <w:rPr>
          <w:color w:val="auto"/>
          <w:sz w:val="24"/>
          <w:lang w:eastAsia="es-CL"/>
        </w:rPr>
      </w:pPr>
      <w:r w:rsidRPr="007A53AB">
        <w:rPr>
          <w:color w:val="auto"/>
          <w:sz w:val="24"/>
          <w:lang w:eastAsia="es-CL"/>
        </w:rPr>
        <w:t xml:space="preserve">El </w:t>
      </w:r>
      <w:r>
        <w:rPr>
          <w:color w:val="auto"/>
          <w:sz w:val="24"/>
          <w:lang w:eastAsia="es-CL"/>
        </w:rPr>
        <w:t xml:space="preserve">análisis de trabajadores promedio por categoría de empresa, evidenció que 5 trabajadores realizan su actividad laboral en empresas PYME y 20 trabajadores </w:t>
      </w:r>
      <w:r w:rsidR="00D82E5D">
        <w:rPr>
          <w:color w:val="auto"/>
          <w:sz w:val="24"/>
          <w:lang w:eastAsia="es-CL"/>
        </w:rPr>
        <w:t xml:space="preserve">en empresas Grande, por lo tanto los centros del segmento Grande poseen en promedio mayor número de trabajadores </w:t>
      </w:r>
      <w:r w:rsidR="0036019E">
        <w:rPr>
          <w:color w:val="auto"/>
          <w:sz w:val="24"/>
          <w:lang w:eastAsia="es-CL"/>
        </w:rPr>
        <w:t>que</w:t>
      </w:r>
      <w:r w:rsidR="00ED3432">
        <w:rPr>
          <w:color w:val="auto"/>
          <w:sz w:val="24"/>
          <w:lang w:eastAsia="es-CL"/>
        </w:rPr>
        <w:t xml:space="preserve"> </w:t>
      </w:r>
      <w:r w:rsidR="00D82E5D">
        <w:rPr>
          <w:color w:val="auto"/>
          <w:sz w:val="24"/>
          <w:lang w:eastAsia="es-CL"/>
        </w:rPr>
        <w:t>lo</w:t>
      </w:r>
      <w:r w:rsidR="00ED3432">
        <w:rPr>
          <w:color w:val="auto"/>
          <w:sz w:val="24"/>
          <w:lang w:eastAsia="es-CL"/>
        </w:rPr>
        <w:t>s</w:t>
      </w:r>
      <w:r w:rsidR="00D82E5D">
        <w:rPr>
          <w:color w:val="auto"/>
          <w:sz w:val="24"/>
          <w:lang w:eastAsia="es-CL"/>
        </w:rPr>
        <w:t xml:space="preserve"> centros de cultivo PYME. </w:t>
      </w:r>
      <w:r>
        <w:rPr>
          <w:color w:val="auto"/>
          <w:sz w:val="24"/>
          <w:lang w:eastAsia="es-CL"/>
        </w:rPr>
        <w:t>(Figura 4).</w:t>
      </w:r>
    </w:p>
    <w:p w14:paraId="12C47A33" w14:textId="77777777" w:rsidR="00D82E5D" w:rsidRDefault="00D82E5D" w:rsidP="00D82E5D">
      <w:pPr>
        <w:pStyle w:val="Encabezado"/>
        <w:spacing w:line="276" w:lineRule="auto"/>
        <w:ind w:firstLine="709"/>
        <w:jc w:val="both"/>
        <w:rPr>
          <w:color w:val="auto"/>
          <w:sz w:val="24"/>
          <w:lang w:eastAsia="es-CL"/>
        </w:rPr>
      </w:pPr>
    </w:p>
    <w:p w14:paraId="0EB82FB2" w14:textId="203DE509" w:rsidR="00D9663A" w:rsidRDefault="00D9663A" w:rsidP="00207C9A">
      <w:pPr>
        <w:pStyle w:val="Encabezado"/>
        <w:spacing w:line="276" w:lineRule="auto"/>
        <w:jc w:val="both"/>
        <w:rPr>
          <w:color w:val="auto"/>
          <w:sz w:val="24"/>
          <w:lang w:eastAsia="es-CL"/>
        </w:rPr>
      </w:pPr>
      <w:r>
        <w:rPr>
          <w:color w:val="auto"/>
          <w:sz w:val="24"/>
          <w:lang w:eastAsia="es-CL"/>
        </w:rPr>
        <w:t xml:space="preserve">Según, el género de los trabajadores </w:t>
      </w:r>
      <w:r w:rsidR="00305970">
        <w:rPr>
          <w:color w:val="auto"/>
          <w:sz w:val="24"/>
          <w:lang w:eastAsia="es-CL"/>
        </w:rPr>
        <w:t>se observó</w:t>
      </w:r>
      <w:r>
        <w:rPr>
          <w:color w:val="auto"/>
          <w:sz w:val="24"/>
          <w:lang w:eastAsia="es-CL"/>
        </w:rPr>
        <w:t xml:space="preserve"> </w:t>
      </w:r>
      <w:r w:rsidR="0036019E">
        <w:rPr>
          <w:color w:val="auto"/>
          <w:sz w:val="24"/>
          <w:lang w:eastAsia="es-CL"/>
        </w:rPr>
        <w:t xml:space="preserve">en </w:t>
      </w:r>
      <w:r>
        <w:rPr>
          <w:color w:val="auto"/>
          <w:sz w:val="24"/>
          <w:lang w:eastAsia="es-CL"/>
        </w:rPr>
        <w:t>que</w:t>
      </w:r>
      <w:r w:rsidR="00305970">
        <w:rPr>
          <w:color w:val="auto"/>
          <w:sz w:val="24"/>
          <w:lang w:eastAsia="es-CL"/>
        </w:rPr>
        <w:t xml:space="preserve"> en</w:t>
      </w:r>
      <w:r w:rsidR="00D82E5D">
        <w:rPr>
          <w:color w:val="auto"/>
          <w:sz w:val="24"/>
          <w:lang w:eastAsia="es-CL"/>
        </w:rPr>
        <w:t xml:space="preserve"> ambas categor</w:t>
      </w:r>
      <w:r w:rsidR="00305970">
        <w:rPr>
          <w:color w:val="auto"/>
          <w:sz w:val="24"/>
          <w:lang w:eastAsia="es-CL"/>
        </w:rPr>
        <w:t>ías los</w:t>
      </w:r>
      <w:r w:rsidR="00D82E5D">
        <w:rPr>
          <w:color w:val="auto"/>
          <w:sz w:val="24"/>
          <w:lang w:eastAsia="es-CL"/>
        </w:rPr>
        <w:t xml:space="preserve"> centros de cultivo pose</w:t>
      </w:r>
      <w:r w:rsidR="0036019E">
        <w:rPr>
          <w:color w:val="auto"/>
          <w:sz w:val="24"/>
          <w:lang w:eastAsia="es-CL"/>
        </w:rPr>
        <w:t xml:space="preserve">en mayor número de trabajadores </w:t>
      </w:r>
      <w:r w:rsidR="00305970">
        <w:rPr>
          <w:color w:val="auto"/>
          <w:sz w:val="24"/>
          <w:lang w:eastAsia="es-CL"/>
        </w:rPr>
        <w:t xml:space="preserve">del género masculino. En el caso del segmento PYME </w:t>
      </w:r>
      <w:r w:rsidR="0036019E">
        <w:rPr>
          <w:color w:val="auto"/>
          <w:sz w:val="24"/>
          <w:lang w:eastAsia="es-CL"/>
        </w:rPr>
        <w:t>el promedio de trabajadores hombres es</w:t>
      </w:r>
      <w:r w:rsidR="00305970">
        <w:rPr>
          <w:color w:val="auto"/>
          <w:sz w:val="24"/>
          <w:lang w:eastAsia="es-CL"/>
        </w:rPr>
        <w:t xml:space="preserve"> 4, en cambio en los centros Grande son 17 trabajadores. El sexo femenino en centros PYME es de 1 trabajador mujer</w:t>
      </w:r>
      <w:r w:rsidR="00AB27A8">
        <w:rPr>
          <w:color w:val="auto"/>
          <w:sz w:val="24"/>
          <w:lang w:eastAsia="es-CL"/>
        </w:rPr>
        <w:t xml:space="preserve"> promedio</w:t>
      </w:r>
      <w:r w:rsidR="00305970">
        <w:rPr>
          <w:color w:val="auto"/>
          <w:sz w:val="24"/>
          <w:lang w:eastAsia="es-CL"/>
        </w:rPr>
        <w:t xml:space="preserve"> y en centros Grande es de 3 mujeres. (Figura 4).</w:t>
      </w:r>
    </w:p>
    <w:p w14:paraId="7CAFE6CB" w14:textId="77777777" w:rsidR="00305970" w:rsidRDefault="00305970" w:rsidP="00D82E5D">
      <w:pPr>
        <w:pStyle w:val="Encabezado"/>
        <w:spacing w:line="276" w:lineRule="auto"/>
        <w:ind w:firstLine="709"/>
        <w:jc w:val="both"/>
        <w:rPr>
          <w:color w:val="auto"/>
          <w:sz w:val="24"/>
          <w:lang w:eastAsia="es-CL"/>
        </w:rPr>
      </w:pPr>
    </w:p>
    <w:p w14:paraId="7FDDE5B6" w14:textId="55C2FCFE" w:rsidR="00305970" w:rsidRDefault="00305970" w:rsidP="00207C9A">
      <w:pPr>
        <w:pStyle w:val="Encabezado"/>
        <w:spacing w:line="276" w:lineRule="auto"/>
        <w:jc w:val="both"/>
        <w:rPr>
          <w:color w:val="auto"/>
          <w:sz w:val="24"/>
          <w:lang w:eastAsia="es-CL"/>
        </w:rPr>
      </w:pPr>
      <w:r>
        <w:rPr>
          <w:color w:val="auto"/>
          <w:sz w:val="24"/>
          <w:lang w:eastAsia="es-CL"/>
        </w:rPr>
        <w:t xml:space="preserve">Según, el tipo de contrato de los trabajadores se observó que en ambas categorías los centros de cultivo poseen </w:t>
      </w:r>
      <w:r w:rsidR="0036019E">
        <w:rPr>
          <w:color w:val="auto"/>
          <w:sz w:val="24"/>
          <w:lang w:eastAsia="es-CL"/>
        </w:rPr>
        <w:t xml:space="preserve">en promedio </w:t>
      </w:r>
      <w:r>
        <w:rPr>
          <w:color w:val="auto"/>
          <w:sz w:val="24"/>
          <w:lang w:eastAsia="es-CL"/>
        </w:rPr>
        <w:lastRenderedPageBreak/>
        <w:t xml:space="preserve">mayor número de trabajadores con contrato indefinido. En el caso del segmento PYME </w:t>
      </w:r>
      <w:r w:rsidR="0036019E">
        <w:rPr>
          <w:color w:val="auto"/>
          <w:sz w:val="24"/>
          <w:lang w:eastAsia="es-CL"/>
        </w:rPr>
        <w:t xml:space="preserve">el promedio de </w:t>
      </w:r>
      <w:r>
        <w:rPr>
          <w:color w:val="auto"/>
          <w:sz w:val="24"/>
          <w:lang w:eastAsia="es-CL"/>
        </w:rPr>
        <w:t>trabajadores con contrato indefinido son 4, en cambio en los centros Grande son 16 trabajadores. El</w:t>
      </w:r>
      <w:r w:rsidR="00ED3432">
        <w:rPr>
          <w:color w:val="auto"/>
          <w:sz w:val="24"/>
          <w:lang w:eastAsia="es-CL"/>
        </w:rPr>
        <w:t xml:space="preserve"> contrato temporal</w:t>
      </w:r>
      <w:r>
        <w:rPr>
          <w:color w:val="auto"/>
          <w:sz w:val="24"/>
          <w:lang w:eastAsia="es-CL"/>
        </w:rPr>
        <w:t xml:space="preserve"> en centros PYME es de 1 trabajador y en centros</w:t>
      </w:r>
      <w:r w:rsidR="00ED3432">
        <w:rPr>
          <w:color w:val="auto"/>
          <w:sz w:val="24"/>
          <w:lang w:eastAsia="es-CL"/>
        </w:rPr>
        <w:t xml:space="preserve"> Grande es de 4</w:t>
      </w:r>
      <w:r>
        <w:rPr>
          <w:color w:val="auto"/>
          <w:sz w:val="24"/>
          <w:lang w:eastAsia="es-CL"/>
        </w:rPr>
        <w:t>. (Figura 4).</w:t>
      </w:r>
    </w:p>
    <w:p w14:paraId="678F6C6F" w14:textId="77777777" w:rsidR="00ED3432" w:rsidRDefault="00ED3432" w:rsidP="00ED06B7">
      <w:pPr>
        <w:pStyle w:val="Encabezado"/>
        <w:rPr>
          <w:color w:val="auto"/>
          <w:sz w:val="24"/>
          <w:lang w:eastAsia="es-CL"/>
        </w:rPr>
      </w:pPr>
    </w:p>
    <w:p w14:paraId="3183234D" w14:textId="118910AF" w:rsidR="008C43F9" w:rsidRPr="00ED06B7" w:rsidRDefault="00EB4913" w:rsidP="00ED06B7">
      <w:pPr>
        <w:pStyle w:val="Encabezado"/>
        <w:rPr>
          <w:lang w:eastAsia="es-CL"/>
        </w:rPr>
      </w:pPr>
      <w:r>
        <w:rPr>
          <w:noProof/>
          <w:lang w:val="es-CL" w:eastAsia="es-CL"/>
        </w:rPr>
        <w:drawing>
          <wp:inline distT="0" distB="0" distL="0" distR="0" wp14:anchorId="5251C644" wp14:editId="403E324D">
            <wp:extent cx="1829832" cy="2434165"/>
            <wp:effectExtent l="0" t="0" r="18415" b="23495"/>
            <wp:docPr id="105" name="Gráfico 10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Pr>
          <w:noProof/>
          <w:lang w:val="es-CL" w:eastAsia="es-CL"/>
        </w:rPr>
        <w:drawing>
          <wp:inline distT="0" distB="0" distL="0" distR="0" wp14:anchorId="1A1C75A3" wp14:editId="2D1C795C">
            <wp:extent cx="1820334" cy="2434166"/>
            <wp:effectExtent l="0" t="0" r="27940" b="23495"/>
            <wp:docPr id="106" name="Gráfico 10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Pr>
          <w:noProof/>
          <w:lang w:val="es-CL" w:eastAsia="es-CL"/>
        </w:rPr>
        <w:drawing>
          <wp:inline distT="0" distB="0" distL="0" distR="0" wp14:anchorId="47875BB3" wp14:editId="3868798B">
            <wp:extent cx="1820334" cy="2434166"/>
            <wp:effectExtent l="0" t="0" r="27940" b="23495"/>
            <wp:docPr id="107" name="Gráfico 10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D8F3C8A" w14:textId="62A30A45" w:rsidR="00ED06B7" w:rsidRPr="00ED06B7" w:rsidRDefault="00D9663A" w:rsidP="00ED06B7">
      <w:pPr>
        <w:pStyle w:val="Encabezado"/>
        <w:rPr>
          <w:lang w:eastAsia="es-CL"/>
        </w:rPr>
      </w:pPr>
      <w:r>
        <w:rPr>
          <w:b/>
          <w:color w:val="auto"/>
          <w:sz w:val="24"/>
          <w:lang w:eastAsia="es-CL"/>
        </w:rPr>
        <w:t>Figura 4</w:t>
      </w:r>
      <w:r w:rsidRPr="007A53AB">
        <w:rPr>
          <w:color w:val="auto"/>
          <w:sz w:val="24"/>
          <w:lang w:eastAsia="es-CL"/>
        </w:rPr>
        <w:t xml:space="preserve">. </w:t>
      </w:r>
      <w:r w:rsidR="00ED3432">
        <w:rPr>
          <w:color w:val="auto"/>
          <w:sz w:val="24"/>
          <w:lang w:eastAsia="es-CL"/>
        </w:rPr>
        <w:t>T</w:t>
      </w:r>
      <w:r>
        <w:rPr>
          <w:color w:val="auto"/>
          <w:sz w:val="24"/>
          <w:lang w:eastAsia="es-CL"/>
        </w:rPr>
        <w:t xml:space="preserve">rabajadores </w:t>
      </w:r>
      <w:r w:rsidR="00ED3432">
        <w:rPr>
          <w:color w:val="auto"/>
          <w:sz w:val="24"/>
          <w:lang w:eastAsia="es-CL"/>
        </w:rPr>
        <w:t xml:space="preserve">promedio </w:t>
      </w:r>
      <w:r>
        <w:rPr>
          <w:color w:val="auto"/>
          <w:sz w:val="24"/>
          <w:lang w:eastAsia="es-CL"/>
        </w:rPr>
        <w:t>de centros de cultivos</w:t>
      </w:r>
      <w:r w:rsidR="00ED3432">
        <w:rPr>
          <w:color w:val="auto"/>
          <w:sz w:val="24"/>
          <w:lang w:eastAsia="es-CL"/>
        </w:rPr>
        <w:t>, según género y tipo de contrato de empresas PYME y Grande</w:t>
      </w:r>
      <w:r>
        <w:rPr>
          <w:color w:val="auto"/>
          <w:sz w:val="24"/>
          <w:lang w:eastAsia="es-CL"/>
        </w:rPr>
        <w:t xml:space="preserve"> (N°).</w:t>
      </w:r>
    </w:p>
    <w:p w14:paraId="6AAEE678" w14:textId="77777777" w:rsidR="0022562E" w:rsidRDefault="0022562E" w:rsidP="0022562E">
      <w:pPr>
        <w:pStyle w:val="Encabezado"/>
        <w:tabs>
          <w:tab w:val="clear" w:pos="4252"/>
          <w:tab w:val="center" w:pos="0"/>
        </w:tabs>
        <w:spacing w:line="276" w:lineRule="auto"/>
        <w:ind w:firstLine="709"/>
        <w:jc w:val="both"/>
        <w:rPr>
          <w:lang w:eastAsia="es-CL"/>
        </w:rPr>
      </w:pPr>
      <w:r>
        <w:rPr>
          <w:lang w:eastAsia="es-CL"/>
        </w:rPr>
        <w:tab/>
      </w:r>
    </w:p>
    <w:p w14:paraId="2629BF21" w14:textId="050C5838" w:rsidR="00A35E2F" w:rsidRDefault="0022562E" w:rsidP="00207C9A">
      <w:pPr>
        <w:pStyle w:val="Encabezado"/>
        <w:tabs>
          <w:tab w:val="clear" w:pos="4252"/>
          <w:tab w:val="center" w:pos="0"/>
        </w:tabs>
        <w:spacing w:line="276" w:lineRule="auto"/>
        <w:jc w:val="both"/>
        <w:rPr>
          <w:color w:val="auto"/>
          <w:sz w:val="24"/>
          <w:lang w:eastAsia="es-CL"/>
        </w:rPr>
      </w:pPr>
      <w:r>
        <w:rPr>
          <w:color w:val="auto"/>
          <w:sz w:val="24"/>
          <w:lang w:eastAsia="es-CL"/>
        </w:rPr>
        <w:t xml:space="preserve">Se evidenció que el 100% de las empresas registra el </w:t>
      </w:r>
      <w:r w:rsidR="00940E0E">
        <w:rPr>
          <w:color w:val="auto"/>
          <w:sz w:val="24"/>
          <w:lang w:eastAsia="es-CL"/>
        </w:rPr>
        <w:t xml:space="preserve">nivel </w:t>
      </w:r>
      <w:r w:rsidR="00C61795" w:rsidRPr="007A53AB">
        <w:rPr>
          <w:color w:val="auto"/>
          <w:sz w:val="24"/>
          <w:lang w:eastAsia="es-CL"/>
        </w:rPr>
        <w:t xml:space="preserve">de </w:t>
      </w:r>
      <w:r w:rsidR="00940E0E">
        <w:rPr>
          <w:color w:val="auto"/>
          <w:sz w:val="24"/>
          <w:lang w:eastAsia="es-CL"/>
        </w:rPr>
        <w:t xml:space="preserve">escolaridad </w:t>
      </w:r>
      <w:r w:rsidR="00C61795" w:rsidRPr="007A53AB">
        <w:rPr>
          <w:color w:val="auto"/>
          <w:sz w:val="24"/>
          <w:lang w:eastAsia="es-CL"/>
        </w:rPr>
        <w:t>del recurso humano contratado</w:t>
      </w:r>
      <w:r>
        <w:rPr>
          <w:color w:val="auto"/>
          <w:sz w:val="24"/>
          <w:lang w:eastAsia="es-CL"/>
        </w:rPr>
        <w:t xml:space="preserve"> por los centros de cultivo PYME. El 43% </w:t>
      </w:r>
      <w:r w:rsidR="00C61795" w:rsidRPr="007A53AB">
        <w:rPr>
          <w:color w:val="auto"/>
          <w:sz w:val="24"/>
          <w:lang w:eastAsia="es-CL"/>
        </w:rPr>
        <w:t>ha cursado la educ</w:t>
      </w:r>
      <w:r w:rsidR="009C4432">
        <w:rPr>
          <w:color w:val="auto"/>
          <w:sz w:val="24"/>
          <w:lang w:eastAsia="es-CL"/>
        </w:rPr>
        <w:t>ación básica, el</w:t>
      </w:r>
      <w:r w:rsidR="00C61795" w:rsidRPr="007A53AB">
        <w:rPr>
          <w:color w:val="auto"/>
          <w:sz w:val="24"/>
          <w:lang w:eastAsia="es-CL"/>
        </w:rPr>
        <w:t xml:space="preserve"> </w:t>
      </w:r>
      <w:r>
        <w:rPr>
          <w:color w:val="auto"/>
          <w:sz w:val="24"/>
          <w:lang w:eastAsia="es-CL"/>
        </w:rPr>
        <w:t>49</w:t>
      </w:r>
      <w:r w:rsidR="00C61795" w:rsidRPr="007A53AB">
        <w:rPr>
          <w:color w:val="auto"/>
          <w:sz w:val="24"/>
          <w:lang w:eastAsia="es-CL"/>
        </w:rPr>
        <w:t xml:space="preserve">% la enseñanza media, </w:t>
      </w:r>
      <w:r>
        <w:rPr>
          <w:color w:val="auto"/>
          <w:sz w:val="24"/>
          <w:lang w:eastAsia="es-CL"/>
        </w:rPr>
        <w:t>el 4% e</w:t>
      </w:r>
      <w:r w:rsidR="00C61795" w:rsidRPr="007A53AB">
        <w:rPr>
          <w:color w:val="auto"/>
          <w:sz w:val="24"/>
          <w:lang w:eastAsia="es-CL"/>
        </w:rPr>
        <w:t>studios superiores</w:t>
      </w:r>
      <w:r w:rsidR="00080E2E">
        <w:rPr>
          <w:color w:val="auto"/>
          <w:sz w:val="24"/>
          <w:lang w:eastAsia="es-CL"/>
        </w:rPr>
        <w:t>,</w:t>
      </w:r>
      <w:r>
        <w:rPr>
          <w:color w:val="auto"/>
          <w:sz w:val="24"/>
          <w:lang w:eastAsia="es-CL"/>
        </w:rPr>
        <w:t xml:space="preserve"> el 3</w:t>
      </w:r>
      <w:r w:rsidRPr="007A53AB">
        <w:rPr>
          <w:color w:val="auto"/>
          <w:sz w:val="24"/>
          <w:lang w:eastAsia="es-CL"/>
        </w:rPr>
        <w:t>% enseñanza profesional técnica</w:t>
      </w:r>
      <w:r>
        <w:rPr>
          <w:color w:val="auto"/>
          <w:sz w:val="24"/>
          <w:lang w:eastAsia="es-CL"/>
        </w:rPr>
        <w:t xml:space="preserve"> y el 1% enseñanza superior,</w:t>
      </w:r>
      <w:r w:rsidR="00080E2E">
        <w:rPr>
          <w:color w:val="auto"/>
          <w:sz w:val="24"/>
          <w:lang w:eastAsia="es-CL"/>
        </w:rPr>
        <w:t xml:space="preserve"> por lo tanto el nivel educacional es inversamente proporcional al número de trabajadores, esto significa que al aumentar el nivel de educación el número de trabajadores disminuye.</w:t>
      </w:r>
      <w:r>
        <w:rPr>
          <w:color w:val="auto"/>
          <w:sz w:val="24"/>
          <w:lang w:eastAsia="es-CL"/>
        </w:rPr>
        <w:t xml:space="preserve"> </w:t>
      </w:r>
      <w:r w:rsidR="00D50B9A" w:rsidRPr="007A53AB">
        <w:rPr>
          <w:color w:val="auto"/>
          <w:sz w:val="24"/>
          <w:lang w:eastAsia="es-CL"/>
        </w:rPr>
        <w:t xml:space="preserve">(Figura </w:t>
      </w:r>
      <w:r>
        <w:rPr>
          <w:color w:val="auto"/>
          <w:sz w:val="24"/>
          <w:lang w:eastAsia="es-CL"/>
        </w:rPr>
        <w:t>5</w:t>
      </w:r>
      <w:r w:rsidR="00D50B9A" w:rsidRPr="007A53AB">
        <w:rPr>
          <w:color w:val="auto"/>
          <w:sz w:val="24"/>
          <w:lang w:eastAsia="es-CL"/>
        </w:rPr>
        <w:t>)</w:t>
      </w:r>
      <w:r w:rsidR="00C33D4C" w:rsidRPr="007A53AB">
        <w:rPr>
          <w:color w:val="auto"/>
          <w:sz w:val="24"/>
          <w:lang w:eastAsia="es-CL"/>
        </w:rPr>
        <w:t>.</w:t>
      </w:r>
    </w:p>
    <w:p w14:paraId="472556B8" w14:textId="0690DF47" w:rsidR="009C4432" w:rsidRDefault="00485674" w:rsidP="009C4432">
      <w:pPr>
        <w:pStyle w:val="Encabezado"/>
        <w:tabs>
          <w:tab w:val="clear" w:pos="4252"/>
          <w:tab w:val="center" w:pos="709"/>
        </w:tabs>
        <w:spacing w:line="276" w:lineRule="auto"/>
        <w:ind w:firstLine="709"/>
        <w:jc w:val="both"/>
        <w:rPr>
          <w:color w:val="auto"/>
          <w:sz w:val="24"/>
          <w:lang w:eastAsia="es-CL"/>
        </w:rPr>
      </w:pPr>
      <w:r>
        <w:rPr>
          <w:noProof/>
          <w:lang w:val="es-CL" w:eastAsia="es-CL"/>
        </w:rPr>
        <w:lastRenderedPageBreak/>
        <w:drawing>
          <wp:inline distT="0" distB="0" distL="0" distR="0" wp14:anchorId="10872FC3" wp14:editId="0953AE78">
            <wp:extent cx="2423583" cy="2147823"/>
            <wp:effectExtent l="0" t="0" r="15240" b="24130"/>
            <wp:docPr id="116" name="Gráfico 1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Pr>
          <w:noProof/>
          <w:lang w:val="es-CL" w:eastAsia="es-CL"/>
        </w:rPr>
        <w:drawing>
          <wp:inline distT="0" distB="0" distL="0" distR="0" wp14:anchorId="0E2C55D4" wp14:editId="72C4F764">
            <wp:extent cx="2277374" cy="2147978"/>
            <wp:effectExtent l="0" t="0" r="27940" b="24130"/>
            <wp:docPr id="117" name="Gráfico 1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B0BE170" w14:textId="3B5E9BC9" w:rsidR="00BF128F" w:rsidRDefault="00485674" w:rsidP="00BF128F">
      <w:pPr>
        <w:pStyle w:val="Encabezado"/>
        <w:rPr>
          <w:color w:val="auto"/>
          <w:sz w:val="24"/>
          <w:lang w:eastAsia="es-CL"/>
        </w:rPr>
      </w:pPr>
      <w:r>
        <w:rPr>
          <w:b/>
          <w:color w:val="auto"/>
          <w:sz w:val="24"/>
          <w:lang w:eastAsia="es-CL"/>
        </w:rPr>
        <w:t>F</w:t>
      </w:r>
      <w:r w:rsidR="00BF128F" w:rsidRPr="007A53AB">
        <w:rPr>
          <w:b/>
          <w:color w:val="auto"/>
          <w:sz w:val="24"/>
          <w:lang w:eastAsia="es-CL"/>
        </w:rPr>
        <w:t xml:space="preserve">igura </w:t>
      </w:r>
      <w:r>
        <w:rPr>
          <w:b/>
          <w:color w:val="auto"/>
          <w:sz w:val="24"/>
          <w:lang w:eastAsia="es-CL"/>
        </w:rPr>
        <w:t>5</w:t>
      </w:r>
      <w:r w:rsidR="00BF128F" w:rsidRPr="007A53AB">
        <w:rPr>
          <w:b/>
          <w:color w:val="auto"/>
          <w:sz w:val="24"/>
          <w:lang w:eastAsia="es-CL"/>
        </w:rPr>
        <w:t xml:space="preserve">. </w:t>
      </w:r>
      <w:r w:rsidR="00C025DE" w:rsidRPr="00C025DE">
        <w:rPr>
          <w:color w:val="auto"/>
          <w:sz w:val="24"/>
          <w:lang w:eastAsia="es-CL"/>
        </w:rPr>
        <w:t>Información sobre el nivel de</w:t>
      </w:r>
      <w:r w:rsidR="00C025DE">
        <w:rPr>
          <w:b/>
          <w:color w:val="auto"/>
          <w:sz w:val="24"/>
          <w:lang w:eastAsia="es-CL"/>
        </w:rPr>
        <w:t xml:space="preserve"> </w:t>
      </w:r>
      <w:r w:rsidR="00AE71BB">
        <w:rPr>
          <w:color w:val="auto"/>
          <w:sz w:val="24"/>
          <w:lang w:eastAsia="es-CL"/>
        </w:rPr>
        <w:t xml:space="preserve">escolaridad </w:t>
      </w:r>
      <w:r w:rsidR="00C025DE">
        <w:rPr>
          <w:color w:val="auto"/>
          <w:sz w:val="24"/>
          <w:lang w:eastAsia="es-CL"/>
        </w:rPr>
        <w:t>de centros de cultivo de categoría PYME (%)</w:t>
      </w:r>
      <w:r w:rsidR="00804906">
        <w:rPr>
          <w:color w:val="auto"/>
          <w:sz w:val="24"/>
          <w:lang w:eastAsia="es-CL"/>
        </w:rPr>
        <w:t>.</w:t>
      </w:r>
    </w:p>
    <w:p w14:paraId="706872F0" w14:textId="77777777" w:rsidR="00FD1CFB" w:rsidRDefault="00FD1CFB" w:rsidP="00BF128F">
      <w:pPr>
        <w:pStyle w:val="Encabezado"/>
        <w:rPr>
          <w:color w:val="auto"/>
          <w:sz w:val="24"/>
          <w:lang w:eastAsia="es-CL"/>
        </w:rPr>
      </w:pPr>
    </w:p>
    <w:p w14:paraId="45A10CE6" w14:textId="77777777" w:rsidR="0022562E" w:rsidRDefault="0022562E" w:rsidP="00BF128F">
      <w:pPr>
        <w:pStyle w:val="Encabezado"/>
        <w:rPr>
          <w:color w:val="auto"/>
          <w:sz w:val="24"/>
          <w:lang w:eastAsia="es-CL"/>
        </w:rPr>
      </w:pPr>
    </w:p>
    <w:p w14:paraId="747CBCEB" w14:textId="445A6841" w:rsidR="00FD1CFB" w:rsidRDefault="00C025DE" w:rsidP="00207C9A">
      <w:pPr>
        <w:pStyle w:val="Encabezado"/>
        <w:tabs>
          <w:tab w:val="clear" w:pos="4252"/>
          <w:tab w:val="center" w:pos="0"/>
        </w:tabs>
        <w:spacing w:line="276" w:lineRule="auto"/>
        <w:jc w:val="both"/>
        <w:rPr>
          <w:color w:val="auto"/>
          <w:sz w:val="24"/>
          <w:lang w:eastAsia="es-CL"/>
        </w:rPr>
      </w:pPr>
      <w:r>
        <w:rPr>
          <w:color w:val="auto"/>
          <w:sz w:val="24"/>
          <w:lang w:eastAsia="es-CL"/>
        </w:rPr>
        <w:t>En el caso de las empresas de categoría Grande, s</w:t>
      </w:r>
      <w:r w:rsidR="0052101F">
        <w:rPr>
          <w:color w:val="auto"/>
          <w:sz w:val="24"/>
          <w:lang w:eastAsia="es-CL"/>
        </w:rPr>
        <w:t xml:space="preserve">e evidencia que el 80% los centros de cultivo registra el nivel </w:t>
      </w:r>
      <w:r w:rsidR="0052101F" w:rsidRPr="007A53AB">
        <w:rPr>
          <w:color w:val="auto"/>
          <w:sz w:val="24"/>
          <w:lang w:eastAsia="es-CL"/>
        </w:rPr>
        <w:t xml:space="preserve">de </w:t>
      </w:r>
      <w:r w:rsidR="0052101F">
        <w:rPr>
          <w:color w:val="auto"/>
          <w:sz w:val="24"/>
          <w:lang w:eastAsia="es-CL"/>
        </w:rPr>
        <w:t xml:space="preserve">escolaridad </w:t>
      </w:r>
      <w:r w:rsidR="0052101F" w:rsidRPr="007A53AB">
        <w:rPr>
          <w:color w:val="auto"/>
          <w:sz w:val="24"/>
          <w:lang w:eastAsia="es-CL"/>
        </w:rPr>
        <w:t xml:space="preserve">del recurso humano </w:t>
      </w:r>
      <w:r>
        <w:rPr>
          <w:color w:val="auto"/>
          <w:sz w:val="24"/>
          <w:lang w:eastAsia="es-CL"/>
        </w:rPr>
        <w:t>y e</w:t>
      </w:r>
      <w:r w:rsidR="0052101F">
        <w:rPr>
          <w:color w:val="auto"/>
          <w:sz w:val="24"/>
          <w:lang w:eastAsia="es-CL"/>
        </w:rPr>
        <w:t>l</w:t>
      </w:r>
      <w:r w:rsidR="0052101F" w:rsidRPr="00940E0E">
        <w:rPr>
          <w:color w:val="auto"/>
          <w:sz w:val="24"/>
          <w:lang w:eastAsia="es-CL"/>
        </w:rPr>
        <w:t xml:space="preserve"> </w:t>
      </w:r>
      <w:r>
        <w:rPr>
          <w:color w:val="auto"/>
          <w:sz w:val="24"/>
          <w:lang w:eastAsia="es-CL"/>
        </w:rPr>
        <w:t>20</w:t>
      </w:r>
      <w:r w:rsidR="0052101F" w:rsidRPr="00940E0E">
        <w:rPr>
          <w:color w:val="auto"/>
          <w:sz w:val="24"/>
          <w:lang w:eastAsia="es-CL"/>
        </w:rPr>
        <w:t xml:space="preserve">% </w:t>
      </w:r>
      <w:r w:rsidR="0052101F">
        <w:rPr>
          <w:color w:val="auto"/>
          <w:sz w:val="24"/>
          <w:lang w:eastAsia="es-CL"/>
        </w:rPr>
        <w:t xml:space="preserve"> de las empresas </w:t>
      </w:r>
      <w:r w:rsidR="0052101F" w:rsidRPr="00940E0E">
        <w:rPr>
          <w:color w:val="auto"/>
          <w:sz w:val="24"/>
          <w:lang w:eastAsia="es-CL"/>
        </w:rPr>
        <w:t xml:space="preserve">no </w:t>
      </w:r>
      <w:r>
        <w:rPr>
          <w:color w:val="auto"/>
          <w:sz w:val="24"/>
          <w:lang w:eastAsia="es-CL"/>
        </w:rPr>
        <w:t xml:space="preserve">lo </w:t>
      </w:r>
      <w:r w:rsidR="0052101F">
        <w:rPr>
          <w:color w:val="auto"/>
          <w:sz w:val="24"/>
          <w:lang w:eastAsia="es-CL"/>
        </w:rPr>
        <w:t>informa (NI)</w:t>
      </w:r>
      <w:r>
        <w:rPr>
          <w:color w:val="auto"/>
          <w:sz w:val="24"/>
          <w:lang w:eastAsia="es-CL"/>
        </w:rPr>
        <w:t>. Los centros de cultivo Grande</w:t>
      </w:r>
      <w:r w:rsidR="00427A3A">
        <w:rPr>
          <w:color w:val="auto"/>
          <w:sz w:val="24"/>
          <w:lang w:eastAsia="es-CL"/>
        </w:rPr>
        <w:t xml:space="preserve"> que </w:t>
      </w:r>
      <w:r>
        <w:rPr>
          <w:color w:val="auto"/>
          <w:sz w:val="24"/>
          <w:lang w:eastAsia="es-CL"/>
        </w:rPr>
        <w:t>informan</w:t>
      </w:r>
      <w:r w:rsidR="00427A3A">
        <w:rPr>
          <w:color w:val="auto"/>
          <w:sz w:val="24"/>
          <w:lang w:eastAsia="es-CL"/>
        </w:rPr>
        <w:t xml:space="preserve"> el nivel de escolaridad, señalan </w:t>
      </w:r>
      <w:r>
        <w:rPr>
          <w:color w:val="auto"/>
          <w:sz w:val="24"/>
          <w:lang w:eastAsia="es-CL"/>
        </w:rPr>
        <w:t>q</w:t>
      </w:r>
      <w:r w:rsidR="0052101F">
        <w:rPr>
          <w:color w:val="auto"/>
          <w:sz w:val="24"/>
          <w:lang w:eastAsia="es-CL"/>
        </w:rPr>
        <w:t>ue el</w:t>
      </w:r>
      <w:r>
        <w:rPr>
          <w:color w:val="auto"/>
          <w:sz w:val="24"/>
          <w:lang w:eastAsia="es-CL"/>
        </w:rPr>
        <w:t xml:space="preserve"> 64</w:t>
      </w:r>
      <w:r w:rsidR="0052101F" w:rsidRPr="007A53AB">
        <w:rPr>
          <w:color w:val="auto"/>
          <w:sz w:val="24"/>
          <w:lang w:eastAsia="es-CL"/>
        </w:rPr>
        <w:t>% de los trabajadores ha cursado la educ</w:t>
      </w:r>
      <w:r w:rsidR="0052101F">
        <w:rPr>
          <w:color w:val="auto"/>
          <w:sz w:val="24"/>
          <w:lang w:eastAsia="es-CL"/>
        </w:rPr>
        <w:t>ación básica, el</w:t>
      </w:r>
      <w:r>
        <w:rPr>
          <w:color w:val="auto"/>
          <w:sz w:val="24"/>
          <w:lang w:eastAsia="es-CL"/>
        </w:rPr>
        <w:t xml:space="preserve"> 34</w:t>
      </w:r>
      <w:r w:rsidR="0052101F" w:rsidRPr="007A53AB">
        <w:rPr>
          <w:color w:val="auto"/>
          <w:sz w:val="24"/>
          <w:lang w:eastAsia="es-CL"/>
        </w:rPr>
        <w:t xml:space="preserve">% la enseñanza media, </w:t>
      </w:r>
      <w:r w:rsidR="0052101F">
        <w:rPr>
          <w:color w:val="auto"/>
          <w:sz w:val="24"/>
          <w:lang w:eastAsia="es-CL"/>
        </w:rPr>
        <w:t xml:space="preserve">el </w:t>
      </w:r>
      <w:r>
        <w:rPr>
          <w:color w:val="auto"/>
          <w:sz w:val="24"/>
          <w:lang w:eastAsia="es-CL"/>
        </w:rPr>
        <w:t>2</w:t>
      </w:r>
      <w:r w:rsidR="0052101F" w:rsidRPr="007A53AB">
        <w:rPr>
          <w:color w:val="auto"/>
          <w:sz w:val="24"/>
          <w:lang w:eastAsia="es-CL"/>
        </w:rPr>
        <w:t>% enseñanza profesional técnica</w:t>
      </w:r>
      <w:r>
        <w:rPr>
          <w:color w:val="auto"/>
          <w:sz w:val="24"/>
          <w:lang w:eastAsia="es-CL"/>
        </w:rPr>
        <w:t>.</w:t>
      </w:r>
      <w:r w:rsidR="00FD1CFB">
        <w:rPr>
          <w:color w:val="auto"/>
          <w:sz w:val="24"/>
          <w:lang w:eastAsia="es-CL"/>
        </w:rPr>
        <w:t xml:space="preserve"> </w:t>
      </w:r>
      <w:r w:rsidR="00FD1CFB" w:rsidRPr="007A53AB">
        <w:rPr>
          <w:color w:val="auto"/>
          <w:sz w:val="24"/>
          <w:lang w:eastAsia="es-CL"/>
        </w:rPr>
        <w:t xml:space="preserve">(Figura </w:t>
      </w:r>
      <w:r>
        <w:rPr>
          <w:color w:val="auto"/>
          <w:sz w:val="24"/>
          <w:lang w:eastAsia="es-CL"/>
        </w:rPr>
        <w:t>6</w:t>
      </w:r>
      <w:r w:rsidR="00FD1CFB" w:rsidRPr="007A53AB">
        <w:rPr>
          <w:color w:val="auto"/>
          <w:sz w:val="24"/>
          <w:lang w:eastAsia="es-CL"/>
        </w:rPr>
        <w:t>).</w:t>
      </w:r>
    </w:p>
    <w:p w14:paraId="4E78A201" w14:textId="77777777" w:rsidR="0022562E" w:rsidRDefault="0022562E" w:rsidP="00BF128F">
      <w:pPr>
        <w:pStyle w:val="Encabezado"/>
        <w:rPr>
          <w:color w:val="auto"/>
          <w:sz w:val="24"/>
          <w:lang w:eastAsia="es-CL"/>
        </w:rPr>
      </w:pPr>
    </w:p>
    <w:p w14:paraId="56EEE7C0" w14:textId="6B57A44C" w:rsidR="0022562E" w:rsidRDefault="00E3432C" w:rsidP="00E3432C">
      <w:pPr>
        <w:pStyle w:val="Encabezado"/>
        <w:ind w:firstLine="709"/>
        <w:rPr>
          <w:color w:val="auto"/>
          <w:sz w:val="24"/>
          <w:lang w:eastAsia="es-CL"/>
        </w:rPr>
      </w:pPr>
      <w:r>
        <w:rPr>
          <w:noProof/>
          <w:lang w:val="es-CL" w:eastAsia="es-CL"/>
        </w:rPr>
        <w:drawing>
          <wp:inline distT="0" distB="0" distL="0" distR="0" wp14:anchorId="4AB9AC54" wp14:editId="6A58DDB9">
            <wp:extent cx="2342090" cy="2211918"/>
            <wp:effectExtent l="0" t="0" r="20320" b="17145"/>
            <wp:docPr id="123" name="Gráfico 1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Pr>
          <w:noProof/>
          <w:lang w:val="es-CL" w:eastAsia="es-CL"/>
        </w:rPr>
        <w:drawing>
          <wp:inline distT="0" distB="0" distL="0" distR="0" wp14:anchorId="0DD5D074" wp14:editId="08C1FE1C">
            <wp:extent cx="2349501" cy="2211918"/>
            <wp:effectExtent l="0" t="0" r="12700" b="17145"/>
            <wp:docPr id="120" name="Gráfico 1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50659321" w14:textId="12800E18" w:rsidR="00C025DE" w:rsidRDefault="00C025DE" w:rsidP="00C025DE">
      <w:pPr>
        <w:pStyle w:val="Encabezado"/>
        <w:rPr>
          <w:color w:val="auto"/>
          <w:sz w:val="24"/>
          <w:lang w:eastAsia="es-CL"/>
        </w:rPr>
      </w:pPr>
      <w:r>
        <w:rPr>
          <w:b/>
          <w:color w:val="auto"/>
          <w:sz w:val="24"/>
          <w:lang w:eastAsia="es-CL"/>
        </w:rPr>
        <w:t>F</w:t>
      </w:r>
      <w:r w:rsidRPr="007A53AB">
        <w:rPr>
          <w:b/>
          <w:color w:val="auto"/>
          <w:sz w:val="24"/>
          <w:lang w:eastAsia="es-CL"/>
        </w:rPr>
        <w:t xml:space="preserve">igura </w:t>
      </w:r>
      <w:r>
        <w:rPr>
          <w:b/>
          <w:color w:val="auto"/>
          <w:sz w:val="24"/>
          <w:lang w:eastAsia="es-CL"/>
        </w:rPr>
        <w:t>6</w:t>
      </w:r>
      <w:r w:rsidRPr="007A53AB">
        <w:rPr>
          <w:b/>
          <w:color w:val="auto"/>
          <w:sz w:val="24"/>
          <w:lang w:eastAsia="es-CL"/>
        </w:rPr>
        <w:t xml:space="preserve">. </w:t>
      </w:r>
      <w:r w:rsidRPr="00C025DE">
        <w:rPr>
          <w:color w:val="auto"/>
          <w:sz w:val="24"/>
          <w:lang w:eastAsia="es-CL"/>
        </w:rPr>
        <w:t>Información sobre el nivel de</w:t>
      </w:r>
      <w:r>
        <w:rPr>
          <w:b/>
          <w:color w:val="auto"/>
          <w:sz w:val="24"/>
          <w:lang w:eastAsia="es-CL"/>
        </w:rPr>
        <w:t xml:space="preserve"> </w:t>
      </w:r>
      <w:r>
        <w:rPr>
          <w:color w:val="auto"/>
          <w:sz w:val="24"/>
          <w:lang w:eastAsia="es-CL"/>
        </w:rPr>
        <w:t>escolaridad de centros de cultivo categoría Grande (%).</w:t>
      </w:r>
    </w:p>
    <w:p w14:paraId="208D488D" w14:textId="086BD0DF" w:rsidR="00C025DE" w:rsidRDefault="00C025DE" w:rsidP="00C025DE">
      <w:pPr>
        <w:pStyle w:val="Encabezado"/>
        <w:rPr>
          <w:color w:val="auto"/>
          <w:sz w:val="24"/>
          <w:lang w:eastAsia="es-CL"/>
        </w:rPr>
      </w:pPr>
    </w:p>
    <w:p w14:paraId="263DA112" w14:textId="2C9FAECC" w:rsidR="0022562E" w:rsidRDefault="0022562E" w:rsidP="00BF128F">
      <w:pPr>
        <w:pStyle w:val="Encabezado"/>
        <w:rPr>
          <w:color w:val="auto"/>
          <w:sz w:val="24"/>
          <w:lang w:eastAsia="es-CL"/>
        </w:rPr>
      </w:pPr>
    </w:p>
    <w:p w14:paraId="5FA4EFA1" w14:textId="074C2835" w:rsidR="0022562E" w:rsidRDefault="0022562E" w:rsidP="00BF128F">
      <w:pPr>
        <w:pStyle w:val="Encabezado"/>
        <w:rPr>
          <w:color w:val="auto"/>
          <w:sz w:val="24"/>
          <w:lang w:eastAsia="es-CL"/>
        </w:rPr>
      </w:pPr>
    </w:p>
    <w:p w14:paraId="3C8969AF" w14:textId="07AF078A" w:rsidR="00D87CF4" w:rsidRDefault="00E11EB9" w:rsidP="0037632E">
      <w:pPr>
        <w:spacing w:after="0"/>
        <w:jc w:val="both"/>
        <w:rPr>
          <w:color w:val="auto"/>
          <w:sz w:val="24"/>
          <w:lang w:eastAsia="es-CL"/>
        </w:rPr>
      </w:pPr>
      <w:r w:rsidRPr="00273D1A">
        <w:rPr>
          <w:rFonts w:eastAsia="Arial Unicode MS" w:cs="Times New Roman"/>
          <w:color w:val="auto"/>
          <w:sz w:val="24"/>
          <w:lang w:eastAsia="es-CL"/>
        </w:rPr>
        <w:lastRenderedPageBreak/>
        <w:t xml:space="preserve">El análisis de </w:t>
      </w:r>
      <w:r w:rsidR="00626148">
        <w:rPr>
          <w:rFonts w:eastAsia="Arial Unicode MS" w:cs="Times New Roman"/>
          <w:color w:val="auto"/>
          <w:sz w:val="24"/>
          <w:lang w:eastAsia="es-CL"/>
        </w:rPr>
        <w:t>Materia Prima producida</w:t>
      </w:r>
      <w:r w:rsidRPr="00273D1A">
        <w:rPr>
          <w:rFonts w:eastAsia="Arial Unicode MS" w:cs="Times New Roman"/>
          <w:color w:val="auto"/>
          <w:sz w:val="24"/>
          <w:lang w:eastAsia="es-CL"/>
        </w:rPr>
        <w:t xml:space="preserve"> por trabajador</w:t>
      </w:r>
      <w:r w:rsidR="00626148">
        <w:rPr>
          <w:rFonts w:eastAsia="Arial Unicode MS" w:cs="Times New Roman"/>
          <w:color w:val="auto"/>
          <w:sz w:val="24"/>
          <w:lang w:eastAsia="es-CL"/>
        </w:rPr>
        <w:t xml:space="preserve"> de centro</w:t>
      </w:r>
      <w:r w:rsidR="00AB27A8">
        <w:rPr>
          <w:rFonts w:eastAsia="Arial Unicode MS" w:cs="Times New Roman"/>
          <w:color w:val="auto"/>
          <w:sz w:val="24"/>
          <w:lang w:eastAsia="es-CL"/>
        </w:rPr>
        <w:t>s</w:t>
      </w:r>
      <w:r w:rsidR="00626148">
        <w:rPr>
          <w:rFonts w:eastAsia="Arial Unicode MS" w:cs="Times New Roman"/>
          <w:color w:val="auto"/>
          <w:sz w:val="24"/>
          <w:lang w:eastAsia="es-CL"/>
        </w:rPr>
        <w:t xml:space="preserve"> de cultivo PYME, evidenció 157 (Ton/N°), mientras que los centros de cultivo de categoría Grande,</w:t>
      </w:r>
      <w:r w:rsidR="00AB27A8">
        <w:rPr>
          <w:rFonts w:eastAsia="Arial Unicode MS" w:cs="Times New Roman"/>
          <w:color w:val="auto"/>
          <w:sz w:val="24"/>
          <w:lang w:eastAsia="es-CL"/>
        </w:rPr>
        <w:t xml:space="preserve"> </w:t>
      </w:r>
      <w:r w:rsidR="00626148">
        <w:rPr>
          <w:rFonts w:eastAsia="Arial Unicode MS" w:cs="Times New Roman"/>
          <w:color w:val="auto"/>
          <w:sz w:val="24"/>
          <w:lang w:eastAsia="es-CL"/>
        </w:rPr>
        <w:t>122 (Ton/N°)</w:t>
      </w:r>
      <w:r w:rsidR="00AE71BB" w:rsidRPr="00273D1A">
        <w:rPr>
          <w:color w:val="auto"/>
          <w:sz w:val="24"/>
          <w:lang w:eastAsia="es-CL"/>
        </w:rPr>
        <w:t xml:space="preserve">, esto significa que </w:t>
      </w:r>
      <w:r w:rsidR="00626148">
        <w:rPr>
          <w:color w:val="auto"/>
          <w:sz w:val="24"/>
          <w:lang w:eastAsia="es-CL"/>
        </w:rPr>
        <w:t xml:space="preserve">los trabajadores de centro de cultivo del segmento PYME realizan el trabajo de forma más eficiente, ya que producen mayor volumen de Materia Prima </w:t>
      </w:r>
      <w:r w:rsidR="003E21BA">
        <w:rPr>
          <w:color w:val="auto"/>
          <w:sz w:val="24"/>
          <w:lang w:eastAsia="es-CL"/>
        </w:rPr>
        <w:t xml:space="preserve">cosechada </w:t>
      </w:r>
      <w:r w:rsidR="00626148">
        <w:rPr>
          <w:color w:val="auto"/>
          <w:sz w:val="24"/>
          <w:lang w:eastAsia="es-CL"/>
        </w:rPr>
        <w:t xml:space="preserve">que las empresas Grandes. </w:t>
      </w:r>
      <w:r w:rsidR="00F922E4">
        <w:rPr>
          <w:color w:val="auto"/>
          <w:sz w:val="24"/>
          <w:lang w:eastAsia="es-CL"/>
        </w:rPr>
        <w:t>(Figura 7</w:t>
      </w:r>
      <w:r w:rsidR="00D87CF4" w:rsidRPr="00273D1A">
        <w:rPr>
          <w:color w:val="auto"/>
          <w:sz w:val="24"/>
          <w:lang w:eastAsia="es-CL"/>
        </w:rPr>
        <w:t>).</w:t>
      </w:r>
    </w:p>
    <w:p w14:paraId="718B08C6" w14:textId="77777777" w:rsidR="00F922E4" w:rsidRPr="00F922E4" w:rsidRDefault="00F922E4" w:rsidP="00F922E4">
      <w:pPr>
        <w:pStyle w:val="Encabezado"/>
        <w:rPr>
          <w:lang w:eastAsia="es-CL"/>
        </w:rPr>
      </w:pPr>
    </w:p>
    <w:p w14:paraId="15E0907D" w14:textId="6459F6F6" w:rsidR="00CF6E54" w:rsidRDefault="00F922E4" w:rsidP="00DD5FC5">
      <w:pPr>
        <w:pStyle w:val="Encabezado"/>
        <w:jc w:val="center"/>
        <w:rPr>
          <w:color w:val="auto"/>
          <w:sz w:val="24"/>
          <w:lang w:eastAsia="es-CL"/>
        </w:rPr>
      </w:pPr>
      <w:r>
        <w:rPr>
          <w:noProof/>
          <w:lang w:val="es-CL" w:eastAsia="es-CL"/>
        </w:rPr>
        <w:drawing>
          <wp:inline distT="0" distB="0" distL="0" distR="0" wp14:anchorId="69A41B4A" wp14:editId="13FD3E59">
            <wp:extent cx="3165895" cy="1958196"/>
            <wp:effectExtent l="0" t="0" r="15875" b="23495"/>
            <wp:docPr id="124" name="Gráfico 1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4FF81209" w14:textId="3C3880A1" w:rsidR="00D87CF4" w:rsidRDefault="00F922E4" w:rsidP="00CF6E54">
      <w:pPr>
        <w:spacing w:after="0"/>
        <w:jc w:val="both"/>
        <w:rPr>
          <w:color w:val="auto"/>
          <w:sz w:val="24"/>
          <w:lang w:eastAsia="es-CL"/>
        </w:rPr>
      </w:pPr>
      <w:r>
        <w:rPr>
          <w:b/>
          <w:color w:val="auto"/>
          <w:sz w:val="24"/>
          <w:lang w:eastAsia="es-CL"/>
        </w:rPr>
        <w:t>Figura 7</w:t>
      </w:r>
      <w:r w:rsidR="00CF6E54" w:rsidRPr="007A53AB">
        <w:rPr>
          <w:b/>
          <w:color w:val="auto"/>
          <w:sz w:val="24"/>
          <w:lang w:eastAsia="es-CL"/>
        </w:rPr>
        <w:t xml:space="preserve">. </w:t>
      </w:r>
      <w:r w:rsidR="00E11EB9" w:rsidRPr="00E11EB9">
        <w:rPr>
          <w:color w:val="auto"/>
          <w:sz w:val="24"/>
          <w:lang w:eastAsia="es-CL"/>
        </w:rPr>
        <w:t xml:space="preserve">Toneladas </w:t>
      </w:r>
      <w:r w:rsidR="00626148">
        <w:rPr>
          <w:color w:val="auto"/>
          <w:sz w:val="24"/>
          <w:lang w:eastAsia="es-CL"/>
        </w:rPr>
        <w:t xml:space="preserve">de Materia Prima </w:t>
      </w:r>
      <w:r w:rsidR="003E6E09" w:rsidRPr="00E11EB9">
        <w:rPr>
          <w:color w:val="auto"/>
          <w:sz w:val="24"/>
          <w:lang w:eastAsia="es-CL"/>
        </w:rPr>
        <w:t>produc</w:t>
      </w:r>
      <w:r w:rsidR="00E11EB9" w:rsidRPr="00E11EB9">
        <w:rPr>
          <w:color w:val="auto"/>
          <w:sz w:val="24"/>
          <w:lang w:eastAsia="es-CL"/>
        </w:rPr>
        <w:t xml:space="preserve">idas por </w:t>
      </w:r>
      <w:r w:rsidR="003E6E09" w:rsidRPr="00E11EB9">
        <w:rPr>
          <w:color w:val="auto"/>
          <w:sz w:val="24"/>
          <w:lang w:eastAsia="es-CL"/>
        </w:rPr>
        <w:t xml:space="preserve">trabajador </w:t>
      </w:r>
      <w:r w:rsidR="00CF6E54" w:rsidRPr="00E11EB9">
        <w:rPr>
          <w:color w:val="auto"/>
          <w:sz w:val="24"/>
          <w:lang w:eastAsia="es-CL"/>
        </w:rPr>
        <w:t xml:space="preserve"> (</w:t>
      </w:r>
      <w:r w:rsidR="00061647" w:rsidRPr="00E11EB9">
        <w:rPr>
          <w:color w:val="auto"/>
          <w:sz w:val="24"/>
          <w:lang w:eastAsia="es-CL"/>
        </w:rPr>
        <w:t>Ton</w:t>
      </w:r>
      <w:r w:rsidR="003E6E09" w:rsidRPr="00E11EB9">
        <w:rPr>
          <w:color w:val="auto"/>
          <w:sz w:val="24"/>
          <w:lang w:eastAsia="es-CL"/>
        </w:rPr>
        <w:t>/N°</w:t>
      </w:r>
      <w:r w:rsidR="00CF6E54" w:rsidRPr="00E11EB9">
        <w:rPr>
          <w:color w:val="auto"/>
          <w:sz w:val="24"/>
          <w:lang w:eastAsia="es-CL"/>
        </w:rPr>
        <w:t>).</w:t>
      </w:r>
    </w:p>
    <w:p w14:paraId="7AD8B217" w14:textId="77777777" w:rsidR="00D87CF4" w:rsidRDefault="00D87CF4" w:rsidP="0044604D">
      <w:pPr>
        <w:jc w:val="both"/>
        <w:rPr>
          <w:color w:val="auto"/>
          <w:sz w:val="24"/>
          <w:lang w:eastAsia="es-CL"/>
        </w:rPr>
      </w:pPr>
    </w:p>
    <w:p w14:paraId="5ECF1275" w14:textId="77777777" w:rsidR="004B184E" w:rsidRPr="004B184E" w:rsidRDefault="004B184E" w:rsidP="004B184E">
      <w:pPr>
        <w:pStyle w:val="Encabezado"/>
        <w:rPr>
          <w:lang w:eastAsia="es-CL"/>
        </w:rPr>
      </w:pPr>
    </w:p>
    <w:p w14:paraId="1796795E" w14:textId="060A6FE6" w:rsidR="00A07EBA" w:rsidRPr="004B184E" w:rsidRDefault="00A07EBA" w:rsidP="004B184E">
      <w:pPr>
        <w:pStyle w:val="Ttulo2"/>
        <w:spacing w:after="240"/>
        <w:rPr>
          <w:b w:val="0"/>
          <w:sz w:val="32"/>
          <w:szCs w:val="32"/>
          <w:lang w:eastAsia="es-CL"/>
        </w:rPr>
      </w:pPr>
      <w:bookmarkStart w:id="6" w:name="_Toc471999112"/>
      <w:r w:rsidRPr="004B184E">
        <w:rPr>
          <w:b w:val="0"/>
          <w:sz w:val="32"/>
          <w:szCs w:val="32"/>
          <w:lang w:eastAsia="es-CL"/>
        </w:rPr>
        <w:t>Materias Primas e Insumos</w:t>
      </w:r>
      <w:bookmarkEnd w:id="6"/>
      <w:r w:rsidRPr="004B184E">
        <w:rPr>
          <w:b w:val="0"/>
          <w:sz w:val="32"/>
          <w:szCs w:val="32"/>
          <w:lang w:eastAsia="es-CL"/>
        </w:rPr>
        <w:t xml:space="preserve"> </w:t>
      </w:r>
    </w:p>
    <w:p w14:paraId="46EAD555" w14:textId="2B38C066" w:rsidR="00804906" w:rsidRDefault="00383694" w:rsidP="00207C9A">
      <w:pPr>
        <w:pStyle w:val="Encabezado"/>
        <w:tabs>
          <w:tab w:val="clear" w:pos="4252"/>
        </w:tabs>
        <w:spacing w:line="276" w:lineRule="auto"/>
        <w:jc w:val="both"/>
        <w:rPr>
          <w:rFonts w:cs="Arial"/>
          <w:bCs/>
          <w:color w:val="000000"/>
          <w:sz w:val="24"/>
        </w:rPr>
      </w:pPr>
      <w:r>
        <w:rPr>
          <w:rFonts w:cs="Arial"/>
          <w:bCs/>
          <w:color w:val="000000"/>
          <w:sz w:val="24"/>
        </w:rPr>
        <w:t>La semilla de</w:t>
      </w:r>
      <w:r w:rsidR="00804906">
        <w:rPr>
          <w:rFonts w:cs="Arial"/>
          <w:bCs/>
          <w:color w:val="000000"/>
          <w:sz w:val="24"/>
        </w:rPr>
        <w:t xml:space="preserve"> </w:t>
      </w:r>
      <w:proofErr w:type="spellStart"/>
      <w:r w:rsidR="00804906">
        <w:rPr>
          <w:rFonts w:cs="Arial"/>
          <w:bCs/>
          <w:color w:val="000000"/>
          <w:sz w:val="24"/>
        </w:rPr>
        <w:t>chorito</w:t>
      </w:r>
      <w:proofErr w:type="spellEnd"/>
      <w:r w:rsidR="00804906" w:rsidRPr="003D218D">
        <w:rPr>
          <w:rFonts w:cs="Arial"/>
          <w:bCs/>
          <w:color w:val="000000"/>
          <w:sz w:val="24"/>
        </w:rPr>
        <w:t xml:space="preserve"> </w:t>
      </w:r>
      <w:r w:rsidR="00AC4176" w:rsidRPr="003D218D">
        <w:rPr>
          <w:rFonts w:cs="Arial"/>
          <w:bCs/>
          <w:color w:val="000000"/>
          <w:sz w:val="24"/>
        </w:rPr>
        <w:t>(</w:t>
      </w:r>
      <w:proofErr w:type="spellStart"/>
      <w:r w:rsidR="00AC4176" w:rsidRPr="003D218D">
        <w:rPr>
          <w:rFonts w:cs="Arial"/>
          <w:bCs/>
          <w:i/>
          <w:color w:val="000000"/>
          <w:sz w:val="24"/>
        </w:rPr>
        <w:t>Mytilus</w:t>
      </w:r>
      <w:proofErr w:type="spellEnd"/>
      <w:r w:rsidR="00AC4176" w:rsidRPr="003D218D">
        <w:rPr>
          <w:rFonts w:cs="Arial"/>
          <w:bCs/>
          <w:i/>
          <w:color w:val="000000"/>
          <w:sz w:val="24"/>
        </w:rPr>
        <w:t xml:space="preserve"> </w:t>
      </w:r>
      <w:proofErr w:type="spellStart"/>
      <w:r w:rsidR="00AC4176" w:rsidRPr="003D218D">
        <w:rPr>
          <w:rFonts w:cs="Arial"/>
          <w:bCs/>
          <w:i/>
          <w:color w:val="000000"/>
          <w:sz w:val="24"/>
        </w:rPr>
        <w:t>chilensis</w:t>
      </w:r>
      <w:proofErr w:type="spellEnd"/>
      <w:r w:rsidR="00AC4176">
        <w:rPr>
          <w:rFonts w:cs="Arial"/>
          <w:bCs/>
          <w:color w:val="000000"/>
          <w:sz w:val="24"/>
        </w:rPr>
        <w:t>)</w:t>
      </w:r>
      <w:r w:rsidR="003D218D">
        <w:rPr>
          <w:rFonts w:cs="Arial"/>
          <w:bCs/>
          <w:color w:val="000000"/>
          <w:sz w:val="24"/>
        </w:rPr>
        <w:t>,</w:t>
      </w:r>
      <w:r w:rsidR="00AC4176">
        <w:rPr>
          <w:rFonts w:cs="Arial"/>
          <w:bCs/>
          <w:color w:val="000000"/>
          <w:sz w:val="24"/>
        </w:rPr>
        <w:t xml:space="preserve"> </w:t>
      </w:r>
      <w:r w:rsidR="00804906">
        <w:rPr>
          <w:rFonts w:cs="Arial"/>
          <w:bCs/>
          <w:color w:val="000000"/>
          <w:sz w:val="24"/>
        </w:rPr>
        <w:t>es l</w:t>
      </w:r>
      <w:r w:rsidR="0044604D" w:rsidRPr="007A53AB">
        <w:rPr>
          <w:rFonts w:cs="Arial"/>
          <w:bCs/>
          <w:color w:val="000000"/>
          <w:sz w:val="24"/>
        </w:rPr>
        <w:t xml:space="preserve">a </w:t>
      </w:r>
      <w:r>
        <w:rPr>
          <w:rFonts w:cs="Arial"/>
          <w:bCs/>
          <w:color w:val="000000"/>
          <w:sz w:val="24"/>
        </w:rPr>
        <w:t>Materia P</w:t>
      </w:r>
      <w:r w:rsidR="00352C45" w:rsidRPr="007A53AB">
        <w:rPr>
          <w:rFonts w:cs="Arial"/>
          <w:bCs/>
          <w:color w:val="000000"/>
          <w:sz w:val="24"/>
        </w:rPr>
        <w:t>rima</w:t>
      </w:r>
      <w:r w:rsidR="0044604D" w:rsidRPr="007A53AB">
        <w:rPr>
          <w:rFonts w:cs="Arial"/>
          <w:bCs/>
          <w:color w:val="000000"/>
          <w:sz w:val="24"/>
        </w:rPr>
        <w:t xml:space="preserve"> (MP)</w:t>
      </w:r>
      <w:r w:rsidR="00352C45" w:rsidRPr="007A53AB">
        <w:rPr>
          <w:rFonts w:cs="Arial"/>
          <w:bCs/>
          <w:color w:val="000000"/>
          <w:sz w:val="24"/>
        </w:rPr>
        <w:t xml:space="preserve"> utilizada </w:t>
      </w:r>
      <w:r w:rsidR="00804906">
        <w:rPr>
          <w:rFonts w:cs="Arial"/>
          <w:bCs/>
          <w:color w:val="000000"/>
          <w:sz w:val="24"/>
        </w:rPr>
        <w:t>por l</w:t>
      </w:r>
      <w:r>
        <w:rPr>
          <w:rFonts w:cs="Arial"/>
          <w:bCs/>
          <w:color w:val="000000"/>
          <w:sz w:val="24"/>
        </w:rPr>
        <w:t>o</w:t>
      </w:r>
      <w:r w:rsidR="00804906">
        <w:rPr>
          <w:rFonts w:cs="Arial"/>
          <w:bCs/>
          <w:color w:val="000000"/>
          <w:sz w:val="24"/>
        </w:rPr>
        <w:t xml:space="preserve">s </w:t>
      </w:r>
      <w:r>
        <w:rPr>
          <w:rFonts w:cs="Arial"/>
          <w:bCs/>
          <w:color w:val="000000"/>
          <w:sz w:val="24"/>
        </w:rPr>
        <w:t>centros de cultivo</w:t>
      </w:r>
      <w:r w:rsidR="00AB27A8">
        <w:rPr>
          <w:rFonts w:cs="Arial"/>
          <w:bCs/>
          <w:color w:val="000000"/>
          <w:sz w:val="24"/>
        </w:rPr>
        <w:t xml:space="preserve"> para la producción de </w:t>
      </w:r>
      <w:proofErr w:type="spellStart"/>
      <w:r w:rsidR="00AB27A8">
        <w:rPr>
          <w:rFonts w:cs="Arial"/>
          <w:bCs/>
          <w:color w:val="000000"/>
          <w:sz w:val="24"/>
        </w:rPr>
        <w:t>chorito</w:t>
      </w:r>
      <w:proofErr w:type="spellEnd"/>
      <w:r w:rsidR="00AB27A8">
        <w:rPr>
          <w:rFonts w:cs="Arial"/>
          <w:bCs/>
          <w:color w:val="000000"/>
          <w:sz w:val="24"/>
        </w:rPr>
        <w:t xml:space="preserve"> adulto con una talla comercial de 50 </w:t>
      </w:r>
      <w:proofErr w:type="spellStart"/>
      <w:r w:rsidR="00AB27A8">
        <w:rPr>
          <w:rFonts w:cs="Arial"/>
          <w:bCs/>
          <w:color w:val="000000"/>
          <w:sz w:val="24"/>
        </w:rPr>
        <w:t>Mm.</w:t>
      </w:r>
      <w:proofErr w:type="spellEnd"/>
    </w:p>
    <w:p w14:paraId="109D7501" w14:textId="77777777" w:rsidR="00AC4176" w:rsidRDefault="00AC4176" w:rsidP="0037632E">
      <w:pPr>
        <w:pStyle w:val="Encabezado"/>
        <w:spacing w:line="276" w:lineRule="auto"/>
        <w:jc w:val="both"/>
        <w:rPr>
          <w:rFonts w:cs="Arial"/>
          <w:bCs/>
          <w:color w:val="000000"/>
          <w:sz w:val="24"/>
        </w:rPr>
      </w:pPr>
    </w:p>
    <w:p w14:paraId="1230373A" w14:textId="3B39C42C" w:rsidR="00383694" w:rsidRDefault="00352C45" w:rsidP="00207C9A">
      <w:pPr>
        <w:pStyle w:val="Encabezado"/>
        <w:tabs>
          <w:tab w:val="clear" w:pos="4252"/>
          <w:tab w:val="center" w:pos="0"/>
        </w:tabs>
        <w:spacing w:line="276" w:lineRule="auto"/>
        <w:jc w:val="both"/>
        <w:rPr>
          <w:rFonts w:cs="Arial"/>
          <w:bCs/>
          <w:color w:val="000000"/>
          <w:sz w:val="24"/>
        </w:rPr>
      </w:pPr>
      <w:r w:rsidRPr="007A53AB">
        <w:rPr>
          <w:rFonts w:cs="Arial"/>
          <w:bCs/>
          <w:color w:val="000000"/>
          <w:sz w:val="24"/>
        </w:rPr>
        <w:t xml:space="preserve">Dentro de los principales insumos </w:t>
      </w:r>
      <w:r w:rsidR="00804906">
        <w:rPr>
          <w:rFonts w:cs="Arial"/>
          <w:bCs/>
          <w:color w:val="000000"/>
          <w:sz w:val="24"/>
        </w:rPr>
        <w:t xml:space="preserve">utilizados en el proceso de elaboración </w:t>
      </w:r>
      <w:r w:rsidR="00A300FB">
        <w:rPr>
          <w:rFonts w:cs="Arial"/>
          <w:bCs/>
          <w:color w:val="000000"/>
          <w:sz w:val="24"/>
        </w:rPr>
        <w:t>s</w:t>
      </w:r>
      <w:r w:rsidRPr="007A53AB">
        <w:rPr>
          <w:rFonts w:cs="Arial"/>
          <w:bCs/>
          <w:color w:val="000000"/>
          <w:sz w:val="24"/>
        </w:rPr>
        <w:t xml:space="preserve">e encuentran: </w:t>
      </w:r>
      <w:r w:rsidR="00383694">
        <w:rPr>
          <w:rFonts w:cs="Arial"/>
          <w:bCs/>
          <w:color w:val="000000"/>
          <w:sz w:val="24"/>
        </w:rPr>
        <w:t>semillas</w:t>
      </w:r>
      <w:r w:rsidRPr="007A53AB">
        <w:rPr>
          <w:rFonts w:cs="Arial"/>
          <w:bCs/>
          <w:color w:val="000000"/>
          <w:sz w:val="24"/>
        </w:rPr>
        <w:t>,</w:t>
      </w:r>
      <w:r w:rsidR="00383694">
        <w:rPr>
          <w:rFonts w:cs="Arial"/>
          <w:bCs/>
          <w:color w:val="000000"/>
          <w:sz w:val="24"/>
        </w:rPr>
        <w:t xml:space="preserve"> cabos, cabo </w:t>
      </w:r>
      <w:proofErr w:type="spellStart"/>
      <w:r w:rsidR="00383694">
        <w:rPr>
          <w:rFonts w:cs="Arial"/>
          <w:bCs/>
          <w:color w:val="000000"/>
          <w:sz w:val="24"/>
        </w:rPr>
        <w:t>mussels</w:t>
      </w:r>
      <w:proofErr w:type="spellEnd"/>
      <w:r w:rsidR="00383694">
        <w:rPr>
          <w:rFonts w:cs="Arial"/>
          <w:bCs/>
          <w:color w:val="000000"/>
          <w:sz w:val="24"/>
        </w:rPr>
        <w:t xml:space="preserve">, colector de red, boyas, flotadores de </w:t>
      </w:r>
      <w:proofErr w:type="spellStart"/>
      <w:r w:rsidR="00383694">
        <w:rPr>
          <w:rFonts w:cs="Arial"/>
          <w:bCs/>
          <w:color w:val="000000"/>
          <w:sz w:val="24"/>
        </w:rPr>
        <w:t>plumavit</w:t>
      </w:r>
      <w:proofErr w:type="spellEnd"/>
      <w:r w:rsidR="00383694">
        <w:rPr>
          <w:rFonts w:cs="Arial"/>
          <w:bCs/>
          <w:color w:val="000000"/>
          <w:sz w:val="24"/>
        </w:rPr>
        <w:t>, mallas de cosecha, sacos paperos y elementos de protección personal como: guantes, chalecos sal</w:t>
      </w:r>
      <w:r w:rsidR="003E21BA">
        <w:rPr>
          <w:rFonts w:cs="Arial"/>
          <w:bCs/>
          <w:color w:val="000000"/>
          <w:sz w:val="24"/>
        </w:rPr>
        <w:t>vavidas, trajes de agua y botas</w:t>
      </w:r>
      <w:r w:rsidR="00383694">
        <w:rPr>
          <w:rFonts w:cs="Arial"/>
          <w:bCs/>
          <w:color w:val="000000"/>
          <w:sz w:val="24"/>
        </w:rPr>
        <w:t>.</w:t>
      </w:r>
    </w:p>
    <w:p w14:paraId="0C06A390" w14:textId="77777777" w:rsidR="00383694" w:rsidRDefault="00383694" w:rsidP="00301CAE">
      <w:pPr>
        <w:pStyle w:val="Encabezado"/>
        <w:tabs>
          <w:tab w:val="clear" w:pos="4252"/>
          <w:tab w:val="center" w:pos="0"/>
        </w:tabs>
        <w:spacing w:line="276" w:lineRule="auto"/>
        <w:ind w:firstLine="709"/>
        <w:jc w:val="both"/>
        <w:rPr>
          <w:rFonts w:cs="Arial"/>
          <w:bCs/>
          <w:color w:val="000000"/>
          <w:sz w:val="24"/>
        </w:rPr>
      </w:pPr>
    </w:p>
    <w:p w14:paraId="7858ABF9" w14:textId="3227B1E3" w:rsidR="00352C45" w:rsidRDefault="00352C45" w:rsidP="00207C9A">
      <w:pPr>
        <w:pStyle w:val="Encabezado"/>
        <w:tabs>
          <w:tab w:val="clear" w:pos="4252"/>
          <w:tab w:val="center" w:pos="0"/>
        </w:tabs>
        <w:spacing w:line="276" w:lineRule="auto"/>
        <w:jc w:val="both"/>
        <w:rPr>
          <w:rFonts w:cs="Arial"/>
          <w:bCs/>
          <w:color w:val="000000"/>
          <w:sz w:val="24"/>
        </w:rPr>
      </w:pPr>
      <w:r w:rsidRPr="007A53AB">
        <w:rPr>
          <w:rFonts w:cs="Arial"/>
          <w:bCs/>
          <w:color w:val="000000"/>
          <w:sz w:val="24"/>
        </w:rPr>
        <w:t xml:space="preserve">Los consumos </w:t>
      </w:r>
      <w:r w:rsidR="00F8595A">
        <w:rPr>
          <w:rFonts w:cs="Arial"/>
          <w:bCs/>
          <w:color w:val="000000"/>
          <w:sz w:val="24"/>
        </w:rPr>
        <w:t>promedios</w:t>
      </w:r>
      <w:r w:rsidR="00AD442B">
        <w:rPr>
          <w:rFonts w:cs="Arial"/>
          <w:bCs/>
          <w:color w:val="000000"/>
          <w:sz w:val="24"/>
        </w:rPr>
        <w:t xml:space="preserve"> de insumos</w:t>
      </w:r>
      <w:r w:rsidR="00F8595A">
        <w:rPr>
          <w:rFonts w:cs="Arial"/>
          <w:bCs/>
          <w:color w:val="000000"/>
          <w:sz w:val="24"/>
        </w:rPr>
        <w:t xml:space="preserve"> </w:t>
      </w:r>
      <w:r w:rsidRPr="007A53AB">
        <w:rPr>
          <w:rFonts w:cs="Arial"/>
          <w:bCs/>
          <w:color w:val="000000"/>
          <w:sz w:val="24"/>
        </w:rPr>
        <w:t>informados</w:t>
      </w:r>
      <w:r w:rsidR="00F8595A">
        <w:rPr>
          <w:rFonts w:cs="Arial"/>
          <w:bCs/>
          <w:color w:val="000000"/>
          <w:sz w:val="24"/>
        </w:rPr>
        <w:t xml:space="preserve"> </w:t>
      </w:r>
      <w:r w:rsidR="00383694">
        <w:rPr>
          <w:rFonts w:cs="Arial"/>
          <w:bCs/>
          <w:color w:val="000000"/>
          <w:sz w:val="24"/>
        </w:rPr>
        <w:t>por lo</w:t>
      </w:r>
      <w:r w:rsidR="00F8595A" w:rsidRPr="00301CAE">
        <w:rPr>
          <w:rFonts w:cs="Arial"/>
          <w:bCs/>
          <w:color w:val="000000"/>
          <w:sz w:val="24"/>
        </w:rPr>
        <w:t xml:space="preserve">s </w:t>
      </w:r>
      <w:r w:rsidR="00383694">
        <w:rPr>
          <w:rFonts w:cs="Arial"/>
          <w:bCs/>
          <w:color w:val="000000"/>
          <w:sz w:val="24"/>
        </w:rPr>
        <w:t xml:space="preserve">centros de cultivo </w:t>
      </w:r>
      <w:r w:rsidR="001840C3">
        <w:rPr>
          <w:rFonts w:cs="Arial"/>
          <w:bCs/>
          <w:color w:val="000000"/>
          <w:sz w:val="24"/>
        </w:rPr>
        <w:t xml:space="preserve">por </w:t>
      </w:r>
      <w:r w:rsidR="00383694">
        <w:rPr>
          <w:rFonts w:cs="Arial"/>
          <w:bCs/>
          <w:color w:val="000000"/>
          <w:sz w:val="24"/>
        </w:rPr>
        <w:t>tonelada de Materia Prima cosechada</w:t>
      </w:r>
      <w:r w:rsidRPr="00301CAE">
        <w:rPr>
          <w:rFonts w:cs="Arial"/>
          <w:bCs/>
          <w:color w:val="000000"/>
          <w:sz w:val="24"/>
        </w:rPr>
        <w:t xml:space="preserve"> se detallan en la Figura </w:t>
      </w:r>
      <w:r w:rsidR="00AA2DDC">
        <w:rPr>
          <w:rFonts w:cs="Arial"/>
          <w:bCs/>
          <w:color w:val="000000"/>
          <w:sz w:val="24"/>
        </w:rPr>
        <w:t>8</w:t>
      </w:r>
      <w:r w:rsidRPr="00301CAE">
        <w:rPr>
          <w:rFonts w:cs="Arial"/>
          <w:bCs/>
          <w:color w:val="000000"/>
          <w:sz w:val="24"/>
        </w:rPr>
        <w:t>.</w:t>
      </w:r>
    </w:p>
    <w:p w14:paraId="0B39346A" w14:textId="76CDBA16" w:rsidR="00F3702D" w:rsidRDefault="00D31409" w:rsidP="004235E6">
      <w:pPr>
        <w:pStyle w:val="Encabezado"/>
        <w:tabs>
          <w:tab w:val="clear" w:pos="4252"/>
          <w:tab w:val="center" w:pos="0"/>
        </w:tabs>
        <w:spacing w:line="276" w:lineRule="auto"/>
        <w:ind w:firstLine="709"/>
        <w:jc w:val="both"/>
        <w:rPr>
          <w:rFonts w:cs="Arial"/>
          <w:bCs/>
          <w:color w:val="000000"/>
          <w:sz w:val="24"/>
        </w:rPr>
      </w:pPr>
      <w:r>
        <w:rPr>
          <w:noProof/>
          <w:lang w:val="es-CL" w:eastAsia="es-CL"/>
        </w:rPr>
        <w:lastRenderedPageBreak/>
        <w:drawing>
          <wp:inline distT="0" distB="0" distL="0" distR="0" wp14:anchorId="612B2C00" wp14:editId="36BF53E9">
            <wp:extent cx="2360592" cy="4106334"/>
            <wp:effectExtent l="0" t="0" r="20955" b="27940"/>
            <wp:docPr id="98" name="Gráfico 9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Pr>
          <w:noProof/>
          <w:lang w:val="es-CL" w:eastAsia="es-CL"/>
        </w:rPr>
        <w:drawing>
          <wp:inline distT="0" distB="0" distL="0" distR="0" wp14:anchorId="5874A7FD" wp14:editId="6502F380">
            <wp:extent cx="2370658" cy="4106333"/>
            <wp:effectExtent l="0" t="0" r="10795" b="27940"/>
            <wp:docPr id="100" name="Gráfico 10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38A613B8" w14:textId="22E40BFA" w:rsidR="00352C45" w:rsidRPr="007A53AB" w:rsidRDefault="00301CAE" w:rsidP="00352C45">
      <w:pPr>
        <w:pStyle w:val="Encabezado"/>
        <w:rPr>
          <w:rFonts w:cs="Arial"/>
          <w:bCs/>
          <w:color w:val="000000"/>
          <w:sz w:val="24"/>
        </w:rPr>
      </w:pPr>
      <w:r>
        <w:rPr>
          <w:rFonts w:cs="Arial"/>
          <w:b/>
          <w:bCs/>
          <w:color w:val="000000"/>
          <w:sz w:val="24"/>
        </w:rPr>
        <w:t>F</w:t>
      </w:r>
      <w:r w:rsidR="00352C45" w:rsidRPr="007A53AB">
        <w:rPr>
          <w:rFonts w:cs="Arial"/>
          <w:b/>
          <w:bCs/>
          <w:color w:val="000000"/>
          <w:sz w:val="24"/>
        </w:rPr>
        <w:t xml:space="preserve">igura </w:t>
      </w:r>
      <w:r w:rsidR="00204EDB">
        <w:rPr>
          <w:rFonts w:cs="Arial"/>
          <w:b/>
          <w:bCs/>
          <w:color w:val="000000"/>
          <w:sz w:val="24"/>
        </w:rPr>
        <w:t>8</w:t>
      </w:r>
      <w:r w:rsidR="00352C45" w:rsidRPr="007A53AB">
        <w:rPr>
          <w:rFonts w:cs="Arial"/>
          <w:bCs/>
          <w:color w:val="000000"/>
          <w:sz w:val="24"/>
        </w:rPr>
        <w:t xml:space="preserve">. </w:t>
      </w:r>
      <w:r>
        <w:rPr>
          <w:rFonts w:cs="Arial"/>
          <w:bCs/>
          <w:color w:val="000000"/>
          <w:sz w:val="24"/>
        </w:rPr>
        <w:t>In</w:t>
      </w:r>
      <w:r w:rsidR="00352C45" w:rsidRPr="007A53AB">
        <w:rPr>
          <w:rFonts w:cs="Arial"/>
          <w:bCs/>
          <w:color w:val="000000"/>
          <w:sz w:val="24"/>
        </w:rPr>
        <w:t xml:space="preserve">sumos </w:t>
      </w:r>
      <w:r w:rsidR="00C26BAA">
        <w:rPr>
          <w:rFonts w:cs="Arial"/>
          <w:bCs/>
          <w:color w:val="000000"/>
          <w:sz w:val="24"/>
        </w:rPr>
        <w:t>prome</w:t>
      </w:r>
      <w:r w:rsidR="004235E6">
        <w:rPr>
          <w:rFonts w:cs="Arial"/>
          <w:bCs/>
          <w:color w:val="000000"/>
          <w:sz w:val="24"/>
        </w:rPr>
        <w:t xml:space="preserve">dio utilizados por tonelada de </w:t>
      </w:r>
      <w:r w:rsidR="00DB4280">
        <w:rPr>
          <w:rFonts w:cs="Arial"/>
          <w:bCs/>
          <w:color w:val="000000"/>
          <w:sz w:val="24"/>
        </w:rPr>
        <w:t>M</w:t>
      </w:r>
      <w:r w:rsidR="004235E6">
        <w:rPr>
          <w:rFonts w:cs="Arial"/>
          <w:bCs/>
          <w:color w:val="000000"/>
          <w:sz w:val="24"/>
        </w:rPr>
        <w:t>ateria P</w:t>
      </w:r>
      <w:r w:rsidR="00C26BAA">
        <w:rPr>
          <w:rFonts w:cs="Arial"/>
          <w:bCs/>
          <w:color w:val="000000"/>
          <w:sz w:val="24"/>
        </w:rPr>
        <w:t xml:space="preserve">rima cosechada </w:t>
      </w:r>
      <w:r w:rsidR="005D0CCA">
        <w:rPr>
          <w:rFonts w:cs="Arial"/>
          <w:bCs/>
          <w:color w:val="000000"/>
          <w:sz w:val="24"/>
        </w:rPr>
        <w:t>(insumo/</w:t>
      </w:r>
      <w:r w:rsidR="00C26BAA">
        <w:rPr>
          <w:rFonts w:cs="Arial"/>
          <w:bCs/>
          <w:color w:val="000000"/>
          <w:sz w:val="24"/>
        </w:rPr>
        <w:t>Ton</w:t>
      </w:r>
      <w:r w:rsidR="00CB3619">
        <w:rPr>
          <w:rFonts w:cs="Arial"/>
          <w:bCs/>
          <w:color w:val="000000"/>
          <w:sz w:val="24"/>
        </w:rPr>
        <w:t>)</w:t>
      </w:r>
      <w:r w:rsidR="005D0CCA">
        <w:rPr>
          <w:rFonts w:cs="Arial"/>
          <w:bCs/>
          <w:color w:val="000000"/>
          <w:sz w:val="24"/>
        </w:rPr>
        <w:t>.</w:t>
      </w:r>
    </w:p>
    <w:p w14:paraId="4B8651E5" w14:textId="076D91D1" w:rsidR="002C73BB" w:rsidRDefault="00810EEB" w:rsidP="00207C9A">
      <w:pPr>
        <w:pStyle w:val="Sinespaciado"/>
        <w:spacing w:before="240" w:line="276" w:lineRule="auto"/>
        <w:rPr>
          <w:rFonts w:eastAsiaTheme="minorHAnsi" w:cs="Arial"/>
          <w:bCs/>
          <w:color w:val="000000"/>
          <w:lang w:val="es-ES" w:eastAsia="en-US"/>
        </w:rPr>
      </w:pPr>
      <w:r w:rsidRPr="0091685A">
        <w:rPr>
          <w:rFonts w:eastAsiaTheme="minorHAnsi" w:cs="Arial"/>
          <w:bCs/>
          <w:color w:val="000000"/>
          <w:lang w:val="es-ES" w:eastAsia="en-US"/>
        </w:rPr>
        <w:t>De los re</w:t>
      </w:r>
      <w:r w:rsidR="00301CAE">
        <w:rPr>
          <w:rFonts w:eastAsiaTheme="minorHAnsi" w:cs="Arial"/>
          <w:bCs/>
          <w:color w:val="000000"/>
          <w:lang w:val="es-ES" w:eastAsia="en-US"/>
        </w:rPr>
        <w:t xml:space="preserve">sultados anteriores </w:t>
      </w:r>
      <w:r w:rsidR="004235E6">
        <w:rPr>
          <w:rFonts w:eastAsiaTheme="minorHAnsi" w:cs="Arial"/>
          <w:bCs/>
          <w:color w:val="000000"/>
          <w:lang w:val="es-ES" w:eastAsia="en-US"/>
        </w:rPr>
        <w:t xml:space="preserve">se observó que los promedios de insumos por tonelada de Materia Prima, son similares en ambas categorías, sin embargo hay diferencia en los </w:t>
      </w:r>
      <w:r w:rsidR="002C73BB">
        <w:rPr>
          <w:rFonts w:eastAsiaTheme="minorHAnsi" w:cs="Arial"/>
          <w:bCs/>
          <w:color w:val="000000"/>
          <w:lang w:val="es-ES" w:eastAsia="en-US"/>
        </w:rPr>
        <w:t xml:space="preserve">metros de </w:t>
      </w:r>
      <w:r w:rsidR="004235E6">
        <w:rPr>
          <w:rFonts w:eastAsiaTheme="minorHAnsi" w:cs="Arial"/>
          <w:bCs/>
          <w:color w:val="000000"/>
          <w:lang w:val="es-ES" w:eastAsia="en-US"/>
        </w:rPr>
        <w:t>colect</w:t>
      </w:r>
      <w:r w:rsidR="00955B3C">
        <w:rPr>
          <w:rFonts w:eastAsiaTheme="minorHAnsi" w:cs="Arial"/>
          <w:bCs/>
          <w:color w:val="000000"/>
          <w:lang w:val="es-ES" w:eastAsia="en-US"/>
        </w:rPr>
        <w:t>ores</w:t>
      </w:r>
      <w:r w:rsidR="004235E6">
        <w:rPr>
          <w:rFonts w:eastAsiaTheme="minorHAnsi" w:cs="Arial"/>
          <w:bCs/>
          <w:color w:val="000000"/>
          <w:lang w:val="es-ES" w:eastAsia="en-US"/>
        </w:rPr>
        <w:t xml:space="preserve"> utilizados</w:t>
      </w:r>
      <w:r w:rsidR="00955B3C">
        <w:rPr>
          <w:rFonts w:eastAsiaTheme="minorHAnsi" w:cs="Arial"/>
          <w:bCs/>
          <w:color w:val="000000"/>
          <w:lang w:val="es-ES" w:eastAsia="en-US"/>
        </w:rPr>
        <w:t>. En los centros MYPE; 175 (Mt/Ton) y Grandes; 92 (Mt/Ton)</w:t>
      </w:r>
      <w:r w:rsidR="00AB27A8">
        <w:rPr>
          <w:rFonts w:eastAsiaTheme="minorHAnsi" w:cs="Arial"/>
          <w:bCs/>
          <w:color w:val="000000"/>
          <w:lang w:val="es-ES" w:eastAsia="en-US"/>
        </w:rPr>
        <w:t>, por lo tanto los centros de</w:t>
      </w:r>
      <w:r w:rsidR="00955B3C">
        <w:rPr>
          <w:rFonts w:eastAsiaTheme="minorHAnsi" w:cs="Arial"/>
          <w:bCs/>
          <w:color w:val="000000"/>
          <w:lang w:val="es-ES" w:eastAsia="en-US"/>
        </w:rPr>
        <w:t xml:space="preserve"> categoría Grande son más eficientes en el uso de colector de red por tonelada de Materia Prima cosechada. </w:t>
      </w:r>
      <w:r w:rsidR="00F47BF9">
        <w:rPr>
          <w:rFonts w:eastAsiaTheme="minorHAnsi" w:cs="Arial"/>
          <w:bCs/>
          <w:color w:val="000000"/>
          <w:lang w:val="es-ES" w:eastAsia="en-US"/>
        </w:rPr>
        <w:t>(Figura 8).</w:t>
      </w:r>
    </w:p>
    <w:p w14:paraId="16E98936" w14:textId="77777777" w:rsidR="00F47BF9" w:rsidRDefault="00F47BF9" w:rsidP="005C7753">
      <w:pPr>
        <w:pStyle w:val="Sinespaciado"/>
        <w:spacing w:line="276" w:lineRule="auto"/>
        <w:ind w:firstLine="709"/>
        <w:rPr>
          <w:rFonts w:eastAsiaTheme="minorHAnsi" w:cs="Arial"/>
          <w:bCs/>
          <w:color w:val="000000"/>
          <w:lang w:val="es-ES" w:eastAsia="en-US"/>
        </w:rPr>
      </w:pPr>
    </w:p>
    <w:p w14:paraId="3452E5EC" w14:textId="5D889851" w:rsidR="005C7753" w:rsidRDefault="00525273" w:rsidP="00207C9A">
      <w:pPr>
        <w:pStyle w:val="Sinespaciado"/>
        <w:spacing w:line="276" w:lineRule="auto"/>
        <w:rPr>
          <w:rFonts w:eastAsiaTheme="minorHAnsi" w:cs="Arial"/>
          <w:bCs/>
          <w:color w:val="000000"/>
          <w:lang w:val="es-ES" w:eastAsia="en-US"/>
        </w:rPr>
      </w:pPr>
      <w:r>
        <w:rPr>
          <w:rFonts w:eastAsiaTheme="minorHAnsi" w:cs="Arial"/>
          <w:bCs/>
          <w:color w:val="000000"/>
          <w:lang w:val="es-ES" w:eastAsia="en-US"/>
        </w:rPr>
        <w:t>Para el caso de</w:t>
      </w:r>
      <w:r w:rsidR="002C73BB">
        <w:rPr>
          <w:rFonts w:eastAsiaTheme="minorHAnsi" w:cs="Arial"/>
          <w:bCs/>
          <w:color w:val="000000"/>
          <w:lang w:val="es-ES" w:eastAsia="en-US"/>
        </w:rPr>
        <w:t xml:space="preserve"> </w:t>
      </w:r>
      <w:r>
        <w:rPr>
          <w:rFonts w:eastAsiaTheme="minorHAnsi" w:cs="Arial"/>
          <w:bCs/>
          <w:color w:val="000000"/>
          <w:lang w:val="es-ES" w:eastAsia="en-US"/>
        </w:rPr>
        <w:t>la longitud</w:t>
      </w:r>
      <w:r w:rsidR="002C73BB">
        <w:rPr>
          <w:rFonts w:eastAsiaTheme="minorHAnsi" w:cs="Arial"/>
          <w:bCs/>
          <w:color w:val="000000"/>
          <w:lang w:val="es-ES" w:eastAsia="en-US"/>
        </w:rPr>
        <w:t xml:space="preserve"> de cabo</w:t>
      </w:r>
      <w:r w:rsidR="00DB4280">
        <w:rPr>
          <w:rFonts w:eastAsiaTheme="minorHAnsi" w:cs="Arial"/>
          <w:bCs/>
          <w:color w:val="000000"/>
          <w:lang w:val="es-ES" w:eastAsia="en-US"/>
        </w:rPr>
        <w:t xml:space="preserve"> utilizado</w:t>
      </w:r>
      <w:r>
        <w:rPr>
          <w:rFonts w:eastAsiaTheme="minorHAnsi" w:cs="Arial"/>
          <w:bCs/>
          <w:color w:val="000000"/>
          <w:lang w:val="es-ES" w:eastAsia="en-US"/>
        </w:rPr>
        <w:t>, señalar que</w:t>
      </w:r>
      <w:r w:rsidR="00DB4280">
        <w:rPr>
          <w:rFonts w:eastAsiaTheme="minorHAnsi" w:cs="Arial"/>
          <w:bCs/>
          <w:color w:val="000000"/>
          <w:lang w:val="es-ES" w:eastAsia="en-US"/>
        </w:rPr>
        <w:t xml:space="preserve"> </w:t>
      </w:r>
      <w:r>
        <w:rPr>
          <w:rFonts w:eastAsiaTheme="minorHAnsi" w:cs="Arial"/>
          <w:bCs/>
          <w:color w:val="000000"/>
          <w:lang w:val="es-ES" w:eastAsia="en-US"/>
        </w:rPr>
        <w:t>la profundidad d</w:t>
      </w:r>
      <w:r w:rsidR="00DB4280">
        <w:rPr>
          <w:rFonts w:eastAsiaTheme="minorHAnsi" w:cs="Arial"/>
          <w:bCs/>
          <w:color w:val="000000"/>
          <w:lang w:val="es-ES" w:eastAsia="en-US"/>
        </w:rPr>
        <w:t xml:space="preserve">el anclaje de las líneas de cultivo </w:t>
      </w:r>
      <w:r>
        <w:rPr>
          <w:rFonts w:eastAsiaTheme="minorHAnsi" w:cs="Arial"/>
          <w:bCs/>
          <w:color w:val="000000"/>
          <w:lang w:val="es-ES" w:eastAsia="en-US"/>
        </w:rPr>
        <w:t>es</w:t>
      </w:r>
      <w:r w:rsidR="00DB4280">
        <w:rPr>
          <w:rFonts w:eastAsiaTheme="minorHAnsi" w:cs="Arial"/>
          <w:bCs/>
          <w:color w:val="000000"/>
          <w:lang w:val="es-ES" w:eastAsia="en-US"/>
        </w:rPr>
        <w:t xml:space="preserve"> directamente proporcional</w:t>
      </w:r>
      <w:r w:rsidR="00AB27A8">
        <w:rPr>
          <w:rFonts w:eastAsiaTheme="minorHAnsi" w:cs="Arial"/>
          <w:bCs/>
          <w:color w:val="000000"/>
          <w:lang w:val="es-ES" w:eastAsia="en-US"/>
        </w:rPr>
        <w:t xml:space="preserve"> a lo metros de cabo utilizados</w:t>
      </w:r>
      <w:r w:rsidR="00DB4280">
        <w:rPr>
          <w:rFonts w:eastAsiaTheme="minorHAnsi" w:cs="Arial"/>
          <w:bCs/>
          <w:color w:val="000000"/>
          <w:lang w:val="es-ES" w:eastAsia="en-US"/>
        </w:rPr>
        <w:t>, es decir a mayor profundidad de la concesión, mayor es la cantidad</w:t>
      </w:r>
      <w:r>
        <w:rPr>
          <w:rFonts w:eastAsiaTheme="minorHAnsi" w:cs="Arial"/>
          <w:bCs/>
          <w:color w:val="000000"/>
          <w:lang w:val="es-ES" w:eastAsia="en-US"/>
        </w:rPr>
        <w:t xml:space="preserve"> de metros</w:t>
      </w:r>
      <w:r w:rsidR="00DB4280">
        <w:rPr>
          <w:rFonts w:eastAsiaTheme="minorHAnsi" w:cs="Arial"/>
          <w:bCs/>
          <w:color w:val="000000"/>
          <w:lang w:val="es-ES" w:eastAsia="en-US"/>
        </w:rPr>
        <w:t xml:space="preserve"> de cabo utilizado. Además, </w:t>
      </w:r>
      <w:r>
        <w:rPr>
          <w:rFonts w:eastAsiaTheme="minorHAnsi" w:cs="Arial"/>
          <w:bCs/>
          <w:color w:val="000000"/>
          <w:lang w:val="es-ES" w:eastAsia="en-US"/>
        </w:rPr>
        <w:t xml:space="preserve">mencionar que </w:t>
      </w:r>
      <w:r w:rsidR="00DB4280">
        <w:rPr>
          <w:rFonts w:eastAsiaTheme="minorHAnsi" w:cs="Arial"/>
          <w:bCs/>
          <w:color w:val="000000"/>
          <w:lang w:val="es-ES" w:eastAsia="en-US"/>
        </w:rPr>
        <w:t>el número, longitud</w:t>
      </w:r>
      <w:r>
        <w:rPr>
          <w:rFonts w:eastAsiaTheme="minorHAnsi" w:cs="Arial"/>
          <w:bCs/>
          <w:color w:val="000000"/>
          <w:lang w:val="es-ES" w:eastAsia="en-US"/>
        </w:rPr>
        <w:t xml:space="preserve"> y</w:t>
      </w:r>
      <w:r w:rsidR="00DB4280">
        <w:rPr>
          <w:rFonts w:eastAsiaTheme="minorHAnsi" w:cs="Arial"/>
          <w:bCs/>
          <w:color w:val="000000"/>
          <w:lang w:val="es-ES" w:eastAsia="en-US"/>
        </w:rPr>
        <w:t xml:space="preserve"> tipo de líneas (simple o doble) son proporcionales</w:t>
      </w:r>
      <w:r>
        <w:rPr>
          <w:rFonts w:eastAsiaTheme="minorHAnsi" w:cs="Arial"/>
          <w:bCs/>
          <w:color w:val="000000"/>
          <w:lang w:val="es-ES" w:eastAsia="en-US"/>
        </w:rPr>
        <w:t xml:space="preserve"> a la longitud de cabo</w:t>
      </w:r>
      <w:r w:rsidR="00DB4280">
        <w:rPr>
          <w:rFonts w:eastAsiaTheme="minorHAnsi" w:cs="Arial"/>
          <w:bCs/>
          <w:color w:val="000000"/>
          <w:lang w:val="es-ES" w:eastAsia="en-US"/>
        </w:rPr>
        <w:t xml:space="preserve"> utilizado por tonelada de </w:t>
      </w:r>
      <w:proofErr w:type="spellStart"/>
      <w:r w:rsidR="00DB4280">
        <w:rPr>
          <w:rFonts w:eastAsiaTheme="minorHAnsi" w:cs="Arial"/>
          <w:bCs/>
          <w:color w:val="000000"/>
          <w:lang w:val="es-ES" w:eastAsia="en-US"/>
        </w:rPr>
        <w:t>chorito</w:t>
      </w:r>
      <w:proofErr w:type="spellEnd"/>
      <w:r w:rsidR="00DB4280">
        <w:rPr>
          <w:rFonts w:eastAsiaTheme="minorHAnsi" w:cs="Arial"/>
          <w:bCs/>
          <w:color w:val="000000"/>
          <w:lang w:val="es-ES" w:eastAsia="en-US"/>
        </w:rPr>
        <w:t xml:space="preserve"> freso</w:t>
      </w:r>
      <w:r>
        <w:rPr>
          <w:rFonts w:eastAsiaTheme="minorHAnsi" w:cs="Arial"/>
          <w:bCs/>
          <w:color w:val="000000"/>
          <w:lang w:val="es-ES" w:eastAsia="en-US"/>
        </w:rPr>
        <w:t xml:space="preserve">, ya que a mayor número de líneas, mayor </w:t>
      </w:r>
      <w:r>
        <w:rPr>
          <w:rFonts w:eastAsiaTheme="minorHAnsi" w:cs="Arial"/>
          <w:bCs/>
          <w:color w:val="000000"/>
          <w:lang w:val="es-ES" w:eastAsia="en-US"/>
        </w:rPr>
        <w:lastRenderedPageBreak/>
        <w:t xml:space="preserve">longitud y líneas dobles requieren de mayor longitud de cabo. Los </w:t>
      </w:r>
      <w:r w:rsidRPr="00525273">
        <w:rPr>
          <w:rFonts w:eastAsiaTheme="minorHAnsi" w:cs="Arial"/>
          <w:bCs/>
          <w:color w:val="000000"/>
          <w:lang w:val="es-ES" w:eastAsia="en-US"/>
        </w:rPr>
        <w:t>metros de cabo empleado por tonelada de Materia Prima cosechada</w:t>
      </w:r>
      <w:r>
        <w:rPr>
          <w:rFonts w:eastAsiaTheme="minorHAnsi" w:cs="Arial"/>
          <w:bCs/>
          <w:color w:val="000000"/>
          <w:lang w:val="es-ES" w:eastAsia="en-US"/>
        </w:rPr>
        <w:t xml:space="preserve"> evidenciaron que </w:t>
      </w:r>
      <w:r w:rsidRPr="00525273">
        <w:rPr>
          <w:rFonts w:eastAsiaTheme="minorHAnsi" w:cs="Arial"/>
          <w:bCs/>
          <w:color w:val="000000"/>
          <w:lang w:val="es-ES" w:eastAsia="en-US"/>
        </w:rPr>
        <w:t>el rendimiento de las empresas MYPE es 102 (Mt/Ton) y centros Grande es 55 (Mt/Ton).</w:t>
      </w:r>
      <w:r w:rsidR="007D2DC4">
        <w:rPr>
          <w:rFonts w:eastAsiaTheme="minorHAnsi" w:cs="Arial"/>
          <w:bCs/>
          <w:color w:val="000000"/>
          <w:lang w:val="es-ES" w:eastAsia="en-US"/>
        </w:rPr>
        <w:t xml:space="preserve"> (Figura 8).</w:t>
      </w:r>
    </w:p>
    <w:p w14:paraId="37E02C81" w14:textId="77777777" w:rsidR="00207C9A" w:rsidRDefault="00207C9A" w:rsidP="00207C9A">
      <w:pPr>
        <w:pStyle w:val="Encabezado"/>
        <w:spacing w:line="276" w:lineRule="auto"/>
        <w:jc w:val="both"/>
        <w:rPr>
          <w:rFonts w:cs="Arial"/>
          <w:bCs/>
          <w:color w:val="000000"/>
          <w:sz w:val="24"/>
        </w:rPr>
      </w:pPr>
    </w:p>
    <w:p w14:paraId="5FCAC7EE" w14:textId="55EF6F2B" w:rsidR="00DB4280" w:rsidRDefault="005C7753" w:rsidP="00207C9A">
      <w:pPr>
        <w:pStyle w:val="Encabezado"/>
        <w:spacing w:line="276" w:lineRule="auto"/>
        <w:jc w:val="both"/>
        <w:rPr>
          <w:rFonts w:cs="Arial"/>
          <w:bCs/>
          <w:color w:val="000000"/>
        </w:rPr>
      </w:pPr>
      <w:r>
        <w:rPr>
          <w:rFonts w:cs="Arial"/>
          <w:bCs/>
          <w:color w:val="000000"/>
          <w:sz w:val="24"/>
        </w:rPr>
        <w:t xml:space="preserve">Por otro lado, se observó que los centros de cultivo de la categoría MYPE, no utilizan cabo </w:t>
      </w:r>
      <w:proofErr w:type="spellStart"/>
      <w:r>
        <w:rPr>
          <w:rFonts w:cs="Arial"/>
          <w:bCs/>
          <w:color w:val="000000"/>
          <w:sz w:val="24"/>
        </w:rPr>
        <w:t>mussels</w:t>
      </w:r>
      <w:proofErr w:type="spellEnd"/>
      <w:r>
        <w:rPr>
          <w:rFonts w:cs="Arial"/>
          <w:bCs/>
          <w:color w:val="000000"/>
          <w:sz w:val="24"/>
        </w:rPr>
        <w:t xml:space="preserve"> como alternativa de sustrato para la fijación de los </w:t>
      </w:r>
      <w:proofErr w:type="spellStart"/>
      <w:r>
        <w:rPr>
          <w:rFonts w:cs="Arial"/>
          <w:bCs/>
          <w:color w:val="000000"/>
          <w:sz w:val="24"/>
        </w:rPr>
        <w:t>choritos</w:t>
      </w:r>
      <w:proofErr w:type="spellEnd"/>
      <w:r>
        <w:rPr>
          <w:rFonts w:cs="Arial"/>
          <w:bCs/>
          <w:color w:val="000000"/>
          <w:sz w:val="24"/>
        </w:rPr>
        <w:t xml:space="preserve"> en la etapa de engorda, a diferencia de los centros Grande, quienes si lo utilizan </w:t>
      </w:r>
      <w:r w:rsidRPr="007D2DC4">
        <w:rPr>
          <w:rFonts w:cs="Arial"/>
          <w:bCs/>
          <w:color w:val="000000"/>
          <w:sz w:val="24"/>
        </w:rPr>
        <w:t>(7,8 Mt/Ton).</w:t>
      </w:r>
      <w:r>
        <w:rPr>
          <w:rFonts w:cs="Arial"/>
          <w:bCs/>
          <w:color w:val="000000"/>
          <w:sz w:val="24"/>
        </w:rPr>
        <w:t xml:space="preserve"> El empleo de cabo </w:t>
      </w:r>
      <w:proofErr w:type="spellStart"/>
      <w:r>
        <w:rPr>
          <w:rFonts w:cs="Arial"/>
          <w:bCs/>
          <w:color w:val="000000"/>
          <w:sz w:val="24"/>
        </w:rPr>
        <w:t>museels</w:t>
      </w:r>
      <w:proofErr w:type="spellEnd"/>
      <w:r>
        <w:rPr>
          <w:rFonts w:cs="Arial"/>
          <w:bCs/>
          <w:color w:val="000000"/>
          <w:sz w:val="24"/>
        </w:rPr>
        <w:t xml:space="preserve"> en la etapa de engorda </w:t>
      </w:r>
      <w:r w:rsidR="00972F19">
        <w:rPr>
          <w:rFonts w:cs="Arial"/>
          <w:bCs/>
          <w:color w:val="000000"/>
          <w:sz w:val="24"/>
        </w:rPr>
        <w:t xml:space="preserve">posee beneficios, proporcionando mayor superficie para la adhesión del </w:t>
      </w:r>
      <w:proofErr w:type="spellStart"/>
      <w:r w:rsidR="00972F19">
        <w:rPr>
          <w:rFonts w:cs="Arial"/>
          <w:bCs/>
          <w:color w:val="000000"/>
          <w:sz w:val="24"/>
        </w:rPr>
        <w:t>chorito</w:t>
      </w:r>
      <w:proofErr w:type="spellEnd"/>
      <w:r w:rsidR="00972F19">
        <w:rPr>
          <w:rFonts w:cs="Arial"/>
          <w:bCs/>
          <w:color w:val="000000"/>
          <w:sz w:val="24"/>
        </w:rPr>
        <w:t>, mayor vida útil y operacionalmente más fácil de reutilizar, entre otras</w:t>
      </w:r>
      <w:r w:rsidR="007D2DC4">
        <w:rPr>
          <w:rFonts w:cs="Arial"/>
          <w:bCs/>
          <w:color w:val="000000"/>
          <w:sz w:val="24"/>
        </w:rPr>
        <w:t>.</w:t>
      </w:r>
      <w:r w:rsidR="00972F19">
        <w:rPr>
          <w:rFonts w:cs="Arial"/>
          <w:bCs/>
          <w:color w:val="000000"/>
          <w:sz w:val="24"/>
        </w:rPr>
        <w:t xml:space="preserve"> </w:t>
      </w:r>
    </w:p>
    <w:p w14:paraId="2FA87DDD" w14:textId="77777777" w:rsidR="00301CAE" w:rsidRPr="007A53AB" w:rsidRDefault="00301CAE" w:rsidP="00810EEB">
      <w:pPr>
        <w:pStyle w:val="Encabezado"/>
        <w:rPr>
          <w:lang w:val="es-CL" w:eastAsia="es-CL"/>
        </w:rPr>
      </w:pPr>
    </w:p>
    <w:p w14:paraId="10CAF1D7" w14:textId="77777777" w:rsidR="004B184E" w:rsidRDefault="004B184E" w:rsidP="00E31A3F">
      <w:pPr>
        <w:pStyle w:val="Ttulo2"/>
        <w:rPr>
          <w:b w:val="0"/>
          <w:sz w:val="32"/>
          <w:szCs w:val="32"/>
          <w:lang w:eastAsia="es-CL"/>
        </w:rPr>
      </w:pPr>
    </w:p>
    <w:p w14:paraId="7AAA5D05" w14:textId="551DA7B7" w:rsidR="004377CC" w:rsidRPr="004B184E" w:rsidRDefault="004377CC" w:rsidP="00E31A3F">
      <w:pPr>
        <w:pStyle w:val="Ttulo2"/>
        <w:rPr>
          <w:b w:val="0"/>
          <w:sz w:val="32"/>
          <w:szCs w:val="32"/>
          <w:lang w:eastAsia="es-CL"/>
        </w:rPr>
      </w:pPr>
      <w:bookmarkStart w:id="7" w:name="_Toc471999113"/>
      <w:r w:rsidRPr="004B184E">
        <w:rPr>
          <w:b w:val="0"/>
          <w:sz w:val="32"/>
          <w:szCs w:val="32"/>
          <w:lang w:eastAsia="es-CL"/>
        </w:rPr>
        <w:t>Consumos de Agua</w:t>
      </w:r>
      <w:bookmarkEnd w:id="7"/>
      <w:r w:rsidRPr="004B184E">
        <w:rPr>
          <w:b w:val="0"/>
          <w:sz w:val="32"/>
          <w:szCs w:val="32"/>
          <w:lang w:eastAsia="es-CL"/>
        </w:rPr>
        <w:t xml:space="preserve"> </w:t>
      </w:r>
    </w:p>
    <w:p w14:paraId="74BF83FF" w14:textId="77777777" w:rsidR="004377CC" w:rsidRDefault="004377CC" w:rsidP="004377CC">
      <w:pPr>
        <w:pStyle w:val="Encabezado"/>
        <w:jc w:val="both"/>
        <w:rPr>
          <w:rFonts w:cs="Arial"/>
          <w:bCs/>
          <w:color w:val="000000"/>
          <w:sz w:val="24"/>
        </w:rPr>
      </w:pPr>
    </w:p>
    <w:p w14:paraId="608F55A4" w14:textId="5908F290" w:rsidR="00301CAE" w:rsidRDefault="00763B81" w:rsidP="00207C9A">
      <w:pPr>
        <w:pStyle w:val="NormalWeb"/>
        <w:shd w:val="clear" w:color="auto" w:fill="FFFFFF"/>
        <w:spacing w:before="0" w:beforeAutospacing="0" w:after="0" w:afterAutospacing="0" w:line="276" w:lineRule="auto"/>
        <w:jc w:val="both"/>
        <w:rPr>
          <w:rFonts w:ascii="Titillium" w:eastAsiaTheme="minorHAnsi" w:hAnsi="Titillium" w:cs="Arial"/>
          <w:bCs/>
          <w:color w:val="000000"/>
          <w:szCs w:val="22"/>
          <w:lang w:val="es-ES" w:eastAsia="en-US"/>
        </w:rPr>
      </w:pPr>
      <w:r w:rsidRPr="00246095">
        <w:rPr>
          <w:rFonts w:ascii="Titillium" w:eastAsiaTheme="minorHAnsi" w:hAnsi="Titillium" w:cs="Arial"/>
          <w:bCs/>
          <w:color w:val="000000"/>
          <w:szCs w:val="22"/>
          <w:lang w:val="es-ES" w:eastAsia="en-US"/>
        </w:rPr>
        <w:t xml:space="preserve">El agua dulce es un recurso natural </w:t>
      </w:r>
      <w:hyperlink r:id="rId30" w:tooltip="Recurso renovable" w:history="1">
        <w:r w:rsidR="00CF4462" w:rsidRPr="00246095">
          <w:rPr>
            <w:rFonts w:ascii="Titillium" w:eastAsiaTheme="minorHAnsi" w:hAnsi="Titillium"/>
            <w:bCs/>
            <w:color w:val="000000"/>
            <w:szCs w:val="22"/>
            <w:lang w:val="es-ES" w:eastAsia="en-US"/>
          </w:rPr>
          <w:t>renovable</w:t>
        </w:r>
      </w:hyperlink>
      <w:r w:rsidR="00CF4462">
        <w:rPr>
          <w:rFonts w:ascii="Titillium" w:eastAsiaTheme="minorHAnsi" w:hAnsi="Titillium" w:cs="Arial"/>
          <w:bCs/>
          <w:color w:val="000000"/>
          <w:szCs w:val="22"/>
          <w:lang w:val="es-ES" w:eastAsia="en-US"/>
        </w:rPr>
        <w:t xml:space="preserve">, variable, </w:t>
      </w:r>
      <w:r w:rsidR="00CF4462" w:rsidRPr="00246095">
        <w:rPr>
          <w:rFonts w:ascii="Titillium" w:eastAsiaTheme="minorHAnsi" w:hAnsi="Titillium" w:cs="Arial"/>
          <w:bCs/>
          <w:color w:val="000000"/>
          <w:szCs w:val="22"/>
          <w:lang w:val="es-ES" w:eastAsia="en-US"/>
        </w:rPr>
        <w:t>limitado</w:t>
      </w:r>
      <w:r w:rsidR="00CF4462">
        <w:rPr>
          <w:rFonts w:ascii="Titillium" w:eastAsiaTheme="minorHAnsi" w:hAnsi="Titillium" w:cs="Arial"/>
          <w:bCs/>
          <w:color w:val="000000"/>
          <w:szCs w:val="22"/>
          <w:lang w:val="es-ES" w:eastAsia="en-US"/>
        </w:rPr>
        <w:t xml:space="preserve"> e</w:t>
      </w:r>
      <w:r w:rsidR="00CF4462" w:rsidRPr="00246095">
        <w:rPr>
          <w:rFonts w:ascii="Titillium" w:eastAsiaTheme="minorHAnsi" w:hAnsi="Titillium" w:cs="Arial"/>
          <w:bCs/>
          <w:color w:val="000000"/>
          <w:szCs w:val="22"/>
          <w:lang w:val="es-ES" w:eastAsia="en-US"/>
        </w:rPr>
        <w:t xml:space="preserve"> </w:t>
      </w:r>
      <w:r w:rsidRPr="00246095">
        <w:rPr>
          <w:rFonts w:ascii="Titillium" w:eastAsiaTheme="minorHAnsi" w:hAnsi="Titillium" w:cs="Arial"/>
          <w:bCs/>
          <w:color w:val="000000"/>
          <w:szCs w:val="22"/>
          <w:lang w:val="es-ES" w:eastAsia="en-US"/>
        </w:rPr>
        <w:t>indispensable para la supervivencia de todos los</w:t>
      </w:r>
      <w:r w:rsidRPr="00246095">
        <w:rPr>
          <w:rFonts w:ascii="Titillium" w:eastAsiaTheme="minorHAnsi" w:hAnsi="Titillium"/>
          <w:bCs/>
          <w:color w:val="000000"/>
          <w:szCs w:val="22"/>
          <w:lang w:val="es-ES" w:eastAsia="en-US"/>
        </w:rPr>
        <w:t> </w:t>
      </w:r>
      <w:hyperlink r:id="rId31" w:tooltip="Ecosistema" w:history="1">
        <w:r w:rsidRPr="00246095">
          <w:rPr>
            <w:rFonts w:ascii="Titillium" w:eastAsiaTheme="minorHAnsi" w:hAnsi="Titillium"/>
            <w:bCs/>
            <w:color w:val="000000"/>
            <w:szCs w:val="22"/>
            <w:lang w:val="es-ES" w:eastAsia="en-US"/>
          </w:rPr>
          <w:t>ecosistemas</w:t>
        </w:r>
      </w:hyperlink>
      <w:r w:rsidR="00CF4462">
        <w:rPr>
          <w:rFonts w:ascii="Titillium" w:eastAsiaTheme="minorHAnsi" w:hAnsi="Titillium" w:cs="Arial"/>
          <w:bCs/>
          <w:color w:val="000000"/>
          <w:szCs w:val="22"/>
          <w:lang w:val="es-ES" w:eastAsia="en-US"/>
        </w:rPr>
        <w:t>,</w:t>
      </w:r>
      <w:r w:rsidRPr="00246095">
        <w:rPr>
          <w:rFonts w:ascii="Titillium" w:eastAsiaTheme="minorHAnsi" w:hAnsi="Titillium" w:cs="Arial"/>
          <w:bCs/>
          <w:color w:val="000000"/>
          <w:szCs w:val="22"/>
          <w:lang w:val="es-ES" w:eastAsia="en-US"/>
        </w:rPr>
        <w:t xml:space="preserve"> </w:t>
      </w:r>
      <w:r w:rsidR="00CF4462" w:rsidRPr="00246095">
        <w:rPr>
          <w:rFonts w:ascii="Titillium" w:eastAsiaTheme="minorHAnsi" w:hAnsi="Titillium" w:cs="Arial"/>
          <w:bCs/>
          <w:color w:val="000000"/>
          <w:szCs w:val="22"/>
          <w:lang w:val="es-ES" w:eastAsia="en-US"/>
        </w:rPr>
        <w:t>sólo puede reponerse a través del</w:t>
      </w:r>
      <w:r w:rsidR="00CF4462" w:rsidRPr="00246095">
        <w:rPr>
          <w:rFonts w:ascii="Titillium" w:eastAsiaTheme="minorHAnsi" w:hAnsi="Titillium"/>
          <w:bCs/>
          <w:color w:val="000000"/>
          <w:szCs w:val="22"/>
          <w:lang w:val="es-ES" w:eastAsia="en-US"/>
        </w:rPr>
        <w:t> </w:t>
      </w:r>
      <w:hyperlink r:id="rId32" w:tooltip="Ciclo del agua" w:history="1">
        <w:r w:rsidR="00CF4462" w:rsidRPr="00246095">
          <w:rPr>
            <w:rFonts w:ascii="Titillium" w:eastAsiaTheme="minorHAnsi" w:hAnsi="Titillium"/>
            <w:bCs/>
            <w:color w:val="000000"/>
            <w:szCs w:val="22"/>
            <w:lang w:val="es-ES" w:eastAsia="en-US"/>
          </w:rPr>
          <w:t>ciclo del agua</w:t>
        </w:r>
      </w:hyperlink>
      <w:r w:rsidR="00CF4462" w:rsidRPr="00246095">
        <w:rPr>
          <w:rFonts w:ascii="Titillium" w:eastAsiaTheme="minorHAnsi" w:hAnsi="Titillium" w:cs="Arial"/>
          <w:bCs/>
          <w:color w:val="000000"/>
          <w:szCs w:val="22"/>
          <w:lang w:val="es-ES" w:eastAsia="en-US"/>
        </w:rPr>
        <w:t>, proceso en el cual el agua de los mares, lagos, bosques, tierras, ríos y embalses se evapora, forma nubes y vuelve a través de la precipitación</w:t>
      </w:r>
      <w:r w:rsidR="00CF4462">
        <w:rPr>
          <w:rFonts w:ascii="Titillium" w:eastAsiaTheme="minorHAnsi" w:hAnsi="Titillium" w:cs="Arial"/>
          <w:bCs/>
          <w:color w:val="000000"/>
          <w:szCs w:val="22"/>
          <w:lang w:val="es-ES" w:eastAsia="en-US"/>
        </w:rPr>
        <w:t xml:space="preserve">. </w:t>
      </w:r>
      <w:r w:rsidRPr="00246095">
        <w:rPr>
          <w:rFonts w:ascii="Titillium" w:eastAsiaTheme="minorHAnsi" w:hAnsi="Titillium" w:cs="Arial"/>
          <w:bCs/>
          <w:color w:val="000000"/>
          <w:szCs w:val="22"/>
          <w:lang w:val="es-ES" w:eastAsia="en-US"/>
        </w:rPr>
        <w:t xml:space="preserve">Los seres humanos utilizan el agua para consumo y  como recurso en actividades industriales. </w:t>
      </w:r>
    </w:p>
    <w:p w14:paraId="26B0B2C3" w14:textId="77777777" w:rsidR="00CF4462" w:rsidRDefault="00CF4462" w:rsidP="00301CAE">
      <w:pPr>
        <w:pStyle w:val="NormalWeb"/>
        <w:shd w:val="clear" w:color="auto" w:fill="FFFFFF"/>
        <w:spacing w:before="0" w:beforeAutospacing="0" w:after="0" w:afterAutospacing="0" w:line="276" w:lineRule="auto"/>
        <w:ind w:firstLine="708"/>
        <w:jc w:val="both"/>
        <w:rPr>
          <w:rFonts w:ascii="Titillium" w:eastAsiaTheme="minorHAnsi" w:hAnsi="Titillium" w:cs="Arial"/>
          <w:bCs/>
          <w:color w:val="000000"/>
          <w:szCs w:val="22"/>
          <w:lang w:val="es-ES" w:eastAsia="en-US"/>
        </w:rPr>
      </w:pPr>
    </w:p>
    <w:p w14:paraId="4AC5876D" w14:textId="0EF59E72" w:rsidR="00301CAE" w:rsidRPr="00246095" w:rsidRDefault="00CF4462" w:rsidP="00207C9A">
      <w:pPr>
        <w:pStyle w:val="NormalWeb"/>
        <w:shd w:val="clear" w:color="auto" w:fill="FFFFFF"/>
        <w:spacing w:before="0" w:beforeAutospacing="0" w:after="0" w:afterAutospacing="0" w:line="276" w:lineRule="auto"/>
        <w:jc w:val="both"/>
        <w:rPr>
          <w:rFonts w:ascii="Titillium" w:eastAsiaTheme="minorHAnsi" w:hAnsi="Titillium" w:cs="Arial"/>
          <w:bCs/>
          <w:color w:val="000000"/>
          <w:szCs w:val="22"/>
          <w:lang w:val="es-ES" w:eastAsia="en-US"/>
        </w:rPr>
      </w:pPr>
      <w:r>
        <w:rPr>
          <w:rFonts w:ascii="Titillium" w:eastAsiaTheme="minorHAnsi" w:hAnsi="Titillium" w:cs="Arial"/>
          <w:bCs/>
          <w:color w:val="000000"/>
          <w:szCs w:val="22"/>
          <w:lang w:val="es-ES" w:eastAsia="en-US"/>
        </w:rPr>
        <w:t>Los centros de cultivo diagnosticados informaron</w:t>
      </w:r>
      <w:r w:rsidR="00F47BF9">
        <w:rPr>
          <w:rFonts w:ascii="Titillium" w:eastAsiaTheme="minorHAnsi" w:hAnsi="Titillium" w:cs="Arial"/>
          <w:bCs/>
          <w:color w:val="000000"/>
          <w:szCs w:val="22"/>
          <w:lang w:val="es-ES" w:eastAsia="en-US"/>
        </w:rPr>
        <w:t xml:space="preserve"> que utilizan agua dulce en</w:t>
      </w:r>
      <w:r>
        <w:rPr>
          <w:rFonts w:ascii="Titillium" w:eastAsiaTheme="minorHAnsi" w:hAnsi="Titillium" w:cs="Arial"/>
          <w:bCs/>
          <w:color w:val="000000"/>
          <w:szCs w:val="22"/>
          <w:lang w:val="es-ES" w:eastAsia="en-US"/>
        </w:rPr>
        <w:t xml:space="preserve"> las instalaciones</w:t>
      </w:r>
      <w:r w:rsidR="00F47BF9">
        <w:rPr>
          <w:rFonts w:ascii="Titillium" w:eastAsiaTheme="minorHAnsi" w:hAnsi="Titillium" w:cs="Arial"/>
          <w:bCs/>
          <w:color w:val="000000"/>
          <w:szCs w:val="22"/>
          <w:lang w:val="es-ES" w:eastAsia="en-US"/>
        </w:rPr>
        <w:t xml:space="preserve"> en </w:t>
      </w:r>
      <w:r>
        <w:rPr>
          <w:rFonts w:ascii="Titillium" w:eastAsiaTheme="minorHAnsi" w:hAnsi="Titillium" w:cs="Arial"/>
          <w:bCs/>
          <w:color w:val="000000"/>
          <w:szCs w:val="22"/>
          <w:lang w:val="es-ES" w:eastAsia="en-US"/>
        </w:rPr>
        <w:t>tierra</w:t>
      </w:r>
      <w:r w:rsidR="00F47BF9">
        <w:rPr>
          <w:rFonts w:ascii="Titillium" w:eastAsiaTheme="minorHAnsi" w:hAnsi="Titillium" w:cs="Arial"/>
          <w:bCs/>
          <w:color w:val="000000"/>
          <w:szCs w:val="22"/>
          <w:lang w:val="es-ES" w:eastAsia="en-US"/>
        </w:rPr>
        <w:t>. P</w:t>
      </w:r>
      <w:r>
        <w:rPr>
          <w:rFonts w:ascii="Titillium" w:eastAsiaTheme="minorHAnsi" w:hAnsi="Titillium" w:cs="Arial"/>
          <w:bCs/>
          <w:color w:val="000000"/>
          <w:szCs w:val="22"/>
          <w:lang w:val="es-ES" w:eastAsia="en-US"/>
        </w:rPr>
        <w:t>rincipalmente, e</w:t>
      </w:r>
      <w:r w:rsidR="00F47BF9">
        <w:rPr>
          <w:rFonts w:ascii="Titillium" w:eastAsiaTheme="minorHAnsi" w:hAnsi="Titillium" w:cs="Arial"/>
          <w:bCs/>
          <w:color w:val="000000"/>
          <w:szCs w:val="22"/>
          <w:lang w:val="es-ES" w:eastAsia="en-US"/>
        </w:rPr>
        <w:t>l agua</w:t>
      </w:r>
      <w:r>
        <w:rPr>
          <w:rFonts w:ascii="Titillium" w:eastAsiaTheme="minorHAnsi" w:hAnsi="Titillium" w:cs="Arial"/>
          <w:bCs/>
          <w:color w:val="000000"/>
          <w:szCs w:val="22"/>
          <w:lang w:val="es-ES" w:eastAsia="en-US"/>
        </w:rPr>
        <w:t xml:space="preserve"> es utilizada para </w:t>
      </w:r>
      <w:r w:rsidR="00F47BF9">
        <w:rPr>
          <w:rFonts w:ascii="Titillium" w:eastAsiaTheme="minorHAnsi" w:hAnsi="Titillium" w:cs="Arial"/>
          <w:bCs/>
          <w:color w:val="000000"/>
          <w:szCs w:val="22"/>
          <w:lang w:val="es-ES" w:eastAsia="en-US"/>
        </w:rPr>
        <w:t xml:space="preserve">el </w:t>
      </w:r>
      <w:r>
        <w:rPr>
          <w:rFonts w:ascii="Titillium" w:eastAsiaTheme="minorHAnsi" w:hAnsi="Titillium" w:cs="Arial"/>
          <w:bCs/>
          <w:color w:val="000000"/>
          <w:szCs w:val="22"/>
          <w:lang w:val="es-ES" w:eastAsia="en-US"/>
        </w:rPr>
        <w:t>consumo de los trabajadores, casino, servicios higiénicos y aseo.</w:t>
      </w:r>
    </w:p>
    <w:p w14:paraId="2C57A200" w14:textId="77777777" w:rsidR="00301CAE" w:rsidRDefault="00301CAE" w:rsidP="00301CAE">
      <w:pPr>
        <w:pStyle w:val="NormalWeb"/>
        <w:shd w:val="clear" w:color="auto" w:fill="FFFFFF"/>
        <w:spacing w:before="0" w:beforeAutospacing="0" w:after="0" w:afterAutospacing="0" w:line="276" w:lineRule="auto"/>
        <w:ind w:firstLine="708"/>
        <w:jc w:val="both"/>
        <w:rPr>
          <w:rFonts w:ascii="Titillium" w:eastAsiaTheme="minorHAnsi" w:hAnsi="Titillium" w:cs="Arial"/>
          <w:bCs/>
          <w:color w:val="000000"/>
          <w:szCs w:val="22"/>
          <w:lang w:val="es-ES" w:eastAsia="en-US"/>
        </w:rPr>
      </w:pPr>
    </w:p>
    <w:p w14:paraId="1417046C" w14:textId="2E181EF1" w:rsidR="00F47BF9" w:rsidRDefault="00301CAE" w:rsidP="00207C9A">
      <w:pPr>
        <w:pStyle w:val="Encabezado"/>
        <w:tabs>
          <w:tab w:val="clear" w:pos="4252"/>
          <w:tab w:val="center" w:pos="0"/>
        </w:tabs>
        <w:spacing w:line="276" w:lineRule="auto"/>
        <w:jc w:val="both"/>
        <w:rPr>
          <w:rFonts w:cs="Arial"/>
          <w:bCs/>
          <w:color w:val="000000"/>
          <w:sz w:val="24"/>
        </w:rPr>
      </w:pPr>
      <w:r>
        <w:rPr>
          <w:rFonts w:cs="Arial"/>
          <w:bCs/>
          <w:color w:val="000000"/>
          <w:sz w:val="24"/>
        </w:rPr>
        <w:t>El</w:t>
      </w:r>
      <w:r w:rsidR="00424365">
        <w:rPr>
          <w:rFonts w:cs="Arial"/>
          <w:bCs/>
          <w:color w:val="000000"/>
          <w:sz w:val="24"/>
        </w:rPr>
        <w:t xml:space="preserve"> consumo </w:t>
      </w:r>
      <w:r w:rsidR="00DE206F">
        <w:rPr>
          <w:rFonts w:cs="Arial"/>
          <w:bCs/>
          <w:color w:val="000000"/>
          <w:sz w:val="24"/>
        </w:rPr>
        <w:t xml:space="preserve">de agua </w:t>
      </w:r>
      <w:r w:rsidR="00F47BF9">
        <w:rPr>
          <w:rFonts w:cs="Arial"/>
          <w:bCs/>
          <w:color w:val="000000"/>
          <w:sz w:val="24"/>
        </w:rPr>
        <w:t>total de la muestra</w:t>
      </w:r>
      <w:r w:rsidR="00A2345B">
        <w:rPr>
          <w:rFonts w:cs="Arial"/>
          <w:bCs/>
          <w:color w:val="000000"/>
          <w:sz w:val="24"/>
        </w:rPr>
        <w:t xml:space="preserve"> el año 2015</w:t>
      </w:r>
      <w:r w:rsidR="00F47BF9">
        <w:rPr>
          <w:rFonts w:cs="Arial"/>
          <w:bCs/>
          <w:color w:val="000000"/>
          <w:sz w:val="24"/>
        </w:rPr>
        <w:t xml:space="preserve"> es 203 (M</w:t>
      </w:r>
      <w:r w:rsidR="00F47BF9" w:rsidRPr="00F47BF9">
        <w:rPr>
          <w:rFonts w:cs="Arial"/>
          <w:bCs/>
          <w:color w:val="000000"/>
          <w:sz w:val="24"/>
          <w:vertAlign w:val="superscript"/>
        </w:rPr>
        <w:t>3</w:t>
      </w:r>
      <w:r w:rsidR="00F47BF9">
        <w:rPr>
          <w:rFonts w:cs="Arial"/>
          <w:bCs/>
          <w:color w:val="000000"/>
          <w:sz w:val="24"/>
        </w:rPr>
        <w:t>). El promedio de agua utilizado por los centros MYPES es 77 (M</w:t>
      </w:r>
      <w:r w:rsidR="00F47BF9" w:rsidRPr="00F47BF9">
        <w:rPr>
          <w:rFonts w:cs="Arial"/>
          <w:bCs/>
          <w:color w:val="000000"/>
          <w:sz w:val="24"/>
          <w:vertAlign w:val="superscript"/>
        </w:rPr>
        <w:t>3</w:t>
      </w:r>
      <w:r w:rsidR="00F47BF9">
        <w:rPr>
          <w:rFonts w:cs="Arial"/>
          <w:bCs/>
          <w:color w:val="000000"/>
          <w:sz w:val="24"/>
        </w:rPr>
        <w:t>), mientras que en centros de cultivo de categoría Grande es</w:t>
      </w:r>
      <w:r w:rsidR="00A2345B">
        <w:rPr>
          <w:rFonts w:cs="Arial"/>
          <w:bCs/>
          <w:color w:val="000000"/>
          <w:sz w:val="24"/>
        </w:rPr>
        <w:t xml:space="preserve"> </w:t>
      </w:r>
      <w:r w:rsidR="00F47BF9">
        <w:rPr>
          <w:rFonts w:cs="Arial"/>
          <w:bCs/>
          <w:color w:val="000000"/>
          <w:sz w:val="24"/>
        </w:rPr>
        <w:t>126 (M</w:t>
      </w:r>
      <w:r w:rsidR="00F47BF9" w:rsidRPr="00F47BF9">
        <w:rPr>
          <w:rFonts w:cs="Arial"/>
          <w:bCs/>
          <w:color w:val="000000"/>
          <w:sz w:val="24"/>
          <w:vertAlign w:val="superscript"/>
        </w:rPr>
        <w:t>3</w:t>
      </w:r>
      <w:r w:rsidR="00F47BF9">
        <w:rPr>
          <w:rFonts w:cs="Arial"/>
          <w:bCs/>
          <w:color w:val="000000"/>
          <w:sz w:val="24"/>
        </w:rPr>
        <w:t>)</w:t>
      </w:r>
      <w:r w:rsidR="00A2345B">
        <w:rPr>
          <w:rFonts w:cs="Arial"/>
          <w:bCs/>
          <w:color w:val="000000"/>
          <w:sz w:val="24"/>
        </w:rPr>
        <w:t xml:space="preserve"> (Figura9). La diferencia pude ser a causa del número de trabajadores contratados en cada categoría, ya </w:t>
      </w:r>
      <w:r w:rsidR="00A2345B">
        <w:rPr>
          <w:rFonts w:cs="Arial"/>
          <w:bCs/>
          <w:color w:val="000000"/>
          <w:sz w:val="24"/>
        </w:rPr>
        <w:lastRenderedPageBreak/>
        <w:t>que a mayor número de trabajadores, mayor es el consumo de agua en las instalaciones en tierra.</w:t>
      </w:r>
    </w:p>
    <w:p w14:paraId="749E5F45" w14:textId="317AC541" w:rsidR="00DE206F" w:rsidRDefault="008F7D36" w:rsidP="00207C9A">
      <w:pPr>
        <w:pStyle w:val="Encabezado"/>
        <w:tabs>
          <w:tab w:val="clear" w:pos="4252"/>
          <w:tab w:val="center" w:pos="0"/>
        </w:tabs>
        <w:spacing w:line="276" w:lineRule="auto"/>
        <w:jc w:val="both"/>
        <w:rPr>
          <w:rFonts w:cs="Arial"/>
          <w:bCs/>
          <w:color w:val="000000"/>
          <w:sz w:val="24"/>
        </w:rPr>
      </w:pPr>
      <w:r>
        <w:rPr>
          <w:rFonts w:cs="Arial"/>
          <w:bCs/>
          <w:color w:val="000000"/>
          <w:sz w:val="24"/>
        </w:rPr>
        <w:t>El volumen de agua</w:t>
      </w:r>
      <w:r w:rsidR="00F47BF9">
        <w:rPr>
          <w:rFonts w:cs="Arial"/>
          <w:bCs/>
          <w:color w:val="000000"/>
          <w:sz w:val="24"/>
        </w:rPr>
        <w:t xml:space="preserve"> utilizado por tonelada de Materia Prima cosechada en  centros MYPES es </w:t>
      </w:r>
      <w:r w:rsidR="00A2345B">
        <w:rPr>
          <w:rFonts w:cs="Arial"/>
          <w:bCs/>
          <w:color w:val="000000"/>
          <w:sz w:val="24"/>
        </w:rPr>
        <w:t xml:space="preserve"> 0.09 (M</w:t>
      </w:r>
      <w:r w:rsidR="00A2345B" w:rsidRPr="00DE206F">
        <w:rPr>
          <w:rFonts w:cs="Arial"/>
          <w:bCs/>
          <w:color w:val="000000"/>
          <w:sz w:val="24"/>
          <w:vertAlign w:val="superscript"/>
        </w:rPr>
        <w:t>3</w:t>
      </w:r>
      <w:r w:rsidR="00A2345B">
        <w:rPr>
          <w:rFonts w:cs="Arial"/>
          <w:bCs/>
          <w:color w:val="000000"/>
          <w:sz w:val="24"/>
        </w:rPr>
        <w:t>/Ton) y centros grandes es 0.04 (Ton)</w:t>
      </w:r>
      <w:r w:rsidR="00DE206F">
        <w:rPr>
          <w:rFonts w:cs="Arial"/>
          <w:bCs/>
          <w:color w:val="000000"/>
          <w:sz w:val="24"/>
        </w:rPr>
        <w:t>.</w:t>
      </w:r>
      <w:r w:rsidR="00F62341">
        <w:rPr>
          <w:rFonts w:cs="Arial"/>
          <w:bCs/>
          <w:color w:val="000000"/>
          <w:sz w:val="24"/>
        </w:rPr>
        <w:t xml:space="preserve"> (Figura </w:t>
      </w:r>
      <w:r w:rsidR="00A2345B">
        <w:rPr>
          <w:rFonts w:cs="Arial"/>
          <w:bCs/>
          <w:color w:val="000000"/>
          <w:sz w:val="24"/>
        </w:rPr>
        <w:t>9</w:t>
      </w:r>
      <w:r w:rsidR="00F62341">
        <w:rPr>
          <w:rFonts w:cs="Arial"/>
          <w:bCs/>
          <w:color w:val="000000"/>
          <w:sz w:val="24"/>
        </w:rPr>
        <w:t>).</w:t>
      </w:r>
    </w:p>
    <w:p w14:paraId="475356AD" w14:textId="77777777" w:rsidR="00DE206F" w:rsidRDefault="00DE206F" w:rsidP="004377CC">
      <w:pPr>
        <w:pStyle w:val="Encabezado"/>
        <w:spacing w:line="276" w:lineRule="auto"/>
        <w:jc w:val="both"/>
        <w:rPr>
          <w:rFonts w:cs="Arial"/>
          <w:bCs/>
          <w:color w:val="000000"/>
          <w:sz w:val="24"/>
        </w:rPr>
      </w:pPr>
    </w:p>
    <w:p w14:paraId="00972C1C" w14:textId="2F225437" w:rsidR="002172D3" w:rsidRDefault="0041480E" w:rsidP="00574800">
      <w:pPr>
        <w:pStyle w:val="Encabezado"/>
        <w:spacing w:line="276" w:lineRule="auto"/>
        <w:ind w:firstLine="709"/>
        <w:jc w:val="both"/>
        <w:rPr>
          <w:rFonts w:cs="Arial"/>
          <w:bCs/>
          <w:color w:val="000000"/>
          <w:sz w:val="24"/>
        </w:rPr>
      </w:pPr>
      <w:r>
        <w:rPr>
          <w:noProof/>
          <w:lang w:val="es-CL" w:eastAsia="es-CL"/>
        </w:rPr>
        <w:drawing>
          <wp:inline distT="0" distB="0" distL="0" distR="0" wp14:anchorId="752D2148" wp14:editId="613BC050">
            <wp:extent cx="1621767" cy="2372264"/>
            <wp:effectExtent l="0" t="0" r="17145" b="952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r>
        <w:rPr>
          <w:noProof/>
          <w:lang w:val="es-CL" w:eastAsia="es-CL"/>
        </w:rPr>
        <w:drawing>
          <wp:inline distT="0" distB="0" distL="0" distR="0" wp14:anchorId="13A119D0" wp14:editId="4CFABF5B">
            <wp:extent cx="1647646" cy="2355012"/>
            <wp:effectExtent l="0" t="0" r="10160" b="26670"/>
            <wp:docPr id="27" name="Grá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r>
        <w:rPr>
          <w:noProof/>
          <w:lang w:val="es-CL" w:eastAsia="es-CL"/>
        </w:rPr>
        <w:drawing>
          <wp:inline distT="0" distB="0" distL="0" distR="0" wp14:anchorId="4E540AE3" wp14:editId="12FAC5E2">
            <wp:extent cx="1690777" cy="2363638"/>
            <wp:effectExtent l="0" t="0" r="24130" b="17780"/>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6330FA7F" w14:textId="0CD421FF" w:rsidR="00DE206F" w:rsidRDefault="002172D3" w:rsidP="004377CC">
      <w:pPr>
        <w:pStyle w:val="Encabezado"/>
        <w:spacing w:line="276" w:lineRule="auto"/>
        <w:jc w:val="both"/>
        <w:rPr>
          <w:rFonts w:cs="Arial"/>
          <w:bCs/>
          <w:color w:val="000000"/>
          <w:sz w:val="24"/>
        </w:rPr>
      </w:pPr>
      <w:r w:rsidRPr="007A53AB">
        <w:rPr>
          <w:rFonts w:cs="Arial"/>
          <w:b/>
          <w:bCs/>
          <w:color w:val="000000"/>
          <w:sz w:val="24"/>
        </w:rPr>
        <w:t xml:space="preserve">Figura </w:t>
      </w:r>
      <w:r w:rsidR="00A2345B">
        <w:rPr>
          <w:rFonts w:cs="Arial"/>
          <w:b/>
          <w:bCs/>
          <w:color w:val="000000"/>
          <w:sz w:val="24"/>
        </w:rPr>
        <w:t>9</w:t>
      </w:r>
      <w:r w:rsidRPr="007A53AB">
        <w:rPr>
          <w:rFonts w:cs="Arial"/>
          <w:bCs/>
          <w:color w:val="000000"/>
          <w:sz w:val="24"/>
        </w:rPr>
        <w:t xml:space="preserve">. </w:t>
      </w:r>
      <w:r>
        <w:rPr>
          <w:rFonts w:cs="Arial"/>
          <w:bCs/>
          <w:color w:val="000000"/>
          <w:sz w:val="24"/>
        </w:rPr>
        <w:t xml:space="preserve">Consumo de agua utilizada por </w:t>
      </w:r>
      <w:r w:rsidR="00A2345B">
        <w:rPr>
          <w:rFonts w:cs="Arial"/>
          <w:bCs/>
          <w:color w:val="000000"/>
          <w:sz w:val="24"/>
        </w:rPr>
        <w:t xml:space="preserve">los centros de cultivo MYPES y Grande </w:t>
      </w:r>
      <w:r>
        <w:rPr>
          <w:rFonts w:cs="Arial"/>
          <w:bCs/>
          <w:color w:val="000000"/>
          <w:sz w:val="24"/>
        </w:rPr>
        <w:t>(M</w:t>
      </w:r>
      <w:r w:rsidRPr="00FB1A5C">
        <w:rPr>
          <w:rFonts w:cs="Arial"/>
          <w:bCs/>
          <w:color w:val="000000"/>
          <w:sz w:val="24"/>
          <w:vertAlign w:val="superscript"/>
        </w:rPr>
        <w:t>3</w:t>
      </w:r>
      <w:r>
        <w:rPr>
          <w:rFonts w:cs="Arial"/>
          <w:bCs/>
          <w:color w:val="000000"/>
          <w:sz w:val="24"/>
          <w:vertAlign w:val="superscript"/>
        </w:rPr>
        <w:t>/</w:t>
      </w:r>
      <w:r w:rsidRPr="002172D3">
        <w:rPr>
          <w:rFonts w:cs="Arial"/>
          <w:bCs/>
          <w:color w:val="000000"/>
          <w:sz w:val="24"/>
        </w:rPr>
        <w:t>año</w:t>
      </w:r>
      <w:r>
        <w:rPr>
          <w:rFonts w:cs="Arial"/>
          <w:bCs/>
          <w:color w:val="000000"/>
          <w:sz w:val="24"/>
        </w:rPr>
        <w:t xml:space="preserve">) y por tonelada de </w:t>
      </w:r>
      <w:proofErr w:type="spellStart"/>
      <w:r w:rsidR="00A2345B">
        <w:rPr>
          <w:rFonts w:cs="Arial"/>
          <w:bCs/>
          <w:color w:val="000000"/>
          <w:sz w:val="24"/>
        </w:rPr>
        <w:t>chorito</w:t>
      </w:r>
      <w:proofErr w:type="spellEnd"/>
      <w:r w:rsidR="00A2345B">
        <w:rPr>
          <w:rFonts w:cs="Arial"/>
          <w:bCs/>
          <w:color w:val="000000"/>
          <w:sz w:val="24"/>
        </w:rPr>
        <w:t xml:space="preserve"> freso cosechado</w:t>
      </w:r>
      <w:r>
        <w:rPr>
          <w:rFonts w:cs="Arial"/>
          <w:bCs/>
          <w:color w:val="000000"/>
          <w:sz w:val="24"/>
        </w:rPr>
        <w:t xml:space="preserve"> (M</w:t>
      </w:r>
      <w:r w:rsidRPr="00FB1A5C">
        <w:rPr>
          <w:rFonts w:cs="Arial"/>
          <w:bCs/>
          <w:color w:val="000000"/>
          <w:sz w:val="24"/>
          <w:vertAlign w:val="superscript"/>
        </w:rPr>
        <w:t>3</w:t>
      </w:r>
      <w:r>
        <w:rPr>
          <w:rFonts w:cs="Arial"/>
          <w:bCs/>
          <w:color w:val="000000"/>
          <w:sz w:val="24"/>
        </w:rPr>
        <w:t>/Ton).</w:t>
      </w:r>
    </w:p>
    <w:p w14:paraId="6906B732" w14:textId="77777777" w:rsidR="00DE206F" w:rsidRDefault="00DE206F" w:rsidP="004377CC">
      <w:pPr>
        <w:pStyle w:val="Encabezado"/>
        <w:spacing w:line="276" w:lineRule="auto"/>
        <w:jc w:val="both"/>
        <w:rPr>
          <w:rFonts w:cs="Arial"/>
          <w:bCs/>
          <w:color w:val="000000"/>
          <w:sz w:val="24"/>
        </w:rPr>
      </w:pPr>
    </w:p>
    <w:p w14:paraId="025BCE40" w14:textId="7037FE43" w:rsidR="004377CC" w:rsidRDefault="007A2782" w:rsidP="00207C9A">
      <w:pPr>
        <w:pStyle w:val="Encabezado"/>
        <w:tabs>
          <w:tab w:val="clear" w:pos="4252"/>
          <w:tab w:val="center" w:pos="0"/>
        </w:tabs>
        <w:spacing w:line="276" w:lineRule="auto"/>
        <w:jc w:val="both"/>
        <w:rPr>
          <w:rFonts w:cs="Arial"/>
          <w:bCs/>
          <w:color w:val="000000"/>
          <w:sz w:val="24"/>
        </w:rPr>
      </w:pPr>
      <w:r>
        <w:rPr>
          <w:rFonts w:cs="Arial"/>
          <w:bCs/>
          <w:color w:val="000000"/>
          <w:sz w:val="24"/>
        </w:rPr>
        <w:t xml:space="preserve">Finalmente, mencionar </w:t>
      </w:r>
      <w:r w:rsidR="00723B7E">
        <w:rPr>
          <w:rFonts w:cs="Arial"/>
          <w:bCs/>
          <w:color w:val="000000"/>
          <w:sz w:val="24"/>
        </w:rPr>
        <w:t>que</w:t>
      </w:r>
      <w:r w:rsidR="00061292">
        <w:rPr>
          <w:rFonts w:cs="Arial"/>
          <w:bCs/>
          <w:color w:val="000000"/>
          <w:sz w:val="24"/>
        </w:rPr>
        <w:t xml:space="preserve"> Los centros de cultivo están ubicados en zonas rurales del borde costero de la Décima Región, por lo que no tienen acceso a agua potable y alca</w:t>
      </w:r>
      <w:r w:rsidR="00733D4B">
        <w:rPr>
          <w:rFonts w:cs="Arial"/>
          <w:bCs/>
          <w:color w:val="000000"/>
          <w:sz w:val="24"/>
        </w:rPr>
        <w:t>n</w:t>
      </w:r>
      <w:r w:rsidR="00061292">
        <w:rPr>
          <w:rFonts w:cs="Arial"/>
          <w:bCs/>
          <w:color w:val="000000"/>
          <w:sz w:val="24"/>
        </w:rPr>
        <w:t>tarillado</w:t>
      </w:r>
      <w:r w:rsidR="00733D4B">
        <w:rPr>
          <w:rFonts w:cs="Arial"/>
          <w:bCs/>
          <w:color w:val="000000"/>
          <w:sz w:val="24"/>
        </w:rPr>
        <w:t>. E</w:t>
      </w:r>
      <w:r w:rsidR="00723B7E">
        <w:rPr>
          <w:rFonts w:cs="Arial"/>
          <w:bCs/>
          <w:color w:val="000000"/>
          <w:sz w:val="24"/>
        </w:rPr>
        <w:t xml:space="preserve">l agua de vertiente, agua de pozo profundo y agua potable rural, son las </w:t>
      </w:r>
      <w:r w:rsidR="00061292">
        <w:rPr>
          <w:rFonts w:cs="Arial"/>
          <w:bCs/>
          <w:color w:val="000000"/>
          <w:sz w:val="24"/>
        </w:rPr>
        <w:t xml:space="preserve">principales </w:t>
      </w:r>
      <w:r w:rsidR="00877C53">
        <w:rPr>
          <w:rFonts w:cs="Arial"/>
          <w:bCs/>
          <w:color w:val="000000"/>
          <w:sz w:val="24"/>
        </w:rPr>
        <w:t>fuente</w:t>
      </w:r>
      <w:r w:rsidR="00983867">
        <w:rPr>
          <w:rFonts w:cs="Arial"/>
          <w:bCs/>
          <w:color w:val="000000"/>
          <w:sz w:val="24"/>
        </w:rPr>
        <w:t>s</w:t>
      </w:r>
      <w:r w:rsidR="00877C53">
        <w:rPr>
          <w:rFonts w:cs="Arial"/>
          <w:bCs/>
          <w:color w:val="000000"/>
          <w:sz w:val="24"/>
        </w:rPr>
        <w:t xml:space="preserve"> de agua</w:t>
      </w:r>
      <w:r w:rsidR="00061292">
        <w:rPr>
          <w:rFonts w:cs="Arial"/>
          <w:bCs/>
          <w:color w:val="000000"/>
          <w:sz w:val="24"/>
        </w:rPr>
        <w:t xml:space="preserve"> utilizadas por las empresas para el abastecimiento </w:t>
      </w:r>
      <w:r w:rsidR="00733D4B">
        <w:rPr>
          <w:rFonts w:cs="Arial"/>
          <w:bCs/>
          <w:color w:val="000000"/>
          <w:sz w:val="24"/>
        </w:rPr>
        <w:t>del recurso de las instalaciones en tierra</w:t>
      </w:r>
      <w:r w:rsidR="00061292">
        <w:rPr>
          <w:rFonts w:cs="Arial"/>
          <w:bCs/>
          <w:color w:val="000000"/>
          <w:sz w:val="24"/>
        </w:rPr>
        <w:t>.</w:t>
      </w:r>
      <w:r w:rsidR="009E071C">
        <w:rPr>
          <w:rFonts w:cs="Arial"/>
          <w:bCs/>
          <w:color w:val="000000"/>
          <w:sz w:val="24"/>
        </w:rPr>
        <w:t xml:space="preserve"> </w:t>
      </w:r>
    </w:p>
    <w:p w14:paraId="0B1FB485" w14:textId="77777777" w:rsidR="008D7396" w:rsidRDefault="008D7396" w:rsidP="00A82171">
      <w:pPr>
        <w:pStyle w:val="Encabezado"/>
        <w:rPr>
          <w:lang w:val="es-CL" w:eastAsia="es-CL"/>
        </w:rPr>
      </w:pPr>
    </w:p>
    <w:p w14:paraId="54AC79C7" w14:textId="77777777" w:rsidR="004B184E" w:rsidRDefault="004B184E" w:rsidP="00E31A3F">
      <w:pPr>
        <w:pStyle w:val="Ttulo2"/>
        <w:rPr>
          <w:b w:val="0"/>
          <w:sz w:val="32"/>
          <w:szCs w:val="32"/>
          <w:lang w:eastAsia="es-CL"/>
        </w:rPr>
      </w:pPr>
    </w:p>
    <w:p w14:paraId="07884B9B" w14:textId="015D38D3" w:rsidR="009D0CA0" w:rsidRPr="007A53AB" w:rsidRDefault="00A82171" w:rsidP="00E31A3F">
      <w:pPr>
        <w:pStyle w:val="Ttulo2"/>
        <w:rPr>
          <w:lang w:val="es-CL" w:eastAsia="es-CL"/>
        </w:rPr>
      </w:pPr>
      <w:bookmarkStart w:id="8" w:name="_Toc471999114"/>
      <w:r w:rsidRPr="004B184E">
        <w:rPr>
          <w:b w:val="0"/>
          <w:sz w:val="32"/>
          <w:szCs w:val="32"/>
          <w:lang w:eastAsia="es-CL"/>
        </w:rPr>
        <w:t>Uso de Energía y Combustibles</w:t>
      </w:r>
      <w:bookmarkEnd w:id="8"/>
    </w:p>
    <w:p w14:paraId="1D72075F" w14:textId="77777777" w:rsidR="00207C9A" w:rsidRDefault="00207C9A" w:rsidP="00207C9A">
      <w:pPr>
        <w:pStyle w:val="Encabezado"/>
        <w:tabs>
          <w:tab w:val="clear" w:pos="4252"/>
          <w:tab w:val="center" w:pos="0"/>
        </w:tabs>
        <w:spacing w:line="276" w:lineRule="auto"/>
        <w:jc w:val="both"/>
        <w:rPr>
          <w:rFonts w:cs="Arial"/>
          <w:bCs/>
          <w:color w:val="000000"/>
          <w:sz w:val="24"/>
          <w:lang w:val="es-CL"/>
        </w:rPr>
      </w:pPr>
    </w:p>
    <w:p w14:paraId="13BF3F98" w14:textId="6E67C15D" w:rsidR="002C0535" w:rsidRDefault="00F86AE1" w:rsidP="00207C9A">
      <w:pPr>
        <w:pStyle w:val="Encabezado"/>
        <w:tabs>
          <w:tab w:val="clear" w:pos="4252"/>
          <w:tab w:val="center" w:pos="0"/>
        </w:tabs>
        <w:spacing w:line="276" w:lineRule="auto"/>
        <w:jc w:val="both"/>
        <w:rPr>
          <w:rFonts w:cs="Arial"/>
          <w:bCs/>
          <w:color w:val="000000"/>
          <w:sz w:val="24"/>
        </w:rPr>
      </w:pPr>
      <w:r>
        <w:rPr>
          <w:rFonts w:cs="Arial"/>
          <w:bCs/>
          <w:color w:val="000000"/>
          <w:sz w:val="24"/>
        </w:rPr>
        <w:t>Se analizó</w:t>
      </w:r>
      <w:r w:rsidR="00C971A4">
        <w:rPr>
          <w:rFonts w:cs="Arial"/>
          <w:bCs/>
          <w:color w:val="000000"/>
          <w:sz w:val="24"/>
        </w:rPr>
        <w:t xml:space="preserve"> l</w:t>
      </w:r>
      <w:r w:rsidR="000A3F67">
        <w:rPr>
          <w:rFonts w:cs="Arial"/>
          <w:bCs/>
          <w:color w:val="000000"/>
          <w:sz w:val="24"/>
        </w:rPr>
        <w:t xml:space="preserve">os consumos totales de energía y combustibles usados en la obtención de </w:t>
      </w:r>
      <w:r w:rsidR="008F7D36">
        <w:rPr>
          <w:rFonts w:cs="Arial"/>
          <w:bCs/>
          <w:color w:val="000000"/>
          <w:sz w:val="24"/>
        </w:rPr>
        <w:t>Materia P</w:t>
      </w:r>
      <w:r w:rsidR="007E523F">
        <w:rPr>
          <w:rFonts w:cs="Arial"/>
          <w:bCs/>
          <w:color w:val="000000"/>
          <w:sz w:val="24"/>
        </w:rPr>
        <w:t>rima cosechada</w:t>
      </w:r>
      <w:r w:rsidR="006D0A66">
        <w:rPr>
          <w:rFonts w:cs="Arial"/>
          <w:bCs/>
          <w:color w:val="000000"/>
          <w:sz w:val="24"/>
        </w:rPr>
        <w:t>,</w:t>
      </w:r>
      <w:r w:rsidR="00C971A4">
        <w:rPr>
          <w:rFonts w:cs="Arial"/>
          <w:bCs/>
          <w:color w:val="000000"/>
          <w:sz w:val="24"/>
        </w:rPr>
        <w:t xml:space="preserve"> los cuales</w:t>
      </w:r>
      <w:r w:rsidR="006D0A66">
        <w:rPr>
          <w:rFonts w:cs="Arial"/>
          <w:bCs/>
          <w:color w:val="000000"/>
          <w:sz w:val="24"/>
        </w:rPr>
        <w:t xml:space="preserve"> corresponden a la sumatoria total d</w:t>
      </w:r>
      <w:r w:rsidR="00604ABD">
        <w:rPr>
          <w:rFonts w:cs="Arial"/>
          <w:bCs/>
          <w:color w:val="000000"/>
          <w:sz w:val="24"/>
        </w:rPr>
        <w:t xml:space="preserve">el proceso </w:t>
      </w:r>
      <w:r w:rsidR="000A3F67">
        <w:rPr>
          <w:rFonts w:cs="Arial"/>
          <w:bCs/>
          <w:color w:val="000000"/>
          <w:sz w:val="24"/>
        </w:rPr>
        <w:t>produc</w:t>
      </w:r>
      <w:r w:rsidR="00604ABD">
        <w:rPr>
          <w:rFonts w:cs="Arial"/>
          <w:bCs/>
          <w:color w:val="000000"/>
          <w:sz w:val="24"/>
        </w:rPr>
        <w:t xml:space="preserve">tivo </w:t>
      </w:r>
      <w:r w:rsidR="00294B5C">
        <w:rPr>
          <w:rFonts w:cs="Arial"/>
          <w:bCs/>
          <w:color w:val="000000"/>
          <w:sz w:val="24"/>
        </w:rPr>
        <w:t>e</w:t>
      </w:r>
      <w:r w:rsidR="00CB334E">
        <w:rPr>
          <w:rFonts w:cs="Arial"/>
          <w:bCs/>
          <w:color w:val="000000"/>
          <w:sz w:val="24"/>
        </w:rPr>
        <w:t>n</w:t>
      </w:r>
      <w:r w:rsidR="00294B5C">
        <w:rPr>
          <w:rFonts w:cs="Arial"/>
          <w:bCs/>
          <w:color w:val="000000"/>
          <w:sz w:val="24"/>
        </w:rPr>
        <w:t xml:space="preserve"> mar </w:t>
      </w:r>
      <w:r w:rsidR="00CB334E">
        <w:rPr>
          <w:rFonts w:cs="Arial"/>
          <w:bCs/>
          <w:color w:val="000000"/>
          <w:sz w:val="24"/>
        </w:rPr>
        <w:t>e instalaciones en tierra</w:t>
      </w:r>
      <w:r w:rsidR="00604ABD">
        <w:rPr>
          <w:rFonts w:cs="Arial"/>
          <w:bCs/>
          <w:color w:val="000000"/>
          <w:sz w:val="24"/>
        </w:rPr>
        <w:t xml:space="preserve"> de ambas categorías de centros de cultivo.</w:t>
      </w:r>
    </w:p>
    <w:p w14:paraId="14EA4962" w14:textId="77777777" w:rsidR="00F91273" w:rsidRDefault="00F91273" w:rsidP="00C1240A">
      <w:pPr>
        <w:pStyle w:val="Encabezado"/>
        <w:tabs>
          <w:tab w:val="clear" w:pos="4252"/>
          <w:tab w:val="center" w:pos="0"/>
        </w:tabs>
        <w:spacing w:line="276" w:lineRule="auto"/>
        <w:ind w:firstLine="709"/>
        <w:jc w:val="both"/>
        <w:rPr>
          <w:rFonts w:cs="Arial"/>
          <w:bCs/>
          <w:color w:val="000000"/>
          <w:sz w:val="24"/>
        </w:rPr>
      </w:pPr>
    </w:p>
    <w:p w14:paraId="25186335" w14:textId="243EFBA4" w:rsidR="00951E84" w:rsidRDefault="00C971A4" w:rsidP="00207C9A">
      <w:pPr>
        <w:pStyle w:val="Encabezado"/>
        <w:tabs>
          <w:tab w:val="clear" w:pos="4252"/>
          <w:tab w:val="center" w:pos="0"/>
        </w:tabs>
        <w:spacing w:line="276" w:lineRule="auto"/>
        <w:jc w:val="both"/>
        <w:rPr>
          <w:rFonts w:cs="Arial"/>
          <w:bCs/>
          <w:color w:val="000000"/>
          <w:sz w:val="24"/>
        </w:rPr>
      </w:pPr>
      <w:r w:rsidRPr="00C971A4">
        <w:rPr>
          <w:rFonts w:cs="Arial"/>
          <w:bCs/>
          <w:color w:val="000000"/>
          <w:sz w:val="24"/>
        </w:rPr>
        <w:t xml:space="preserve">Señalar, que </w:t>
      </w:r>
      <w:r w:rsidR="000A3F67" w:rsidRPr="00C971A4">
        <w:rPr>
          <w:rFonts w:cs="Arial"/>
          <w:bCs/>
          <w:color w:val="000000"/>
          <w:sz w:val="24"/>
        </w:rPr>
        <w:t xml:space="preserve">las empresas </w:t>
      </w:r>
      <w:r w:rsidR="00604ABD">
        <w:rPr>
          <w:rFonts w:cs="Arial"/>
          <w:bCs/>
          <w:color w:val="000000"/>
          <w:sz w:val="24"/>
        </w:rPr>
        <w:t>utilizan energía eléctrica sólo en las instalaciones de tierra, en cambio los combustibles</w:t>
      </w:r>
      <w:r w:rsidR="003E2B3F">
        <w:rPr>
          <w:rFonts w:cs="Arial"/>
          <w:bCs/>
          <w:color w:val="000000"/>
          <w:sz w:val="24"/>
        </w:rPr>
        <w:t xml:space="preserve"> como petróleo diesel, bencina y gas,</w:t>
      </w:r>
      <w:r w:rsidR="00604ABD">
        <w:rPr>
          <w:rFonts w:cs="Arial"/>
          <w:bCs/>
          <w:color w:val="000000"/>
          <w:sz w:val="24"/>
        </w:rPr>
        <w:t xml:space="preserve"> son utilizados en las faenas de mar,  </w:t>
      </w:r>
      <w:r w:rsidR="003E2B3F">
        <w:rPr>
          <w:rFonts w:cs="Arial"/>
          <w:bCs/>
          <w:color w:val="000000"/>
          <w:sz w:val="24"/>
        </w:rPr>
        <w:t>principalmente en</w:t>
      </w:r>
      <w:r w:rsidR="00604ABD">
        <w:rPr>
          <w:rFonts w:cs="Arial"/>
          <w:bCs/>
          <w:color w:val="000000"/>
          <w:sz w:val="24"/>
        </w:rPr>
        <w:t xml:space="preserve"> motores fuera de borda, sistemas hidráulicos de cosecha y siembra, motores estacionarios, motobombas y vehículos asignados al centro</w:t>
      </w:r>
      <w:r w:rsidR="008F7D36">
        <w:rPr>
          <w:rFonts w:cs="Arial"/>
          <w:bCs/>
          <w:color w:val="000000"/>
          <w:sz w:val="24"/>
        </w:rPr>
        <w:t xml:space="preserve"> de cultivo</w:t>
      </w:r>
      <w:r w:rsidR="003E2B3F">
        <w:rPr>
          <w:rFonts w:cs="Arial"/>
          <w:bCs/>
          <w:color w:val="000000"/>
          <w:sz w:val="24"/>
        </w:rPr>
        <w:t>, entre otros</w:t>
      </w:r>
      <w:r w:rsidR="00604ABD">
        <w:rPr>
          <w:rFonts w:cs="Arial"/>
          <w:bCs/>
          <w:color w:val="000000"/>
          <w:sz w:val="24"/>
        </w:rPr>
        <w:t>.</w:t>
      </w:r>
      <w:r w:rsidR="003E2B3F">
        <w:rPr>
          <w:rFonts w:cs="Arial"/>
          <w:bCs/>
          <w:color w:val="000000"/>
          <w:sz w:val="24"/>
        </w:rPr>
        <w:t xml:space="preserve"> Las empresas diagnosticadas, indican que</w:t>
      </w:r>
      <w:r w:rsidR="00EE36F8">
        <w:rPr>
          <w:rFonts w:cs="Arial"/>
          <w:bCs/>
          <w:color w:val="000000"/>
          <w:sz w:val="24"/>
        </w:rPr>
        <w:t xml:space="preserve"> el consumo de</w:t>
      </w:r>
      <w:r w:rsidR="003E2B3F">
        <w:rPr>
          <w:rFonts w:cs="Arial"/>
          <w:bCs/>
          <w:color w:val="000000"/>
          <w:sz w:val="24"/>
        </w:rPr>
        <w:t xml:space="preserve"> </w:t>
      </w:r>
      <w:r w:rsidR="00EE36F8">
        <w:rPr>
          <w:rFonts w:cs="Arial"/>
          <w:bCs/>
          <w:color w:val="000000"/>
          <w:sz w:val="24"/>
        </w:rPr>
        <w:t>los</w:t>
      </w:r>
      <w:r w:rsidR="003E2B3F">
        <w:rPr>
          <w:rFonts w:cs="Arial"/>
          <w:bCs/>
          <w:color w:val="000000"/>
          <w:sz w:val="24"/>
        </w:rPr>
        <w:t xml:space="preserve"> combustible</w:t>
      </w:r>
      <w:r w:rsidR="00EE36F8">
        <w:rPr>
          <w:rFonts w:cs="Arial"/>
          <w:bCs/>
          <w:color w:val="000000"/>
          <w:sz w:val="24"/>
        </w:rPr>
        <w:t>s</w:t>
      </w:r>
      <w:r w:rsidR="003E2B3F">
        <w:rPr>
          <w:rFonts w:cs="Arial"/>
          <w:bCs/>
          <w:color w:val="000000"/>
          <w:sz w:val="24"/>
        </w:rPr>
        <w:t xml:space="preserve"> no está diferenciado en las etapas del proceso, es decir mantienen registros del volumen consumido, pero no </w:t>
      </w:r>
      <w:r w:rsidR="00E36995">
        <w:rPr>
          <w:rFonts w:cs="Arial"/>
          <w:bCs/>
          <w:color w:val="000000"/>
          <w:sz w:val="24"/>
        </w:rPr>
        <w:t xml:space="preserve">de los volúmenes en cada una de las </w:t>
      </w:r>
      <w:r w:rsidR="003E2B3F">
        <w:rPr>
          <w:rFonts w:cs="Arial"/>
          <w:bCs/>
          <w:color w:val="000000"/>
          <w:sz w:val="24"/>
        </w:rPr>
        <w:t>etapa</w:t>
      </w:r>
      <w:r w:rsidR="00E36995">
        <w:rPr>
          <w:rFonts w:cs="Arial"/>
          <w:bCs/>
          <w:color w:val="000000"/>
          <w:sz w:val="24"/>
        </w:rPr>
        <w:t>s</w:t>
      </w:r>
      <w:r w:rsidR="003E2B3F">
        <w:rPr>
          <w:rFonts w:cs="Arial"/>
          <w:bCs/>
          <w:color w:val="000000"/>
          <w:sz w:val="24"/>
        </w:rPr>
        <w:t xml:space="preserve"> de proceso</w:t>
      </w:r>
      <w:r w:rsidR="00E36995">
        <w:rPr>
          <w:rFonts w:cs="Arial"/>
          <w:bCs/>
          <w:color w:val="000000"/>
          <w:sz w:val="24"/>
        </w:rPr>
        <w:t xml:space="preserve"> </w:t>
      </w:r>
      <w:r w:rsidR="003E2B3F">
        <w:rPr>
          <w:rFonts w:cs="Arial"/>
          <w:bCs/>
          <w:color w:val="000000"/>
          <w:sz w:val="24"/>
        </w:rPr>
        <w:t>(siembra, raleo</w:t>
      </w:r>
      <w:r w:rsidR="00E36995">
        <w:rPr>
          <w:rFonts w:cs="Arial"/>
          <w:bCs/>
          <w:color w:val="000000"/>
          <w:sz w:val="24"/>
        </w:rPr>
        <w:t>,</w:t>
      </w:r>
      <w:r w:rsidR="003E2B3F">
        <w:rPr>
          <w:rFonts w:cs="Arial"/>
          <w:bCs/>
          <w:color w:val="000000"/>
          <w:sz w:val="24"/>
        </w:rPr>
        <w:t xml:space="preserve"> desdoble y cosecha).</w:t>
      </w:r>
    </w:p>
    <w:p w14:paraId="6A1A008D" w14:textId="77777777" w:rsidR="0035795B" w:rsidRDefault="0035795B" w:rsidP="003E2B3F">
      <w:pPr>
        <w:pStyle w:val="Encabezado"/>
        <w:tabs>
          <w:tab w:val="clear" w:pos="4252"/>
          <w:tab w:val="center" w:pos="0"/>
        </w:tabs>
        <w:spacing w:line="276" w:lineRule="auto"/>
        <w:ind w:firstLine="709"/>
        <w:jc w:val="both"/>
        <w:rPr>
          <w:rFonts w:cs="Arial"/>
          <w:bCs/>
          <w:color w:val="000000"/>
          <w:sz w:val="24"/>
        </w:rPr>
      </w:pPr>
    </w:p>
    <w:p w14:paraId="09CF2448" w14:textId="3A918148" w:rsidR="0035795B" w:rsidRDefault="0035795B" w:rsidP="0035795B">
      <w:pPr>
        <w:pStyle w:val="Encabezado"/>
        <w:tabs>
          <w:tab w:val="clear" w:pos="4252"/>
          <w:tab w:val="center" w:pos="709"/>
        </w:tabs>
        <w:spacing w:line="276" w:lineRule="auto"/>
        <w:jc w:val="both"/>
        <w:rPr>
          <w:rFonts w:cs="Arial"/>
          <w:bCs/>
          <w:color w:val="000000"/>
          <w:sz w:val="24"/>
        </w:rPr>
      </w:pPr>
      <w:r>
        <w:rPr>
          <w:rFonts w:cs="Arial"/>
          <w:bCs/>
          <w:color w:val="000000"/>
          <w:sz w:val="24"/>
        </w:rPr>
        <w:tab/>
        <w:t>Los consumos totales de combustible evidenciaron que la bencina es el combustible más utilizado por los centros de cultivo MYPE para la</w:t>
      </w:r>
      <w:r w:rsidR="008F7D36">
        <w:rPr>
          <w:rFonts w:cs="Arial"/>
          <w:bCs/>
          <w:color w:val="000000"/>
          <w:sz w:val="24"/>
        </w:rPr>
        <w:t xml:space="preserve"> producción de una tonelada de Materia P</w:t>
      </w:r>
      <w:r>
        <w:rPr>
          <w:rFonts w:cs="Arial"/>
          <w:bCs/>
          <w:color w:val="000000"/>
          <w:sz w:val="24"/>
        </w:rPr>
        <w:t xml:space="preserve">rima cosechada de 4,4 (L/Ton), en cambio en los centros categorizados como Grande, el mayor volumen consumido de combustible </w:t>
      </w:r>
      <w:r w:rsidR="001E06A1">
        <w:rPr>
          <w:rFonts w:cs="Arial"/>
          <w:bCs/>
          <w:color w:val="000000"/>
          <w:sz w:val="24"/>
        </w:rPr>
        <w:t xml:space="preserve">por tonelada de materia, </w:t>
      </w:r>
      <w:r>
        <w:rPr>
          <w:rFonts w:cs="Arial"/>
          <w:bCs/>
          <w:color w:val="000000"/>
          <w:sz w:val="24"/>
        </w:rPr>
        <w:t>c</w:t>
      </w:r>
      <w:r w:rsidR="008F7D36">
        <w:rPr>
          <w:rFonts w:cs="Arial"/>
          <w:bCs/>
          <w:color w:val="000000"/>
          <w:sz w:val="24"/>
        </w:rPr>
        <w:t>orresponde al petróleo diesel;</w:t>
      </w:r>
      <w:r w:rsidR="000256BA">
        <w:rPr>
          <w:rFonts w:cs="Arial"/>
          <w:bCs/>
          <w:color w:val="000000"/>
          <w:sz w:val="24"/>
        </w:rPr>
        <w:t xml:space="preserve"> 14,2 (L/Ton). (Tabla 3</w:t>
      </w:r>
      <w:r>
        <w:rPr>
          <w:rFonts w:cs="Arial"/>
          <w:bCs/>
          <w:color w:val="000000"/>
          <w:sz w:val="24"/>
        </w:rPr>
        <w:t xml:space="preserve">). </w:t>
      </w:r>
    </w:p>
    <w:p w14:paraId="49113EB9" w14:textId="77777777" w:rsidR="003E2B3F" w:rsidRDefault="003E2B3F" w:rsidP="003E2B3F">
      <w:pPr>
        <w:pStyle w:val="Encabezado"/>
        <w:tabs>
          <w:tab w:val="clear" w:pos="4252"/>
          <w:tab w:val="center" w:pos="0"/>
        </w:tabs>
        <w:spacing w:line="276" w:lineRule="auto"/>
        <w:ind w:firstLine="709"/>
        <w:jc w:val="both"/>
        <w:rPr>
          <w:rFonts w:cs="Arial"/>
          <w:bCs/>
          <w:color w:val="000000"/>
          <w:sz w:val="24"/>
        </w:rPr>
      </w:pPr>
    </w:p>
    <w:p w14:paraId="2D372E8E" w14:textId="7B1982B7" w:rsidR="00C1240A" w:rsidRDefault="00C1240A" w:rsidP="00207C9A">
      <w:pPr>
        <w:pStyle w:val="Encabezado"/>
        <w:tabs>
          <w:tab w:val="clear" w:pos="4252"/>
          <w:tab w:val="center" w:pos="0"/>
        </w:tabs>
        <w:spacing w:line="276" w:lineRule="auto"/>
        <w:jc w:val="both"/>
        <w:rPr>
          <w:rFonts w:cs="Arial"/>
          <w:bCs/>
          <w:color w:val="000000"/>
          <w:sz w:val="24"/>
        </w:rPr>
      </w:pPr>
      <w:r>
        <w:rPr>
          <w:rFonts w:cs="Arial"/>
          <w:bCs/>
          <w:color w:val="000000"/>
          <w:sz w:val="24"/>
        </w:rPr>
        <w:t>Los</w:t>
      </w:r>
      <w:r w:rsidRPr="00FA447E">
        <w:rPr>
          <w:rFonts w:cs="Arial"/>
          <w:bCs/>
          <w:color w:val="000000"/>
          <w:sz w:val="24"/>
        </w:rPr>
        <w:t xml:space="preserve"> consumos promedio de energía eléctrica</w:t>
      </w:r>
      <w:r>
        <w:rPr>
          <w:rFonts w:cs="Arial"/>
          <w:bCs/>
          <w:color w:val="000000"/>
          <w:sz w:val="24"/>
        </w:rPr>
        <w:t xml:space="preserve"> y </w:t>
      </w:r>
      <w:r w:rsidR="00EE36F8">
        <w:rPr>
          <w:rFonts w:cs="Arial"/>
          <w:bCs/>
          <w:color w:val="000000"/>
          <w:sz w:val="24"/>
        </w:rPr>
        <w:t xml:space="preserve">combustibles por tonelada de </w:t>
      </w:r>
      <w:proofErr w:type="spellStart"/>
      <w:r w:rsidR="00EE36F8">
        <w:rPr>
          <w:rFonts w:cs="Arial"/>
          <w:bCs/>
          <w:color w:val="000000"/>
          <w:sz w:val="24"/>
        </w:rPr>
        <w:t>chorito</w:t>
      </w:r>
      <w:proofErr w:type="spellEnd"/>
      <w:r w:rsidR="00EE36F8">
        <w:rPr>
          <w:rFonts w:cs="Arial"/>
          <w:bCs/>
          <w:color w:val="000000"/>
          <w:sz w:val="24"/>
        </w:rPr>
        <w:t xml:space="preserve"> fresco</w:t>
      </w:r>
      <w:r w:rsidRPr="00FA447E">
        <w:rPr>
          <w:rFonts w:cs="Arial"/>
          <w:bCs/>
          <w:color w:val="000000"/>
          <w:sz w:val="24"/>
        </w:rPr>
        <w:t xml:space="preserve"> </w:t>
      </w:r>
      <w:r w:rsidR="00EE36F8">
        <w:rPr>
          <w:rFonts w:cs="Arial"/>
          <w:bCs/>
          <w:color w:val="000000"/>
          <w:sz w:val="24"/>
        </w:rPr>
        <w:t>cosechad</w:t>
      </w:r>
      <w:r w:rsidR="00900D89">
        <w:rPr>
          <w:rFonts w:cs="Arial"/>
          <w:bCs/>
          <w:color w:val="000000"/>
          <w:sz w:val="24"/>
        </w:rPr>
        <w:t>o</w:t>
      </w:r>
      <w:r w:rsidR="00EE36F8">
        <w:rPr>
          <w:rFonts w:cs="Arial"/>
          <w:bCs/>
          <w:color w:val="000000"/>
          <w:sz w:val="24"/>
        </w:rPr>
        <w:t xml:space="preserve"> </w:t>
      </w:r>
      <w:r>
        <w:rPr>
          <w:rFonts w:cs="Arial"/>
          <w:bCs/>
          <w:color w:val="000000"/>
          <w:sz w:val="24"/>
        </w:rPr>
        <w:t>son indicad</w:t>
      </w:r>
      <w:r w:rsidR="008F7D36">
        <w:rPr>
          <w:rFonts w:cs="Arial"/>
          <w:bCs/>
          <w:color w:val="000000"/>
          <w:sz w:val="24"/>
        </w:rPr>
        <w:t>os  a continuación en la Tabla 3</w:t>
      </w:r>
      <w:r>
        <w:rPr>
          <w:rFonts w:cs="Arial"/>
          <w:bCs/>
          <w:color w:val="000000"/>
          <w:sz w:val="24"/>
        </w:rPr>
        <w:t>.</w:t>
      </w:r>
    </w:p>
    <w:p w14:paraId="3901BB2E" w14:textId="77777777" w:rsidR="00C1240A" w:rsidRDefault="00C1240A" w:rsidP="00C1240A">
      <w:pPr>
        <w:pStyle w:val="Encabezado"/>
        <w:spacing w:line="276" w:lineRule="auto"/>
        <w:jc w:val="both"/>
        <w:rPr>
          <w:rFonts w:cs="Arial"/>
          <w:bCs/>
          <w:color w:val="000000"/>
          <w:sz w:val="24"/>
        </w:rPr>
      </w:pPr>
    </w:p>
    <w:tbl>
      <w:tblPr>
        <w:tblW w:w="6000" w:type="dxa"/>
        <w:jc w:val="center"/>
        <w:tblInd w:w="55" w:type="dxa"/>
        <w:tblCellMar>
          <w:left w:w="70" w:type="dxa"/>
          <w:right w:w="70" w:type="dxa"/>
        </w:tblCellMar>
        <w:tblLook w:val="04A0" w:firstRow="1" w:lastRow="0" w:firstColumn="1" w:lastColumn="0" w:noHBand="0" w:noVBand="1"/>
      </w:tblPr>
      <w:tblGrid>
        <w:gridCol w:w="1200"/>
        <w:gridCol w:w="1200"/>
        <w:gridCol w:w="1200"/>
        <w:gridCol w:w="1200"/>
        <w:gridCol w:w="1200"/>
      </w:tblGrid>
      <w:tr w:rsidR="00ED5CFD" w:rsidRPr="00ED5CFD" w14:paraId="45A7D46B" w14:textId="77777777" w:rsidTr="00ED5CFD">
        <w:trPr>
          <w:trHeight w:val="780"/>
          <w:jc w:val="center"/>
        </w:trPr>
        <w:tc>
          <w:tcPr>
            <w:tcW w:w="1200" w:type="dxa"/>
            <w:tcBorders>
              <w:top w:val="single" w:sz="12" w:space="0" w:color="FBD4B4"/>
              <w:left w:val="single" w:sz="12" w:space="0" w:color="FBD4B4"/>
              <w:bottom w:val="single" w:sz="12" w:space="0" w:color="FABF8F"/>
              <w:right w:val="single" w:sz="8" w:space="0" w:color="FBD4B4"/>
            </w:tcBorders>
            <w:shd w:val="clear" w:color="auto" w:fill="auto"/>
            <w:vAlign w:val="center"/>
            <w:hideMark/>
          </w:tcPr>
          <w:p w14:paraId="58A3555E" w14:textId="77777777" w:rsidR="00ED5CFD" w:rsidRPr="00ED5CFD" w:rsidRDefault="00ED5CFD" w:rsidP="00ED5CFD">
            <w:pPr>
              <w:spacing w:after="0" w:line="240" w:lineRule="auto"/>
              <w:rPr>
                <w:rFonts w:ascii="Calibri" w:eastAsia="Times New Roman" w:hAnsi="Calibri" w:cs="Calibri"/>
                <w:color w:val="000000"/>
                <w:sz w:val="22"/>
                <w:lang w:val="es-CL" w:eastAsia="es-CL"/>
              </w:rPr>
            </w:pPr>
            <w:r w:rsidRPr="00ED5CFD">
              <w:rPr>
                <w:rFonts w:ascii="Calibri" w:eastAsia="Times New Roman" w:hAnsi="Calibri" w:cs="Calibri"/>
                <w:color w:val="000000"/>
                <w:sz w:val="22"/>
                <w:lang w:val="es-CL" w:eastAsia="es-CL"/>
              </w:rPr>
              <w:t> </w:t>
            </w:r>
          </w:p>
        </w:tc>
        <w:tc>
          <w:tcPr>
            <w:tcW w:w="1200" w:type="dxa"/>
            <w:tcBorders>
              <w:top w:val="single" w:sz="12" w:space="0" w:color="FBD4B4"/>
              <w:left w:val="nil"/>
              <w:bottom w:val="single" w:sz="12" w:space="0" w:color="FABF8F"/>
              <w:right w:val="single" w:sz="8" w:space="0" w:color="FBD4B4"/>
            </w:tcBorders>
            <w:shd w:val="clear" w:color="auto" w:fill="auto"/>
            <w:vAlign w:val="center"/>
            <w:hideMark/>
          </w:tcPr>
          <w:p w14:paraId="0D0ECBBF" w14:textId="77777777" w:rsidR="00ED5CFD" w:rsidRPr="00ED5CFD" w:rsidRDefault="00ED5CFD" w:rsidP="00ED5CFD">
            <w:pPr>
              <w:spacing w:after="0" w:line="240" w:lineRule="auto"/>
              <w:jc w:val="center"/>
              <w:rPr>
                <w:rFonts w:eastAsia="Times New Roman" w:cs="Calibri"/>
                <w:b/>
                <w:bCs/>
                <w:color w:val="0F243E"/>
                <w:sz w:val="18"/>
                <w:szCs w:val="18"/>
                <w:lang w:val="es-CL" w:eastAsia="es-CL"/>
              </w:rPr>
            </w:pPr>
            <w:r w:rsidRPr="00ED5CFD">
              <w:rPr>
                <w:rFonts w:eastAsia="Times New Roman" w:cs="Arial"/>
                <w:b/>
                <w:bCs/>
                <w:color w:val="0F243E" w:themeColor="text2" w:themeShade="80"/>
                <w:sz w:val="18"/>
                <w:szCs w:val="18"/>
                <w:lang w:eastAsia="es-CL"/>
              </w:rPr>
              <w:t>Energía Eléctrica (</w:t>
            </w:r>
            <w:proofErr w:type="spellStart"/>
            <w:r w:rsidRPr="00ED5CFD">
              <w:rPr>
                <w:rFonts w:eastAsia="Times New Roman" w:cs="Arial"/>
                <w:b/>
                <w:bCs/>
                <w:color w:val="0F243E" w:themeColor="text2" w:themeShade="80"/>
                <w:sz w:val="18"/>
                <w:szCs w:val="18"/>
                <w:lang w:eastAsia="es-CL"/>
              </w:rPr>
              <w:t>kWh</w:t>
            </w:r>
            <w:proofErr w:type="spellEnd"/>
            <w:r w:rsidRPr="00ED5CFD">
              <w:rPr>
                <w:rFonts w:eastAsia="Times New Roman" w:cs="Arial"/>
                <w:b/>
                <w:bCs/>
                <w:color w:val="0F243E" w:themeColor="text2" w:themeShade="80"/>
                <w:sz w:val="18"/>
                <w:szCs w:val="18"/>
                <w:lang w:eastAsia="es-CL"/>
              </w:rPr>
              <w:t>/Ton)</w:t>
            </w:r>
          </w:p>
        </w:tc>
        <w:tc>
          <w:tcPr>
            <w:tcW w:w="1200" w:type="dxa"/>
            <w:tcBorders>
              <w:top w:val="single" w:sz="12" w:space="0" w:color="FBD4B4"/>
              <w:left w:val="nil"/>
              <w:bottom w:val="single" w:sz="12" w:space="0" w:color="FABF8F"/>
              <w:right w:val="single" w:sz="8" w:space="0" w:color="FBD4B4"/>
            </w:tcBorders>
            <w:shd w:val="clear" w:color="auto" w:fill="auto"/>
            <w:vAlign w:val="center"/>
            <w:hideMark/>
          </w:tcPr>
          <w:p w14:paraId="0BAB14A3" w14:textId="77777777" w:rsidR="00ED5CFD" w:rsidRPr="00ED5CFD" w:rsidRDefault="00ED5CFD" w:rsidP="00ED5CFD">
            <w:pPr>
              <w:spacing w:after="0" w:line="240" w:lineRule="auto"/>
              <w:jc w:val="center"/>
              <w:rPr>
                <w:rFonts w:eastAsia="Times New Roman" w:cs="Calibri"/>
                <w:b/>
                <w:bCs/>
                <w:color w:val="0F243E"/>
                <w:sz w:val="18"/>
                <w:szCs w:val="18"/>
                <w:lang w:val="es-CL" w:eastAsia="es-CL"/>
              </w:rPr>
            </w:pPr>
            <w:r w:rsidRPr="00ED5CFD">
              <w:rPr>
                <w:rFonts w:eastAsia="Times New Roman" w:cs="Arial"/>
                <w:b/>
                <w:bCs/>
                <w:color w:val="0F243E" w:themeColor="text2" w:themeShade="80"/>
                <w:sz w:val="18"/>
                <w:szCs w:val="18"/>
                <w:lang w:eastAsia="es-CL"/>
              </w:rPr>
              <w:t>Petróleo (L/ Ton)</w:t>
            </w:r>
          </w:p>
        </w:tc>
        <w:tc>
          <w:tcPr>
            <w:tcW w:w="1200" w:type="dxa"/>
            <w:tcBorders>
              <w:top w:val="single" w:sz="12" w:space="0" w:color="FBD4B4"/>
              <w:left w:val="nil"/>
              <w:bottom w:val="single" w:sz="12" w:space="0" w:color="FABF8F"/>
              <w:right w:val="single" w:sz="8" w:space="0" w:color="FBD4B4"/>
            </w:tcBorders>
            <w:shd w:val="clear" w:color="auto" w:fill="auto"/>
            <w:vAlign w:val="center"/>
            <w:hideMark/>
          </w:tcPr>
          <w:p w14:paraId="3D43782C" w14:textId="77777777" w:rsidR="00ED5CFD" w:rsidRPr="00ED5CFD" w:rsidRDefault="00ED5CFD" w:rsidP="00ED5CFD">
            <w:pPr>
              <w:spacing w:after="0" w:line="240" w:lineRule="auto"/>
              <w:jc w:val="center"/>
              <w:rPr>
                <w:rFonts w:eastAsia="Times New Roman" w:cs="Calibri"/>
                <w:b/>
                <w:bCs/>
                <w:color w:val="0F243E"/>
                <w:sz w:val="18"/>
                <w:szCs w:val="18"/>
                <w:lang w:val="es-CL" w:eastAsia="es-CL"/>
              </w:rPr>
            </w:pPr>
            <w:r w:rsidRPr="00ED5CFD">
              <w:rPr>
                <w:rFonts w:eastAsia="Times New Roman" w:cs="Arial"/>
                <w:b/>
                <w:bCs/>
                <w:color w:val="0F243E" w:themeColor="text2" w:themeShade="80"/>
                <w:sz w:val="18"/>
                <w:szCs w:val="18"/>
                <w:lang w:eastAsia="es-CL"/>
              </w:rPr>
              <w:t>Bencina (L/ Ton)</w:t>
            </w:r>
          </w:p>
        </w:tc>
        <w:tc>
          <w:tcPr>
            <w:tcW w:w="1200" w:type="dxa"/>
            <w:tcBorders>
              <w:top w:val="single" w:sz="12" w:space="0" w:color="FBD4B4"/>
              <w:left w:val="nil"/>
              <w:bottom w:val="single" w:sz="12" w:space="0" w:color="FABF8F"/>
              <w:right w:val="single" w:sz="8" w:space="0" w:color="FBD4B4"/>
            </w:tcBorders>
            <w:shd w:val="clear" w:color="auto" w:fill="auto"/>
            <w:vAlign w:val="center"/>
            <w:hideMark/>
          </w:tcPr>
          <w:p w14:paraId="60660A59" w14:textId="77777777" w:rsidR="00ED5CFD" w:rsidRPr="00ED5CFD" w:rsidRDefault="00ED5CFD" w:rsidP="00ED5CFD">
            <w:pPr>
              <w:spacing w:after="0" w:line="240" w:lineRule="auto"/>
              <w:jc w:val="center"/>
              <w:rPr>
                <w:rFonts w:eastAsia="Times New Roman" w:cs="Calibri"/>
                <w:b/>
                <w:bCs/>
                <w:color w:val="0F243E"/>
                <w:sz w:val="18"/>
                <w:szCs w:val="18"/>
                <w:lang w:val="es-CL" w:eastAsia="es-CL"/>
              </w:rPr>
            </w:pPr>
            <w:r w:rsidRPr="00ED5CFD">
              <w:rPr>
                <w:rFonts w:eastAsia="Times New Roman" w:cs="Arial"/>
                <w:b/>
                <w:bCs/>
                <w:color w:val="0F243E" w:themeColor="text2" w:themeShade="80"/>
                <w:sz w:val="18"/>
                <w:szCs w:val="18"/>
                <w:lang w:eastAsia="es-CL"/>
              </w:rPr>
              <w:t>Gas (Kg/Ton)</w:t>
            </w:r>
          </w:p>
        </w:tc>
      </w:tr>
      <w:tr w:rsidR="00ED5CFD" w:rsidRPr="00ED5CFD" w14:paraId="0147B30D" w14:textId="77777777" w:rsidTr="00ED5CFD">
        <w:trPr>
          <w:trHeight w:val="375"/>
          <w:jc w:val="center"/>
        </w:trPr>
        <w:tc>
          <w:tcPr>
            <w:tcW w:w="1200" w:type="dxa"/>
            <w:tcBorders>
              <w:top w:val="nil"/>
              <w:left w:val="single" w:sz="12" w:space="0" w:color="FBD4B4"/>
              <w:bottom w:val="single" w:sz="8" w:space="0" w:color="FBD4B4"/>
              <w:right w:val="single" w:sz="8" w:space="0" w:color="FBD4B4"/>
            </w:tcBorders>
            <w:shd w:val="clear" w:color="auto" w:fill="auto"/>
            <w:vAlign w:val="center"/>
            <w:hideMark/>
          </w:tcPr>
          <w:p w14:paraId="528CEFC7" w14:textId="77777777" w:rsidR="00ED5CFD" w:rsidRPr="00ED5CFD" w:rsidRDefault="00ED5CFD" w:rsidP="00ED5CFD">
            <w:pPr>
              <w:spacing w:after="0" w:line="240" w:lineRule="auto"/>
              <w:jc w:val="center"/>
              <w:rPr>
                <w:rFonts w:eastAsia="Times New Roman" w:cs="Calibri"/>
                <w:b/>
                <w:bCs/>
                <w:color w:val="0F243E"/>
                <w:sz w:val="20"/>
                <w:szCs w:val="20"/>
                <w:lang w:val="es-CL" w:eastAsia="es-CL"/>
              </w:rPr>
            </w:pPr>
            <w:r w:rsidRPr="00ED5CFD">
              <w:rPr>
                <w:rFonts w:eastAsia="Times New Roman" w:cs="Calibri"/>
                <w:b/>
                <w:bCs/>
                <w:color w:val="0F243E"/>
                <w:sz w:val="20"/>
                <w:szCs w:val="20"/>
                <w:lang w:eastAsia="es-CL"/>
              </w:rPr>
              <w:t>PYME</w:t>
            </w:r>
          </w:p>
        </w:tc>
        <w:tc>
          <w:tcPr>
            <w:tcW w:w="1200" w:type="dxa"/>
            <w:tcBorders>
              <w:top w:val="nil"/>
              <w:left w:val="nil"/>
              <w:bottom w:val="single" w:sz="8" w:space="0" w:color="FBD4B4"/>
              <w:right w:val="single" w:sz="8" w:space="0" w:color="FBD4B4"/>
            </w:tcBorders>
            <w:shd w:val="clear" w:color="auto" w:fill="auto"/>
            <w:vAlign w:val="center"/>
            <w:hideMark/>
          </w:tcPr>
          <w:p w14:paraId="03D77625" w14:textId="7BC461D3" w:rsidR="00ED5CFD" w:rsidRPr="00ED5CFD" w:rsidRDefault="00ED5CFD" w:rsidP="00ED5CFD">
            <w:pPr>
              <w:spacing w:after="0" w:line="240" w:lineRule="auto"/>
              <w:jc w:val="center"/>
              <w:rPr>
                <w:rFonts w:eastAsia="Times New Roman" w:cs="Calibri"/>
                <w:color w:val="000000"/>
                <w:sz w:val="20"/>
                <w:szCs w:val="20"/>
                <w:lang w:val="es-CL" w:eastAsia="es-CL"/>
              </w:rPr>
            </w:pPr>
            <w:r w:rsidRPr="00ED5CFD">
              <w:rPr>
                <w:rFonts w:eastAsia="Times New Roman" w:cs="Calibri"/>
                <w:color w:val="000000"/>
                <w:sz w:val="20"/>
                <w:szCs w:val="20"/>
                <w:lang w:eastAsia="es-CL"/>
              </w:rPr>
              <w:t>0,9</w:t>
            </w:r>
          </w:p>
        </w:tc>
        <w:tc>
          <w:tcPr>
            <w:tcW w:w="1200" w:type="dxa"/>
            <w:tcBorders>
              <w:top w:val="nil"/>
              <w:left w:val="nil"/>
              <w:bottom w:val="single" w:sz="8" w:space="0" w:color="FBD4B4"/>
              <w:right w:val="single" w:sz="8" w:space="0" w:color="FBD4B4"/>
            </w:tcBorders>
            <w:shd w:val="clear" w:color="auto" w:fill="auto"/>
            <w:vAlign w:val="center"/>
            <w:hideMark/>
          </w:tcPr>
          <w:p w14:paraId="7BDC1C8A" w14:textId="214276B4" w:rsidR="00ED5CFD" w:rsidRPr="00ED5CFD" w:rsidRDefault="00ED5CFD" w:rsidP="00ED5CFD">
            <w:pPr>
              <w:spacing w:after="0" w:line="240" w:lineRule="auto"/>
              <w:jc w:val="center"/>
              <w:rPr>
                <w:rFonts w:eastAsia="Times New Roman" w:cs="Calibri"/>
                <w:color w:val="000000"/>
                <w:sz w:val="20"/>
                <w:szCs w:val="20"/>
                <w:lang w:val="es-CL" w:eastAsia="es-CL"/>
              </w:rPr>
            </w:pPr>
            <w:r w:rsidRPr="00ED5CFD">
              <w:rPr>
                <w:rFonts w:eastAsia="Times New Roman" w:cs="Calibri"/>
                <w:color w:val="000000"/>
                <w:sz w:val="20"/>
                <w:szCs w:val="20"/>
                <w:lang w:eastAsia="es-CL"/>
              </w:rPr>
              <w:t>2,0</w:t>
            </w:r>
          </w:p>
        </w:tc>
        <w:tc>
          <w:tcPr>
            <w:tcW w:w="1200" w:type="dxa"/>
            <w:tcBorders>
              <w:top w:val="nil"/>
              <w:left w:val="nil"/>
              <w:bottom w:val="single" w:sz="8" w:space="0" w:color="FBD4B4"/>
              <w:right w:val="single" w:sz="8" w:space="0" w:color="FBD4B4"/>
            </w:tcBorders>
            <w:shd w:val="clear" w:color="auto" w:fill="auto"/>
            <w:vAlign w:val="center"/>
            <w:hideMark/>
          </w:tcPr>
          <w:p w14:paraId="463FD5B1" w14:textId="192661E0" w:rsidR="00ED5CFD" w:rsidRPr="00ED5CFD" w:rsidRDefault="00ED5CFD" w:rsidP="00ED5CFD">
            <w:pPr>
              <w:spacing w:after="0" w:line="240" w:lineRule="auto"/>
              <w:jc w:val="center"/>
              <w:rPr>
                <w:rFonts w:eastAsia="Times New Roman" w:cs="Calibri"/>
                <w:color w:val="000000"/>
                <w:sz w:val="20"/>
                <w:szCs w:val="20"/>
                <w:lang w:val="es-CL" w:eastAsia="es-CL"/>
              </w:rPr>
            </w:pPr>
            <w:r w:rsidRPr="00ED5CFD">
              <w:rPr>
                <w:rFonts w:eastAsia="Times New Roman" w:cs="Calibri"/>
                <w:color w:val="000000"/>
                <w:sz w:val="20"/>
                <w:szCs w:val="20"/>
                <w:lang w:eastAsia="es-CL"/>
              </w:rPr>
              <w:t>4,4</w:t>
            </w:r>
          </w:p>
        </w:tc>
        <w:tc>
          <w:tcPr>
            <w:tcW w:w="1200" w:type="dxa"/>
            <w:tcBorders>
              <w:top w:val="nil"/>
              <w:left w:val="nil"/>
              <w:bottom w:val="single" w:sz="8" w:space="0" w:color="FBD4B4"/>
              <w:right w:val="single" w:sz="8" w:space="0" w:color="FBD4B4"/>
            </w:tcBorders>
            <w:shd w:val="clear" w:color="auto" w:fill="auto"/>
            <w:vAlign w:val="center"/>
            <w:hideMark/>
          </w:tcPr>
          <w:p w14:paraId="19F5AF03" w14:textId="5137474D" w:rsidR="00ED5CFD" w:rsidRPr="00ED5CFD" w:rsidRDefault="00ED5CFD" w:rsidP="00ED5CFD">
            <w:pPr>
              <w:spacing w:after="0" w:line="240" w:lineRule="auto"/>
              <w:jc w:val="center"/>
              <w:rPr>
                <w:rFonts w:eastAsia="Times New Roman" w:cs="Calibri"/>
                <w:color w:val="000000"/>
                <w:sz w:val="20"/>
                <w:szCs w:val="20"/>
                <w:lang w:val="es-CL" w:eastAsia="es-CL"/>
              </w:rPr>
            </w:pPr>
            <w:r w:rsidRPr="00ED5CFD">
              <w:rPr>
                <w:rFonts w:eastAsia="Times New Roman" w:cs="Calibri"/>
                <w:color w:val="000000"/>
                <w:sz w:val="20"/>
                <w:szCs w:val="20"/>
                <w:lang w:eastAsia="es-CL"/>
              </w:rPr>
              <w:t>0,1</w:t>
            </w:r>
          </w:p>
        </w:tc>
      </w:tr>
      <w:tr w:rsidR="00ED5CFD" w:rsidRPr="00ED5CFD" w14:paraId="2B7D98FE" w14:textId="77777777" w:rsidTr="00ED5CFD">
        <w:trPr>
          <w:trHeight w:val="375"/>
          <w:jc w:val="center"/>
        </w:trPr>
        <w:tc>
          <w:tcPr>
            <w:tcW w:w="1200" w:type="dxa"/>
            <w:tcBorders>
              <w:top w:val="nil"/>
              <w:left w:val="single" w:sz="12" w:space="0" w:color="FBD4B4"/>
              <w:bottom w:val="single" w:sz="8" w:space="0" w:color="FBD4B4"/>
              <w:right w:val="single" w:sz="8" w:space="0" w:color="FBD4B4"/>
            </w:tcBorders>
            <w:shd w:val="clear" w:color="auto" w:fill="auto"/>
            <w:vAlign w:val="center"/>
            <w:hideMark/>
          </w:tcPr>
          <w:p w14:paraId="36ACAC9A" w14:textId="77777777" w:rsidR="00ED5CFD" w:rsidRPr="00ED5CFD" w:rsidRDefault="00ED5CFD" w:rsidP="00ED5CFD">
            <w:pPr>
              <w:spacing w:after="0" w:line="240" w:lineRule="auto"/>
              <w:jc w:val="center"/>
              <w:rPr>
                <w:rFonts w:eastAsia="Times New Roman" w:cs="Calibri"/>
                <w:b/>
                <w:bCs/>
                <w:color w:val="0F243E"/>
                <w:sz w:val="20"/>
                <w:szCs w:val="20"/>
                <w:lang w:val="es-CL" w:eastAsia="es-CL"/>
              </w:rPr>
            </w:pPr>
            <w:r w:rsidRPr="00ED5CFD">
              <w:rPr>
                <w:rFonts w:eastAsia="Times New Roman" w:cs="Calibri"/>
                <w:b/>
                <w:bCs/>
                <w:color w:val="0F243E"/>
                <w:sz w:val="20"/>
                <w:szCs w:val="20"/>
                <w:lang w:val="es-CL" w:eastAsia="es-CL"/>
              </w:rPr>
              <w:t>Grande</w:t>
            </w:r>
          </w:p>
        </w:tc>
        <w:tc>
          <w:tcPr>
            <w:tcW w:w="1200" w:type="dxa"/>
            <w:tcBorders>
              <w:top w:val="nil"/>
              <w:left w:val="nil"/>
              <w:bottom w:val="single" w:sz="8" w:space="0" w:color="FBD4B4"/>
              <w:right w:val="single" w:sz="8" w:space="0" w:color="FBD4B4"/>
            </w:tcBorders>
            <w:shd w:val="clear" w:color="auto" w:fill="auto"/>
            <w:vAlign w:val="center"/>
            <w:hideMark/>
          </w:tcPr>
          <w:p w14:paraId="1966503D" w14:textId="1E7A7403" w:rsidR="00ED5CFD" w:rsidRPr="00ED5CFD" w:rsidRDefault="00ED5CFD" w:rsidP="00ED5CFD">
            <w:pPr>
              <w:spacing w:after="0" w:line="240" w:lineRule="auto"/>
              <w:jc w:val="center"/>
              <w:rPr>
                <w:rFonts w:eastAsia="Times New Roman" w:cs="Calibri"/>
                <w:color w:val="000000"/>
                <w:sz w:val="20"/>
                <w:szCs w:val="20"/>
                <w:lang w:val="es-CL" w:eastAsia="es-CL"/>
              </w:rPr>
            </w:pPr>
            <w:r w:rsidRPr="00ED5CFD">
              <w:rPr>
                <w:rFonts w:eastAsia="Times New Roman" w:cs="Calibri"/>
                <w:color w:val="000000"/>
                <w:sz w:val="20"/>
                <w:szCs w:val="20"/>
                <w:lang w:val="es-CL" w:eastAsia="es-CL"/>
              </w:rPr>
              <w:t>1,4</w:t>
            </w:r>
          </w:p>
        </w:tc>
        <w:tc>
          <w:tcPr>
            <w:tcW w:w="1200" w:type="dxa"/>
            <w:tcBorders>
              <w:top w:val="nil"/>
              <w:left w:val="nil"/>
              <w:bottom w:val="single" w:sz="8" w:space="0" w:color="FBD4B4"/>
              <w:right w:val="single" w:sz="8" w:space="0" w:color="FBD4B4"/>
            </w:tcBorders>
            <w:shd w:val="clear" w:color="auto" w:fill="auto"/>
            <w:vAlign w:val="center"/>
            <w:hideMark/>
          </w:tcPr>
          <w:p w14:paraId="0520ED42" w14:textId="47F9C472" w:rsidR="00ED5CFD" w:rsidRPr="00ED5CFD" w:rsidRDefault="00ED5CFD" w:rsidP="00ED5CFD">
            <w:pPr>
              <w:spacing w:after="0" w:line="240" w:lineRule="auto"/>
              <w:jc w:val="center"/>
              <w:rPr>
                <w:rFonts w:eastAsia="Times New Roman" w:cs="Calibri"/>
                <w:color w:val="000000"/>
                <w:sz w:val="20"/>
                <w:szCs w:val="20"/>
                <w:lang w:val="es-CL" w:eastAsia="es-CL"/>
              </w:rPr>
            </w:pPr>
            <w:r w:rsidRPr="00ED5CFD">
              <w:rPr>
                <w:rFonts w:eastAsia="Times New Roman" w:cs="Calibri"/>
                <w:color w:val="000000"/>
                <w:sz w:val="20"/>
                <w:szCs w:val="20"/>
                <w:lang w:val="es-CL" w:eastAsia="es-CL"/>
              </w:rPr>
              <w:t>14,2</w:t>
            </w:r>
          </w:p>
        </w:tc>
        <w:tc>
          <w:tcPr>
            <w:tcW w:w="1200" w:type="dxa"/>
            <w:tcBorders>
              <w:top w:val="nil"/>
              <w:left w:val="nil"/>
              <w:bottom w:val="single" w:sz="8" w:space="0" w:color="FBD4B4"/>
              <w:right w:val="single" w:sz="8" w:space="0" w:color="FBD4B4"/>
            </w:tcBorders>
            <w:shd w:val="clear" w:color="auto" w:fill="auto"/>
            <w:vAlign w:val="center"/>
            <w:hideMark/>
          </w:tcPr>
          <w:p w14:paraId="5B3AC030" w14:textId="0C4D7A22" w:rsidR="00ED5CFD" w:rsidRPr="00ED5CFD" w:rsidRDefault="00ED5CFD" w:rsidP="00ED5CFD">
            <w:pPr>
              <w:spacing w:after="0" w:line="240" w:lineRule="auto"/>
              <w:jc w:val="center"/>
              <w:rPr>
                <w:rFonts w:eastAsia="Times New Roman" w:cs="Calibri"/>
                <w:color w:val="000000"/>
                <w:sz w:val="20"/>
                <w:szCs w:val="20"/>
                <w:lang w:val="es-CL" w:eastAsia="es-CL"/>
              </w:rPr>
            </w:pPr>
            <w:r w:rsidRPr="00ED5CFD">
              <w:rPr>
                <w:rFonts w:eastAsia="Times New Roman" w:cs="Calibri"/>
                <w:color w:val="000000"/>
                <w:sz w:val="20"/>
                <w:szCs w:val="20"/>
                <w:lang w:val="es-CL" w:eastAsia="es-CL"/>
              </w:rPr>
              <w:t>2,6</w:t>
            </w:r>
          </w:p>
        </w:tc>
        <w:tc>
          <w:tcPr>
            <w:tcW w:w="1200" w:type="dxa"/>
            <w:tcBorders>
              <w:top w:val="nil"/>
              <w:left w:val="nil"/>
              <w:bottom w:val="single" w:sz="8" w:space="0" w:color="FBD4B4"/>
              <w:right w:val="single" w:sz="8" w:space="0" w:color="FBD4B4"/>
            </w:tcBorders>
            <w:shd w:val="clear" w:color="auto" w:fill="auto"/>
            <w:vAlign w:val="center"/>
            <w:hideMark/>
          </w:tcPr>
          <w:p w14:paraId="77EBC8A7" w14:textId="760B26ED" w:rsidR="00ED5CFD" w:rsidRPr="00ED5CFD" w:rsidRDefault="00ED5CFD" w:rsidP="00ED5CFD">
            <w:pPr>
              <w:spacing w:after="0" w:line="240" w:lineRule="auto"/>
              <w:jc w:val="center"/>
              <w:rPr>
                <w:rFonts w:eastAsia="Times New Roman" w:cs="Calibri"/>
                <w:color w:val="000000"/>
                <w:sz w:val="20"/>
                <w:szCs w:val="20"/>
                <w:lang w:val="es-CL" w:eastAsia="es-CL"/>
              </w:rPr>
            </w:pPr>
            <w:r w:rsidRPr="00ED5CFD">
              <w:rPr>
                <w:rFonts w:eastAsia="Times New Roman" w:cs="Calibri"/>
                <w:color w:val="000000"/>
                <w:sz w:val="20"/>
                <w:szCs w:val="20"/>
                <w:lang w:val="es-CL" w:eastAsia="es-CL"/>
              </w:rPr>
              <w:t>5,1</w:t>
            </w:r>
          </w:p>
        </w:tc>
      </w:tr>
    </w:tbl>
    <w:p w14:paraId="407799B5" w14:textId="6531B5BE" w:rsidR="002A1386" w:rsidRDefault="008F7D36" w:rsidP="007B6B98">
      <w:pPr>
        <w:pStyle w:val="Encabezado"/>
        <w:jc w:val="both"/>
        <w:rPr>
          <w:rFonts w:cs="Arial"/>
          <w:bCs/>
          <w:color w:val="000000"/>
          <w:sz w:val="24"/>
        </w:rPr>
      </w:pPr>
      <w:r>
        <w:rPr>
          <w:rFonts w:cs="Arial"/>
          <w:b/>
          <w:bCs/>
          <w:color w:val="000000"/>
          <w:sz w:val="24"/>
        </w:rPr>
        <w:t>Tabla 3</w:t>
      </w:r>
      <w:r w:rsidR="00C1240A" w:rsidRPr="00C1240A">
        <w:rPr>
          <w:rFonts w:cs="Arial"/>
          <w:bCs/>
          <w:color w:val="000000"/>
          <w:sz w:val="24"/>
        </w:rPr>
        <w:t>. Consumos promedio de Energía eléctrica y  combustibles por tonelada de producto final.</w:t>
      </w:r>
      <w:r w:rsidR="002F2AB3">
        <w:rPr>
          <w:rFonts w:cs="Arial"/>
          <w:bCs/>
          <w:color w:val="000000"/>
          <w:sz w:val="24"/>
        </w:rPr>
        <w:t xml:space="preserve"> </w:t>
      </w:r>
      <w:r w:rsidR="002F2AB3">
        <w:rPr>
          <w:rFonts w:cs="Arial"/>
          <w:bCs/>
          <w:color w:val="000000"/>
          <w:sz w:val="24"/>
        </w:rPr>
        <w:tab/>
      </w:r>
    </w:p>
    <w:p w14:paraId="47508A3F" w14:textId="77777777" w:rsidR="002A1386" w:rsidRDefault="002A1386" w:rsidP="00C1240A">
      <w:pPr>
        <w:pStyle w:val="Encabezado"/>
        <w:tabs>
          <w:tab w:val="clear" w:pos="4252"/>
          <w:tab w:val="center" w:pos="709"/>
        </w:tabs>
        <w:spacing w:line="276" w:lineRule="auto"/>
        <w:jc w:val="both"/>
        <w:rPr>
          <w:rFonts w:cs="Arial"/>
          <w:bCs/>
          <w:color w:val="000000"/>
          <w:sz w:val="24"/>
        </w:rPr>
      </w:pPr>
    </w:p>
    <w:p w14:paraId="55CA485E" w14:textId="1CB8A556" w:rsidR="00F91273" w:rsidRDefault="00F91273" w:rsidP="00C1240A">
      <w:pPr>
        <w:pStyle w:val="Encabezado"/>
        <w:tabs>
          <w:tab w:val="clear" w:pos="4252"/>
          <w:tab w:val="center" w:pos="709"/>
        </w:tabs>
        <w:spacing w:line="276" w:lineRule="auto"/>
        <w:jc w:val="both"/>
        <w:rPr>
          <w:rFonts w:cs="Arial"/>
          <w:bCs/>
          <w:color w:val="000000"/>
          <w:sz w:val="24"/>
        </w:rPr>
      </w:pPr>
      <w:r>
        <w:rPr>
          <w:rFonts w:cs="Arial"/>
          <w:bCs/>
          <w:color w:val="000000"/>
          <w:sz w:val="24"/>
        </w:rPr>
        <w:tab/>
        <w:t>L</w:t>
      </w:r>
      <w:r w:rsidR="0035795B">
        <w:rPr>
          <w:rFonts w:cs="Arial"/>
          <w:bCs/>
          <w:color w:val="000000"/>
          <w:sz w:val="24"/>
        </w:rPr>
        <w:t>a energía eléctrica promedio del año 2015 utilizada por los centros MYPE es 797 (</w:t>
      </w:r>
      <w:proofErr w:type="spellStart"/>
      <w:r w:rsidR="0035795B">
        <w:rPr>
          <w:rFonts w:cs="Arial"/>
          <w:bCs/>
          <w:color w:val="000000"/>
          <w:sz w:val="24"/>
        </w:rPr>
        <w:t>kWh</w:t>
      </w:r>
      <w:proofErr w:type="spellEnd"/>
      <w:r w:rsidR="0035795B">
        <w:rPr>
          <w:rFonts w:cs="Arial"/>
          <w:bCs/>
          <w:color w:val="000000"/>
          <w:sz w:val="24"/>
        </w:rPr>
        <w:t>), a diferencia de los centros de categoría</w:t>
      </w:r>
      <w:r w:rsidR="00E36995">
        <w:rPr>
          <w:rFonts w:cs="Arial"/>
          <w:bCs/>
          <w:color w:val="000000"/>
          <w:sz w:val="24"/>
        </w:rPr>
        <w:t xml:space="preserve"> Grande</w:t>
      </w:r>
      <w:r w:rsidR="0035795B">
        <w:rPr>
          <w:rFonts w:cs="Arial"/>
          <w:bCs/>
          <w:color w:val="000000"/>
          <w:sz w:val="24"/>
        </w:rPr>
        <w:t xml:space="preserve">, los cuales </w:t>
      </w:r>
      <w:r w:rsidR="00E36995">
        <w:rPr>
          <w:rFonts w:cs="Arial"/>
          <w:bCs/>
          <w:color w:val="000000"/>
          <w:sz w:val="24"/>
        </w:rPr>
        <w:t>consumen en promedio anual</w:t>
      </w:r>
      <w:r w:rsidR="003F4BFD">
        <w:rPr>
          <w:rFonts w:cs="Arial"/>
          <w:bCs/>
          <w:color w:val="000000"/>
          <w:sz w:val="24"/>
        </w:rPr>
        <w:t>mente</w:t>
      </w:r>
      <w:r w:rsidR="00E36995">
        <w:rPr>
          <w:rFonts w:cs="Arial"/>
          <w:bCs/>
          <w:color w:val="000000"/>
          <w:sz w:val="24"/>
        </w:rPr>
        <w:t xml:space="preserve"> 4.194 (</w:t>
      </w:r>
      <w:proofErr w:type="spellStart"/>
      <w:r w:rsidR="00E36995">
        <w:rPr>
          <w:rFonts w:cs="Arial"/>
          <w:bCs/>
          <w:color w:val="000000"/>
          <w:sz w:val="24"/>
        </w:rPr>
        <w:t>kWh</w:t>
      </w:r>
      <w:proofErr w:type="spellEnd"/>
      <w:r w:rsidR="00E36995">
        <w:rPr>
          <w:rFonts w:cs="Arial"/>
          <w:bCs/>
          <w:color w:val="000000"/>
          <w:sz w:val="24"/>
        </w:rPr>
        <w:t>). (Figura 10).</w:t>
      </w:r>
    </w:p>
    <w:p w14:paraId="786F0670" w14:textId="77777777" w:rsidR="0007370C" w:rsidRDefault="0007370C" w:rsidP="00C1240A">
      <w:pPr>
        <w:pStyle w:val="Encabezado"/>
        <w:tabs>
          <w:tab w:val="clear" w:pos="4252"/>
          <w:tab w:val="center" w:pos="709"/>
        </w:tabs>
        <w:spacing w:line="276" w:lineRule="auto"/>
        <w:jc w:val="both"/>
        <w:rPr>
          <w:rFonts w:cs="Arial"/>
          <w:bCs/>
          <w:color w:val="000000"/>
          <w:sz w:val="24"/>
        </w:rPr>
      </w:pPr>
    </w:p>
    <w:p w14:paraId="2D546942" w14:textId="72AB9BA5" w:rsidR="0035795B" w:rsidRDefault="0007370C" w:rsidP="00C1240A">
      <w:pPr>
        <w:pStyle w:val="Encabezado"/>
        <w:tabs>
          <w:tab w:val="clear" w:pos="4252"/>
          <w:tab w:val="center" w:pos="709"/>
        </w:tabs>
        <w:spacing w:line="276" w:lineRule="auto"/>
        <w:jc w:val="both"/>
        <w:rPr>
          <w:rFonts w:cs="Arial"/>
          <w:bCs/>
          <w:color w:val="000000"/>
          <w:sz w:val="24"/>
        </w:rPr>
      </w:pPr>
      <w:r>
        <w:rPr>
          <w:rFonts w:cs="Arial"/>
          <w:bCs/>
          <w:color w:val="000000"/>
          <w:sz w:val="24"/>
        </w:rPr>
        <w:tab/>
      </w:r>
      <w:r w:rsidR="00F91273">
        <w:rPr>
          <w:rFonts w:cs="Arial"/>
          <w:bCs/>
          <w:color w:val="000000"/>
          <w:sz w:val="24"/>
        </w:rPr>
        <w:t>Con respecto al volumen</w:t>
      </w:r>
      <w:r w:rsidR="00CA4312">
        <w:rPr>
          <w:rFonts w:cs="Arial"/>
          <w:bCs/>
          <w:color w:val="000000"/>
          <w:sz w:val="24"/>
        </w:rPr>
        <w:t xml:space="preserve"> empleado</w:t>
      </w:r>
      <w:r w:rsidR="00F91273">
        <w:rPr>
          <w:rFonts w:cs="Arial"/>
          <w:bCs/>
          <w:color w:val="000000"/>
          <w:sz w:val="24"/>
        </w:rPr>
        <w:t xml:space="preserve"> por tipo de combustible, se evidenci</w:t>
      </w:r>
      <w:r>
        <w:rPr>
          <w:rFonts w:cs="Arial"/>
          <w:bCs/>
          <w:color w:val="000000"/>
          <w:sz w:val="24"/>
        </w:rPr>
        <w:t>ó que</w:t>
      </w:r>
      <w:r w:rsidR="00F91273">
        <w:rPr>
          <w:rFonts w:cs="Arial"/>
          <w:bCs/>
          <w:color w:val="000000"/>
          <w:sz w:val="24"/>
        </w:rPr>
        <w:t xml:space="preserve"> </w:t>
      </w:r>
      <w:r>
        <w:rPr>
          <w:rFonts w:cs="Arial"/>
          <w:bCs/>
          <w:color w:val="000000"/>
          <w:sz w:val="24"/>
        </w:rPr>
        <w:t xml:space="preserve">el combustible más utilizado es el petróleo </w:t>
      </w:r>
      <w:r>
        <w:rPr>
          <w:rFonts w:cs="Arial"/>
          <w:bCs/>
          <w:color w:val="000000"/>
          <w:sz w:val="24"/>
        </w:rPr>
        <w:lastRenderedPageBreak/>
        <w:t xml:space="preserve">diesel en el caso de las empresas Grande y la bencina en </w:t>
      </w:r>
      <w:r w:rsidR="005A1B4C">
        <w:rPr>
          <w:rFonts w:cs="Arial"/>
          <w:bCs/>
          <w:color w:val="000000"/>
          <w:sz w:val="24"/>
        </w:rPr>
        <w:t xml:space="preserve">los </w:t>
      </w:r>
      <w:r>
        <w:rPr>
          <w:rFonts w:cs="Arial"/>
          <w:bCs/>
          <w:color w:val="000000"/>
          <w:sz w:val="24"/>
        </w:rPr>
        <w:t>centros MYPE</w:t>
      </w:r>
      <w:r w:rsidR="005A1B4C">
        <w:rPr>
          <w:rFonts w:cs="Arial"/>
          <w:bCs/>
          <w:color w:val="000000"/>
          <w:sz w:val="24"/>
        </w:rPr>
        <w:t>.</w:t>
      </w:r>
      <w:r>
        <w:rPr>
          <w:rFonts w:cs="Arial"/>
          <w:bCs/>
          <w:color w:val="000000"/>
          <w:sz w:val="24"/>
        </w:rPr>
        <w:t xml:space="preserve"> </w:t>
      </w:r>
      <w:r w:rsidR="00E36995">
        <w:rPr>
          <w:rFonts w:cs="Arial"/>
          <w:bCs/>
          <w:color w:val="000000"/>
          <w:sz w:val="24"/>
        </w:rPr>
        <w:t xml:space="preserve">  </w:t>
      </w:r>
    </w:p>
    <w:p w14:paraId="2618775C" w14:textId="77777777" w:rsidR="00DB02C3" w:rsidRDefault="00DB02C3" w:rsidP="00C1240A">
      <w:pPr>
        <w:pStyle w:val="Encabezado"/>
        <w:tabs>
          <w:tab w:val="clear" w:pos="4252"/>
          <w:tab w:val="center" w:pos="709"/>
        </w:tabs>
        <w:spacing w:line="276" w:lineRule="auto"/>
        <w:jc w:val="both"/>
        <w:rPr>
          <w:rFonts w:cs="Arial"/>
          <w:bCs/>
          <w:color w:val="000000"/>
          <w:sz w:val="24"/>
        </w:rPr>
      </w:pPr>
    </w:p>
    <w:p w14:paraId="45825B30" w14:textId="3D9A8143" w:rsidR="003242EA" w:rsidRDefault="005135C8" w:rsidP="00DB02C3">
      <w:pPr>
        <w:pStyle w:val="Encabezado"/>
        <w:tabs>
          <w:tab w:val="clear" w:pos="4252"/>
          <w:tab w:val="center" w:pos="709"/>
        </w:tabs>
        <w:spacing w:line="276" w:lineRule="auto"/>
        <w:jc w:val="both"/>
        <w:rPr>
          <w:rFonts w:cs="Arial"/>
          <w:bCs/>
          <w:color w:val="000000"/>
          <w:sz w:val="24"/>
        </w:rPr>
      </w:pPr>
      <w:r>
        <w:rPr>
          <w:noProof/>
          <w:lang w:val="es-CL" w:eastAsia="es-CL"/>
        </w:rPr>
        <w:drawing>
          <wp:inline distT="0" distB="0" distL="0" distR="0" wp14:anchorId="7EEF4C6A" wp14:editId="27406B11">
            <wp:extent cx="2667002" cy="2825752"/>
            <wp:effectExtent l="0" t="0" r="19050" b="12700"/>
            <wp:docPr id="29" name="Gráfico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r>
        <w:rPr>
          <w:noProof/>
          <w:lang w:val="es-CL" w:eastAsia="es-CL"/>
        </w:rPr>
        <w:drawing>
          <wp:inline distT="0" distB="0" distL="0" distR="0" wp14:anchorId="4567D25A" wp14:editId="69773482">
            <wp:extent cx="2667002" cy="2825752"/>
            <wp:effectExtent l="0" t="0" r="19050" b="12700"/>
            <wp:docPr id="448" name="Gráfico 448"/>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36AD18E1" w14:textId="059C70F0" w:rsidR="00377A28" w:rsidRPr="007A53AB" w:rsidRDefault="00A904FD" w:rsidP="00377A28">
      <w:pPr>
        <w:pStyle w:val="Encabezado"/>
        <w:rPr>
          <w:rFonts w:cs="Arial"/>
          <w:bCs/>
          <w:color w:val="000000"/>
          <w:sz w:val="24"/>
        </w:rPr>
      </w:pPr>
      <w:r>
        <w:rPr>
          <w:rFonts w:cs="Arial"/>
          <w:b/>
          <w:bCs/>
          <w:color w:val="000000"/>
          <w:sz w:val="24"/>
        </w:rPr>
        <w:t>F</w:t>
      </w:r>
      <w:r w:rsidR="00D446B4" w:rsidRPr="00C971A4">
        <w:rPr>
          <w:rFonts w:cs="Arial"/>
          <w:b/>
          <w:bCs/>
          <w:color w:val="000000"/>
          <w:sz w:val="24"/>
        </w:rPr>
        <w:t xml:space="preserve">igura </w:t>
      </w:r>
      <w:r w:rsidR="00251687">
        <w:rPr>
          <w:rFonts w:cs="Arial"/>
          <w:b/>
          <w:bCs/>
          <w:color w:val="000000"/>
          <w:sz w:val="24"/>
        </w:rPr>
        <w:t>10</w:t>
      </w:r>
      <w:r w:rsidR="00377A28" w:rsidRPr="00C971A4">
        <w:rPr>
          <w:rFonts w:cs="Arial"/>
          <w:bCs/>
          <w:color w:val="000000"/>
          <w:sz w:val="24"/>
        </w:rPr>
        <w:t>. Consumo</w:t>
      </w:r>
      <w:r w:rsidR="00951E84">
        <w:rPr>
          <w:rFonts w:cs="Arial"/>
          <w:bCs/>
          <w:color w:val="000000"/>
          <w:sz w:val="24"/>
        </w:rPr>
        <w:t>s</w:t>
      </w:r>
      <w:r w:rsidR="00377A28" w:rsidRPr="00C971A4">
        <w:rPr>
          <w:rFonts w:cs="Arial"/>
          <w:bCs/>
          <w:color w:val="000000"/>
          <w:sz w:val="24"/>
        </w:rPr>
        <w:t xml:space="preserve"> total y promedio de energía eléctrica y combustibles utilizadas por las empresas encuestadas.</w:t>
      </w:r>
    </w:p>
    <w:p w14:paraId="534FC146" w14:textId="77777777" w:rsidR="00DD7A46" w:rsidRDefault="00DD7A46" w:rsidP="001F6176">
      <w:pPr>
        <w:pStyle w:val="Encabezado"/>
        <w:jc w:val="both"/>
        <w:rPr>
          <w:rFonts w:cs="Arial"/>
          <w:bCs/>
          <w:color w:val="000000"/>
          <w:sz w:val="24"/>
        </w:rPr>
      </w:pPr>
    </w:p>
    <w:p w14:paraId="6AD6D91C" w14:textId="77777777" w:rsidR="004B184E" w:rsidRDefault="004B184E" w:rsidP="001F6176">
      <w:pPr>
        <w:pStyle w:val="Encabezado"/>
        <w:jc w:val="both"/>
        <w:rPr>
          <w:rFonts w:cs="Arial"/>
          <w:bCs/>
          <w:color w:val="000000"/>
          <w:sz w:val="24"/>
        </w:rPr>
      </w:pPr>
    </w:p>
    <w:p w14:paraId="0C5FD181" w14:textId="77777777" w:rsidR="006365D9" w:rsidRDefault="006365D9" w:rsidP="009E3E4C">
      <w:pPr>
        <w:pStyle w:val="Encabezado"/>
        <w:jc w:val="both"/>
        <w:rPr>
          <w:lang w:val="es-CL" w:eastAsia="es-CL"/>
        </w:rPr>
      </w:pPr>
    </w:p>
    <w:p w14:paraId="48A1073D" w14:textId="77777777" w:rsidR="004377CC" w:rsidRPr="004B184E" w:rsidRDefault="004377CC" w:rsidP="00E31A3F">
      <w:pPr>
        <w:pStyle w:val="Ttulo2"/>
        <w:rPr>
          <w:b w:val="0"/>
          <w:sz w:val="32"/>
          <w:szCs w:val="32"/>
          <w:lang w:eastAsia="es-CL"/>
        </w:rPr>
      </w:pPr>
      <w:bookmarkStart w:id="9" w:name="_Toc471999115"/>
      <w:r w:rsidRPr="004B184E">
        <w:rPr>
          <w:b w:val="0"/>
          <w:sz w:val="32"/>
          <w:szCs w:val="32"/>
          <w:lang w:eastAsia="es-CL"/>
        </w:rPr>
        <w:t>Consumo de Energía Eléctrica</w:t>
      </w:r>
      <w:bookmarkEnd w:id="9"/>
    </w:p>
    <w:p w14:paraId="649F8D6B" w14:textId="77777777" w:rsidR="004377CC" w:rsidRPr="007A53AB" w:rsidRDefault="004377CC" w:rsidP="004377CC">
      <w:pPr>
        <w:pStyle w:val="Encabezado"/>
        <w:rPr>
          <w:lang w:val="es-CL" w:eastAsia="es-CL"/>
        </w:rPr>
      </w:pPr>
    </w:p>
    <w:p w14:paraId="74E10BDF" w14:textId="3C7F0D1E" w:rsidR="009E775B" w:rsidRDefault="00314F91" w:rsidP="00207C9A">
      <w:pPr>
        <w:pStyle w:val="Encabezado"/>
        <w:tabs>
          <w:tab w:val="clear" w:pos="4252"/>
        </w:tabs>
        <w:spacing w:line="276" w:lineRule="auto"/>
        <w:jc w:val="both"/>
        <w:rPr>
          <w:rFonts w:cs="Arial"/>
          <w:bCs/>
          <w:color w:val="000000"/>
          <w:sz w:val="24"/>
        </w:rPr>
      </w:pPr>
      <w:r>
        <w:rPr>
          <w:rFonts w:cs="Arial"/>
          <w:bCs/>
          <w:color w:val="000000"/>
          <w:sz w:val="24"/>
        </w:rPr>
        <w:t>Los centros de cultivo utilizan energía eléctrica (</w:t>
      </w:r>
      <w:proofErr w:type="spellStart"/>
      <w:r>
        <w:rPr>
          <w:rFonts w:cs="Arial"/>
          <w:bCs/>
          <w:color w:val="000000"/>
          <w:sz w:val="24"/>
        </w:rPr>
        <w:t>KwH</w:t>
      </w:r>
      <w:proofErr w:type="spellEnd"/>
      <w:r w:rsidR="00F91273">
        <w:rPr>
          <w:rFonts w:cs="Arial"/>
          <w:bCs/>
          <w:color w:val="000000"/>
          <w:sz w:val="24"/>
        </w:rPr>
        <w:t>)</w:t>
      </w:r>
      <w:r>
        <w:rPr>
          <w:rFonts w:cs="Arial"/>
          <w:bCs/>
          <w:color w:val="000000"/>
          <w:sz w:val="24"/>
        </w:rPr>
        <w:t>, solamente en las instalaciones en tierra, es decir en oficinas o áreas administrativas, casino</w:t>
      </w:r>
      <w:r w:rsidR="005A1B4C">
        <w:rPr>
          <w:rFonts w:cs="Arial"/>
          <w:bCs/>
          <w:color w:val="000000"/>
          <w:sz w:val="24"/>
        </w:rPr>
        <w:t>s</w:t>
      </w:r>
      <w:r>
        <w:rPr>
          <w:rFonts w:cs="Arial"/>
          <w:bCs/>
          <w:color w:val="000000"/>
          <w:sz w:val="24"/>
        </w:rPr>
        <w:t>, servicios higiénicos y luminarias</w:t>
      </w:r>
      <w:r w:rsidR="009E775B" w:rsidRPr="00557245">
        <w:rPr>
          <w:rFonts w:cs="Arial"/>
          <w:bCs/>
          <w:color w:val="000000"/>
          <w:sz w:val="24"/>
        </w:rPr>
        <w:t xml:space="preserve">. </w:t>
      </w:r>
    </w:p>
    <w:p w14:paraId="7C3A6205" w14:textId="77777777" w:rsidR="009E775B" w:rsidRDefault="009E775B" w:rsidP="009E775B">
      <w:pPr>
        <w:pStyle w:val="Encabezado"/>
        <w:spacing w:line="276" w:lineRule="auto"/>
        <w:jc w:val="both"/>
        <w:rPr>
          <w:rFonts w:cs="Arial"/>
          <w:bCs/>
          <w:color w:val="000000"/>
          <w:sz w:val="24"/>
        </w:rPr>
      </w:pPr>
    </w:p>
    <w:p w14:paraId="24E5B181" w14:textId="7126FB42" w:rsidR="00FF1992" w:rsidRDefault="00F44456" w:rsidP="00207C9A">
      <w:pPr>
        <w:pStyle w:val="Encabezado"/>
        <w:tabs>
          <w:tab w:val="clear" w:pos="4252"/>
          <w:tab w:val="center" w:pos="0"/>
        </w:tabs>
        <w:spacing w:line="276" w:lineRule="auto"/>
        <w:jc w:val="both"/>
        <w:rPr>
          <w:rFonts w:cs="Arial"/>
          <w:bCs/>
          <w:color w:val="000000"/>
          <w:sz w:val="24"/>
        </w:rPr>
      </w:pPr>
      <w:r>
        <w:rPr>
          <w:rFonts w:cs="Arial"/>
          <w:bCs/>
          <w:color w:val="000000"/>
          <w:sz w:val="24"/>
        </w:rPr>
        <w:t>E</w:t>
      </w:r>
      <w:r w:rsidR="007B6B98">
        <w:rPr>
          <w:rFonts w:cs="Arial"/>
          <w:bCs/>
          <w:color w:val="000000"/>
          <w:sz w:val="24"/>
        </w:rPr>
        <w:t>l análisis de</w:t>
      </w:r>
      <w:r w:rsidR="004377CC">
        <w:rPr>
          <w:rFonts w:cs="Arial"/>
          <w:bCs/>
          <w:color w:val="000000"/>
          <w:sz w:val="24"/>
        </w:rPr>
        <w:t xml:space="preserve">l </w:t>
      </w:r>
      <w:r w:rsidR="00557245">
        <w:rPr>
          <w:rFonts w:cs="Arial"/>
          <w:bCs/>
          <w:color w:val="000000"/>
          <w:sz w:val="24"/>
        </w:rPr>
        <w:t>consumo</w:t>
      </w:r>
      <w:r w:rsidR="00642ABE" w:rsidRPr="00557245">
        <w:rPr>
          <w:rFonts w:cs="Arial"/>
          <w:bCs/>
          <w:color w:val="000000"/>
          <w:sz w:val="24"/>
        </w:rPr>
        <w:t xml:space="preserve"> </w:t>
      </w:r>
      <w:r w:rsidR="00557245">
        <w:rPr>
          <w:rFonts w:cs="Arial"/>
          <w:bCs/>
          <w:color w:val="000000"/>
          <w:sz w:val="24"/>
        </w:rPr>
        <w:t xml:space="preserve">promedio </w:t>
      </w:r>
      <w:r w:rsidR="007B6B98">
        <w:rPr>
          <w:rFonts w:cs="Arial"/>
          <w:bCs/>
          <w:color w:val="000000"/>
          <w:sz w:val="24"/>
        </w:rPr>
        <w:t xml:space="preserve">anual </w:t>
      </w:r>
      <w:r w:rsidR="00557245" w:rsidRPr="00557245">
        <w:rPr>
          <w:rFonts w:cs="Arial"/>
          <w:bCs/>
          <w:color w:val="000000"/>
          <w:sz w:val="24"/>
        </w:rPr>
        <w:t>de</w:t>
      </w:r>
      <w:r w:rsidR="00642ABE" w:rsidRPr="00557245">
        <w:rPr>
          <w:rFonts w:cs="Arial"/>
          <w:bCs/>
          <w:color w:val="000000"/>
          <w:sz w:val="24"/>
        </w:rPr>
        <w:t xml:space="preserve"> </w:t>
      </w:r>
      <w:r w:rsidR="004377CC" w:rsidRPr="00557245">
        <w:rPr>
          <w:rFonts w:cs="Arial"/>
          <w:bCs/>
          <w:color w:val="000000"/>
          <w:sz w:val="24"/>
        </w:rPr>
        <w:t>energía eléctrica</w:t>
      </w:r>
      <w:r w:rsidR="004377CC">
        <w:rPr>
          <w:rFonts w:cs="Arial"/>
          <w:bCs/>
          <w:color w:val="000000"/>
          <w:sz w:val="24"/>
        </w:rPr>
        <w:t xml:space="preserve"> utilizada por</w:t>
      </w:r>
      <w:r w:rsidR="007B6B98">
        <w:rPr>
          <w:rFonts w:cs="Arial"/>
          <w:bCs/>
          <w:color w:val="000000"/>
          <w:sz w:val="24"/>
        </w:rPr>
        <w:t xml:space="preserve"> los centros de cultivo</w:t>
      </w:r>
      <w:r>
        <w:rPr>
          <w:rFonts w:cs="Arial"/>
          <w:bCs/>
          <w:color w:val="000000"/>
          <w:sz w:val="24"/>
        </w:rPr>
        <w:t>,</w:t>
      </w:r>
      <w:r w:rsidR="007B6B98">
        <w:rPr>
          <w:rFonts w:cs="Arial"/>
          <w:bCs/>
          <w:color w:val="000000"/>
          <w:sz w:val="24"/>
        </w:rPr>
        <w:t xml:space="preserve"> evidenció que los centros MYPE utilizan menor cantidad de energía eléctrica que los centros de categoría Grande, ya que los MYPE consumen 797 (</w:t>
      </w:r>
      <w:proofErr w:type="spellStart"/>
      <w:r w:rsidR="007B6B98">
        <w:rPr>
          <w:rFonts w:cs="Arial"/>
          <w:bCs/>
          <w:color w:val="000000"/>
          <w:sz w:val="24"/>
        </w:rPr>
        <w:t>kWh</w:t>
      </w:r>
      <w:proofErr w:type="spellEnd"/>
      <w:r w:rsidR="007B6B98">
        <w:rPr>
          <w:rFonts w:cs="Arial"/>
          <w:bCs/>
          <w:color w:val="000000"/>
          <w:sz w:val="24"/>
        </w:rPr>
        <w:t>) y los Grande 4.194 (</w:t>
      </w:r>
      <w:proofErr w:type="spellStart"/>
      <w:r w:rsidR="007B6B98">
        <w:rPr>
          <w:rFonts w:cs="Arial"/>
          <w:bCs/>
          <w:color w:val="000000"/>
          <w:sz w:val="24"/>
        </w:rPr>
        <w:t>kWh</w:t>
      </w:r>
      <w:proofErr w:type="spellEnd"/>
      <w:r w:rsidR="007B6B98">
        <w:rPr>
          <w:rFonts w:cs="Arial"/>
          <w:bCs/>
          <w:color w:val="000000"/>
          <w:sz w:val="24"/>
        </w:rPr>
        <w:t>)</w:t>
      </w:r>
      <w:r>
        <w:rPr>
          <w:rFonts w:cs="Arial"/>
          <w:bCs/>
          <w:color w:val="000000"/>
          <w:sz w:val="24"/>
        </w:rPr>
        <w:t xml:space="preserve"> (Figura 11)</w:t>
      </w:r>
      <w:r w:rsidR="005A1B4C">
        <w:rPr>
          <w:rFonts w:cs="Arial"/>
          <w:bCs/>
          <w:color w:val="000000"/>
          <w:sz w:val="24"/>
        </w:rPr>
        <w:t>. La</w:t>
      </w:r>
      <w:r w:rsidR="00F91273">
        <w:rPr>
          <w:rFonts w:cs="Arial"/>
          <w:bCs/>
          <w:color w:val="000000"/>
          <w:sz w:val="24"/>
        </w:rPr>
        <w:t xml:space="preserve"> energía eléctrica utilizada por tonelada de producción de Materia Prima</w:t>
      </w:r>
      <w:r w:rsidR="005A1B4C">
        <w:rPr>
          <w:rFonts w:cs="Arial"/>
          <w:bCs/>
          <w:color w:val="000000"/>
          <w:sz w:val="24"/>
        </w:rPr>
        <w:t xml:space="preserve"> en </w:t>
      </w:r>
      <w:r w:rsidR="00F91273">
        <w:rPr>
          <w:rFonts w:cs="Arial"/>
          <w:bCs/>
          <w:color w:val="000000"/>
          <w:sz w:val="24"/>
        </w:rPr>
        <w:t xml:space="preserve">los centros de categoría MYPE </w:t>
      </w:r>
      <w:r w:rsidR="005A1B4C">
        <w:rPr>
          <w:rFonts w:cs="Arial"/>
          <w:bCs/>
          <w:color w:val="000000"/>
          <w:sz w:val="24"/>
        </w:rPr>
        <w:t>es</w:t>
      </w:r>
      <w:r w:rsidR="00F91273">
        <w:rPr>
          <w:rFonts w:cs="Arial"/>
          <w:bCs/>
          <w:color w:val="000000"/>
          <w:sz w:val="24"/>
        </w:rPr>
        <w:t xml:space="preserve"> 0,9 (</w:t>
      </w:r>
      <w:proofErr w:type="spellStart"/>
      <w:r w:rsidR="00F91273">
        <w:rPr>
          <w:rFonts w:cs="Arial"/>
          <w:bCs/>
          <w:color w:val="000000"/>
          <w:sz w:val="24"/>
        </w:rPr>
        <w:t>kWh</w:t>
      </w:r>
      <w:proofErr w:type="spellEnd"/>
      <w:r w:rsidR="00F91273">
        <w:rPr>
          <w:rFonts w:cs="Arial"/>
          <w:bCs/>
          <w:color w:val="000000"/>
          <w:sz w:val="24"/>
        </w:rPr>
        <w:t>/Ton), en cambio los centros Grande 1,4 (</w:t>
      </w:r>
      <w:proofErr w:type="spellStart"/>
      <w:r w:rsidR="00F91273">
        <w:rPr>
          <w:rFonts w:cs="Arial"/>
          <w:bCs/>
          <w:color w:val="000000"/>
          <w:sz w:val="24"/>
        </w:rPr>
        <w:t>kWh</w:t>
      </w:r>
      <w:proofErr w:type="spellEnd"/>
      <w:r w:rsidR="00F91273">
        <w:rPr>
          <w:rFonts w:cs="Arial"/>
          <w:bCs/>
          <w:color w:val="000000"/>
          <w:sz w:val="24"/>
        </w:rPr>
        <w:t>/Ton)</w:t>
      </w:r>
      <w:r w:rsidR="003F4BFD">
        <w:rPr>
          <w:rFonts w:cs="Arial"/>
          <w:bCs/>
          <w:color w:val="000000"/>
          <w:sz w:val="24"/>
        </w:rPr>
        <w:t xml:space="preserve"> (Figura 11)</w:t>
      </w:r>
      <w:r w:rsidR="007B6B98">
        <w:rPr>
          <w:rFonts w:cs="Arial"/>
          <w:bCs/>
          <w:color w:val="000000"/>
          <w:sz w:val="24"/>
        </w:rPr>
        <w:t xml:space="preserve">. Esta diferencia </w:t>
      </w:r>
      <w:r>
        <w:rPr>
          <w:rFonts w:cs="Arial"/>
          <w:bCs/>
          <w:color w:val="000000"/>
          <w:sz w:val="24"/>
        </w:rPr>
        <w:t xml:space="preserve">de consumo se debe a que la mayoría de los centros MYPE informaron que no con cuentan con instalaciones en </w:t>
      </w:r>
      <w:r>
        <w:rPr>
          <w:rFonts w:cs="Arial"/>
          <w:bCs/>
          <w:color w:val="000000"/>
          <w:sz w:val="24"/>
        </w:rPr>
        <w:lastRenderedPageBreak/>
        <w:t>tierra, por lo tanto el consumo de energía eléctrica es menor que los centros de categoría Grande, que sí poseen instalaciones</w:t>
      </w:r>
      <w:r w:rsidR="004377CC" w:rsidRPr="00AB3E96">
        <w:rPr>
          <w:rFonts w:cs="Arial"/>
          <w:bCs/>
          <w:color w:val="000000"/>
          <w:sz w:val="24"/>
        </w:rPr>
        <w:t>.</w:t>
      </w:r>
    </w:p>
    <w:p w14:paraId="5EDA3983" w14:textId="77777777" w:rsidR="00F91273" w:rsidRDefault="00F91273" w:rsidP="00F91273">
      <w:pPr>
        <w:pStyle w:val="Encabezado"/>
        <w:tabs>
          <w:tab w:val="clear" w:pos="4252"/>
          <w:tab w:val="center" w:pos="0"/>
        </w:tabs>
        <w:spacing w:line="276" w:lineRule="auto"/>
        <w:ind w:firstLine="709"/>
        <w:jc w:val="both"/>
        <w:rPr>
          <w:rFonts w:cs="Arial"/>
          <w:bCs/>
          <w:color w:val="000000"/>
          <w:sz w:val="24"/>
        </w:rPr>
      </w:pPr>
    </w:p>
    <w:p w14:paraId="1DC3CA79" w14:textId="3E7FED3D" w:rsidR="004377CC" w:rsidRDefault="00FB7B2E" w:rsidP="007E12BD">
      <w:pPr>
        <w:pStyle w:val="Encabezado"/>
        <w:tabs>
          <w:tab w:val="clear" w:pos="4252"/>
          <w:tab w:val="center" w:pos="0"/>
        </w:tabs>
        <w:spacing w:line="276" w:lineRule="auto"/>
        <w:ind w:firstLine="709"/>
        <w:jc w:val="both"/>
        <w:rPr>
          <w:rFonts w:cs="Arial"/>
          <w:bCs/>
          <w:color w:val="000000"/>
          <w:sz w:val="24"/>
        </w:rPr>
      </w:pPr>
      <w:r>
        <w:rPr>
          <w:noProof/>
          <w:lang w:val="es-CL" w:eastAsia="es-CL"/>
        </w:rPr>
        <w:drawing>
          <wp:inline distT="0" distB="0" distL="0" distR="0" wp14:anchorId="23530D06" wp14:editId="1D2658B0">
            <wp:extent cx="2449902" cy="2786333"/>
            <wp:effectExtent l="0" t="0" r="26670" b="14605"/>
            <wp:docPr id="454" name="Gráfico 454"/>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r>
        <w:rPr>
          <w:noProof/>
          <w:lang w:val="es-CL" w:eastAsia="es-CL"/>
        </w:rPr>
        <w:drawing>
          <wp:inline distT="0" distB="0" distL="0" distR="0" wp14:anchorId="3480BE5C" wp14:editId="63251C45">
            <wp:extent cx="2449901" cy="2777706"/>
            <wp:effectExtent l="0" t="0" r="26670" b="22860"/>
            <wp:docPr id="456" name="Gráfico 456"/>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7B3B357B" w14:textId="32DB1B04" w:rsidR="004377CC" w:rsidRDefault="00F44456" w:rsidP="004377CC">
      <w:pPr>
        <w:pStyle w:val="Encabezado"/>
        <w:jc w:val="both"/>
        <w:rPr>
          <w:rFonts w:cs="Arial"/>
          <w:bCs/>
          <w:color w:val="000000"/>
          <w:sz w:val="24"/>
        </w:rPr>
      </w:pPr>
      <w:r>
        <w:rPr>
          <w:rFonts w:cs="Arial"/>
          <w:b/>
          <w:bCs/>
          <w:color w:val="000000"/>
          <w:sz w:val="24"/>
        </w:rPr>
        <w:t>Figura 11</w:t>
      </w:r>
      <w:r w:rsidR="004377CC" w:rsidRPr="00B95410">
        <w:rPr>
          <w:rFonts w:cs="Arial"/>
          <w:bCs/>
          <w:color w:val="000000"/>
          <w:sz w:val="24"/>
        </w:rPr>
        <w:t>. Consumo de energía eléctrica utilizada</w:t>
      </w:r>
      <w:r w:rsidR="004377CC">
        <w:rPr>
          <w:rFonts w:cs="Arial"/>
          <w:bCs/>
          <w:color w:val="000000"/>
          <w:sz w:val="24"/>
        </w:rPr>
        <w:t xml:space="preserve"> por las empresas</w:t>
      </w:r>
      <w:r w:rsidR="004B1180">
        <w:rPr>
          <w:rFonts w:cs="Arial"/>
          <w:bCs/>
          <w:color w:val="000000"/>
          <w:sz w:val="24"/>
        </w:rPr>
        <w:t>.</w:t>
      </w:r>
      <w:r w:rsidR="004377CC">
        <w:rPr>
          <w:rFonts w:cs="Arial"/>
          <w:bCs/>
          <w:color w:val="000000"/>
          <w:sz w:val="24"/>
        </w:rPr>
        <w:t xml:space="preserve"> </w:t>
      </w:r>
    </w:p>
    <w:p w14:paraId="26C6F71B" w14:textId="77777777" w:rsidR="004377CC" w:rsidRDefault="004377CC" w:rsidP="004377CC">
      <w:pPr>
        <w:pStyle w:val="Encabezado"/>
        <w:jc w:val="both"/>
        <w:rPr>
          <w:rFonts w:cs="Arial"/>
          <w:bCs/>
          <w:color w:val="000000"/>
          <w:sz w:val="24"/>
        </w:rPr>
      </w:pPr>
    </w:p>
    <w:p w14:paraId="3A0290D7" w14:textId="77777777" w:rsidR="004377CC" w:rsidRDefault="004377CC" w:rsidP="004377CC">
      <w:pPr>
        <w:pStyle w:val="Encabezado"/>
        <w:jc w:val="both"/>
        <w:rPr>
          <w:rFonts w:cs="Arial"/>
          <w:bCs/>
          <w:color w:val="000000"/>
          <w:sz w:val="24"/>
        </w:rPr>
      </w:pPr>
    </w:p>
    <w:p w14:paraId="4F5401D4" w14:textId="77777777" w:rsidR="004B184E" w:rsidRPr="007A53AB" w:rsidRDefault="004B184E" w:rsidP="004377CC">
      <w:pPr>
        <w:pStyle w:val="Encabezado"/>
        <w:jc w:val="both"/>
        <w:rPr>
          <w:rFonts w:cs="Arial"/>
          <w:bCs/>
          <w:color w:val="000000"/>
          <w:sz w:val="24"/>
        </w:rPr>
      </w:pPr>
    </w:p>
    <w:p w14:paraId="4851ED62" w14:textId="3D615E79" w:rsidR="00F91273" w:rsidRPr="004B184E" w:rsidRDefault="00672816" w:rsidP="00E31A3F">
      <w:pPr>
        <w:pStyle w:val="Ttulo2"/>
        <w:rPr>
          <w:b w:val="0"/>
          <w:sz w:val="32"/>
          <w:szCs w:val="32"/>
          <w:lang w:eastAsia="es-CL"/>
        </w:rPr>
      </w:pPr>
      <w:bookmarkStart w:id="10" w:name="_Toc471999116"/>
      <w:r w:rsidRPr="004B184E">
        <w:rPr>
          <w:b w:val="0"/>
          <w:sz w:val="32"/>
          <w:szCs w:val="32"/>
          <w:lang w:eastAsia="es-CL"/>
        </w:rPr>
        <w:t>Consumo de Combustibles</w:t>
      </w:r>
      <w:bookmarkEnd w:id="10"/>
    </w:p>
    <w:p w14:paraId="0A0C9A0D" w14:textId="77777777" w:rsidR="00F91273" w:rsidRDefault="00F91273" w:rsidP="009E3E4C">
      <w:pPr>
        <w:pStyle w:val="Encabezado"/>
        <w:jc w:val="both"/>
        <w:rPr>
          <w:b/>
          <w:sz w:val="28"/>
          <w:szCs w:val="28"/>
          <w:u w:val="single"/>
          <w:lang w:val="es-CL" w:eastAsia="es-CL"/>
        </w:rPr>
      </w:pPr>
    </w:p>
    <w:p w14:paraId="0D1A4F5C" w14:textId="77777777" w:rsidR="00D310A3" w:rsidRDefault="00F91273" w:rsidP="00D310A3">
      <w:pPr>
        <w:pStyle w:val="Encabezado"/>
        <w:tabs>
          <w:tab w:val="clear" w:pos="4252"/>
          <w:tab w:val="center" w:pos="709"/>
        </w:tabs>
        <w:spacing w:line="276" w:lineRule="auto"/>
        <w:jc w:val="both"/>
        <w:rPr>
          <w:rFonts w:cs="Arial"/>
          <w:bCs/>
          <w:color w:val="000000"/>
          <w:sz w:val="24"/>
        </w:rPr>
      </w:pPr>
      <w:r>
        <w:rPr>
          <w:rFonts w:cs="Arial"/>
          <w:bCs/>
          <w:color w:val="000000"/>
          <w:sz w:val="24"/>
        </w:rPr>
        <w:tab/>
      </w:r>
      <w:r w:rsidR="00D310A3">
        <w:rPr>
          <w:rFonts w:cs="Arial"/>
          <w:bCs/>
          <w:color w:val="000000"/>
          <w:sz w:val="24"/>
        </w:rPr>
        <w:t xml:space="preserve">El principal gasto de combustible de los centros de cultivo, está asociado al número y tipo de embarcaciones que usan en el proceso productivo de Materia Prima. </w:t>
      </w:r>
    </w:p>
    <w:p w14:paraId="0A6D8E01" w14:textId="77777777" w:rsidR="00D310A3" w:rsidRDefault="00D310A3" w:rsidP="00D310A3">
      <w:pPr>
        <w:pStyle w:val="Encabezado"/>
        <w:tabs>
          <w:tab w:val="clear" w:pos="4252"/>
          <w:tab w:val="center" w:pos="709"/>
        </w:tabs>
        <w:spacing w:line="276" w:lineRule="auto"/>
        <w:jc w:val="both"/>
        <w:rPr>
          <w:rFonts w:cs="Arial"/>
          <w:bCs/>
          <w:color w:val="000000"/>
          <w:sz w:val="24"/>
        </w:rPr>
      </w:pPr>
    </w:p>
    <w:p w14:paraId="03299A1C" w14:textId="7F81F820" w:rsidR="00D310A3" w:rsidRDefault="00D07D0D" w:rsidP="00D310A3">
      <w:pPr>
        <w:pStyle w:val="Encabezado"/>
        <w:tabs>
          <w:tab w:val="clear" w:pos="4252"/>
          <w:tab w:val="center" w:pos="709"/>
        </w:tabs>
        <w:spacing w:line="276" w:lineRule="auto"/>
        <w:jc w:val="both"/>
        <w:rPr>
          <w:rFonts w:cs="Arial"/>
          <w:bCs/>
          <w:color w:val="000000"/>
          <w:sz w:val="24"/>
        </w:rPr>
      </w:pPr>
      <w:r>
        <w:rPr>
          <w:rFonts w:cs="Arial"/>
          <w:bCs/>
          <w:color w:val="000000"/>
          <w:sz w:val="24"/>
        </w:rPr>
        <w:tab/>
      </w:r>
      <w:r w:rsidR="00D310A3">
        <w:rPr>
          <w:rFonts w:cs="Arial"/>
          <w:bCs/>
          <w:color w:val="000000"/>
          <w:sz w:val="24"/>
        </w:rPr>
        <w:t>El petróleo diesel es el combustible que se utiliza en mayor volumen para las operaciones de los centros de cultivo</w:t>
      </w:r>
      <w:r>
        <w:rPr>
          <w:rFonts w:cs="Arial"/>
          <w:bCs/>
          <w:color w:val="000000"/>
          <w:sz w:val="24"/>
        </w:rPr>
        <w:t>. El</w:t>
      </w:r>
      <w:r w:rsidR="00D310A3">
        <w:rPr>
          <w:rFonts w:cs="Arial"/>
          <w:bCs/>
          <w:color w:val="000000"/>
          <w:sz w:val="24"/>
        </w:rPr>
        <w:t xml:space="preserve"> consumo</w:t>
      </w:r>
      <w:r>
        <w:rPr>
          <w:rFonts w:cs="Arial"/>
          <w:bCs/>
          <w:color w:val="000000"/>
          <w:sz w:val="24"/>
        </w:rPr>
        <w:t xml:space="preserve"> promedio</w:t>
      </w:r>
      <w:r w:rsidR="00D310A3">
        <w:rPr>
          <w:rFonts w:cs="Arial"/>
          <w:bCs/>
          <w:color w:val="000000"/>
          <w:sz w:val="24"/>
        </w:rPr>
        <w:t xml:space="preserve"> anual del año 2015 fue de 43.216 (L), seguido de bencina de 11.290 (L) y gas  de 15.080 (Kg). </w:t>
      </w:r>
      <w:r w:rsidR="00F41B7C">
        <w:rPr>
          <w:rFonts w:cs="Arial"/>
          <w:bCs/>
          <w:color w:val="000000"/>
          <w:sz w:val="24"/>
        </w:rPr>
        <w:t xml:space="preserve">(Figura 12). </w:t>
      </w:r>
      <w:r w:rsidR="00D310A3">
        <w:rPr>
          <w:rFonts w:cs="Arial"/>
          <w:bCs/>
          <w:color w:val="000000"/>
          <w:sz w:val="24"/>
        </w:rPr>
        <w:t>El consumo promedio anual de petróleo diesel observado en centros MYPE es 1.749 (L) y en centros Grande es 41.467 (L)</w:t>
      </w:r>
      <w:r w:rsidR="00F41B7C">
        <w:rPr>
          <w:rFonts w:cs="Arial"/>
          <w:bCs/>
          <w:color w:val="000000"/>
          <w:sz w:val="24"/>
        </w:rPr>
        <w:t>. (Figura 12)</w:t>
      </w:r>
      <w:r w:rsidR="00D310A3">
        <w:rPr>
          <w:rFonts w:cs="Arial"/>
          <w:bCs/>
          <w:color w:val="000000"/>
          <w:sz w:val="24"/>
        </w:rPr>
        <w:t>. En el caso de la bencina, los centros MYPE utilizan 3.806 (L) y los Grande 7.484 (L)</w:t>
      </w:r>
      <w:r w:rsidR="00F41B7C">
        <w:rPr>
          <w:rFonts w:cs="Arial"/>
          <w:bCs/>
          <w:color w:val="000000"/>
          <w:sz w:val="24"/>
        </w:rPr>
        <w:t xml:space="preserve"> (Figura 12)</w:t>
      </w:r>
      <w:r w:rsidR="00D310A3">
        <w:rPr>
          <w:rFonts w:cs="Arial"/>
          <w:bCs/>
          <w:color w:val="000000"/>
          <w:sz w:val="24"/>
        </w:rPr>
        <w:t>.</w:t>
      </w:r>
      <w:r>
        <w:rPr>
          <w:rFonts w:cs="Arial"/>
          <w:bCs/>
          <w:color w:val="000000"/>
          <w:sz w:val="24"/>
        </w:rPr>
        <w:t xml:space="preserve"> El gas promedio utilizado por empresas MYPE es 65 (Kg), en cambio las empresas Grande</w:t>
      </w:r>
      <w:r w:rsidR="00F41B7C">
        <w:rPr>
          <w:rFonts w:cs="Arial"/>
          <w:bCs/>
          <w:color w:val="000000"/>
          <w:sz w:val="24"/>
        </w:rPr>
        <w:t xml:space="preserve"> consumen 15.015 (Kg) </w:t>
      </w:r>
      <w:r w:rsidR="00F41B7C">
        <w:rPr>
          <w:rFonts w:cs="Arial"/>
          <w:bCs/>
          <w:color w:val="000000"/>
          <w:sz w:val="24"/>
        </w:rPr>
        <w:lastRenderedPageBreak/>
        <w:t>(Figura 12</w:t>
      </w:r>
      <w:r>
        <w:rPr>
          <w:rFonts w:cs="Arial"/>
          <w:bCs/>
          <w:color w:val="000000"/>
          <w:sz w:val="24"/>
        </w:rPr>
        <w:t>).</w:t>
      </w:r>
      <w:r w:rsidR="00D310A3">
        <w:rPr>
          <w:rFonts w:cs="Arial"/>
          <w:bCs/>
          <w:color w:val="000000"/>
          <w:sz w:val="24"/>
        </w:rPr>
        <w:t xml:space="preserve"> </w:t>
      </w:r>
      <w:r>
        <w:rPr>
          <w:rFonts w:cs="Arial"/>
          <w:bCs/>
          <w:color w:val="000000"/>
          <w:sz w:val="24"/>
        </w:rPr>
        <w:t>Cabe señalar que las empresas MYPE, utilizan solamente gas en el casino del personal, mientras que hay 3 empresas Grande que utilizan gas para la operación de los motores fuera de borda y el casino.</w:t>
      </w:r>
    </w:p>
    <w:p w14:paraId="1147C488" w14:textId="77777777" w:rsidR="00D07D0D" w:rsidRDefault="00D07D0D" w:rsidP="00D310A3">
      <w:pPr>
        <w:pStyle w:val="Encabezado"/>
        <w:tabs>
          <w:tab w:val="clear" w:pos="4252"/>
          <w:tab w:val="center" w:pos="709"/>
        </w:tabs>
        <w:spacing w:line="276" w:lineRule="auto"/>
        <w:jc w:val="both"/>
        <w:rPr>
          <w:rFonts w:cs="Arial"/>
          <w:bCs/>
          <w:color w:val="000000"/>
          <w:sz w:val="24"/>
        </w:rPr>
      </w:pPr>
      <w:r>
        <w:rPr>
          <w:rFonts w:cs="Arial"/>
          <w:bCs/>
          <w:color w:val="000000"/>
          <w:sz w:val="24"/>
        </w:rPr>
        <w:tab/>
      </w:r>
      <w:r>
        <w:rPr>
          <w:rFonts w:cs="Arial"/>
          <w:bCs/>
          <w:color w:val="000000"/>
          <w:sz w:val="24"/>
        </w:rPr>
        <w:tab/>
      </w:r>
    </w:p>
    <w:p w14:paraId="077E1CDE" w14:textId="3818EC12" w:rsidR="00F967A0" w:rsidRDefault="00D07D0D" w:rsidP="00207C9A">
      <w:pPr>
        <w:pStyle w:val="Encabezado"/>
        <w:tabs>
          <w:tab w:val="clear" w:pos="4252"/>
          <w:tab w:val="center" w:pos="709"/>
        </w:tabs>
        <w:spacing w:line="276" w:lineRule="auto"/>
        <w:jc w:val="both"/>
        <w:rPr>
          <w:rFonts w:cs="Arial"/>
          <w:bCs/>
          <w:color w:val="000000"/>
          <w:sz w:val="24"/>
        </w:rPr>
      </w:pPr>
      <w:r>
        <w:rPr>
          <w:rFonts w:cs="Arial"/>
          <w:bCs/>
          <w:color w:val="000000"/>
          <w:sz w:val="24"/>
        </w:rPr>
        <w:t>Las</w:t>
      </w:r>
      <w:r w:rsidR="00D310A3">
        <w:rPr>
          <w:rFonts w:cs="Arial"/>
          <w:bCs/>
          <w:color w:val="000000"/>
          <w:sz w:val="24"/>
        </w:rPr>
        <w:t xml:space="preserve"> diferencias de</w:t>
      </w:r>
      <w:r>
        <w:rPr>
          <w:rFonts w:cs="Arial"/>
          <w:bCs/>
          <w:color w:val="000000"/>
          <w:sz w:val="24"/>
        </w:rPr>
        <w:t>l consumo</w:t>
      </w:r>
      <w:r w:rsidR="00D310A3">
        <w:rPr>
          <w:rFonts w:cs="Arial"/>
          <w:bCs/>
          <w:color w:val="000000"/>
          <w:sz w:val="24"/>
        </w:rPr>
        <w:t xml:space="preserve"> de combustible observad</w:t>
      </w:r>
      <w:r w:rsidR="0036423F">
        <w:rPr>
          <w:rFonts w:cs="Arial"/>
          <w:bCs/>
          <w:color w:val="000000"/>
          <w:sz w:val="24"/>
        </w:rPr>
        <w:t>o</w:t>
      </w:r>
      <w:r w:rsidR="00D310A3">
        <w:rPr>
          <w:rFonts w:cs="Arial"/>
          <w:bCs/>
          <w:color w:val="000000"/>
          <w:sz w:val="24"/>
        </w:rPr>
        <w:t xml:space="preserve"> entre centros MYPE y Grande</w:t>
      </w:r>
      <w:r>
        <w:rPr>
          <w:rFonts w:cs="Arial"/>
          <w:bCs/>
          <w:color w:val="000000"/>
          <w:sz w:val="24"/>
        </w:rPr>
        <w:t>,</w:t>
      </w:r>
      <w:r w:rsidR="00D310A3">
        <w:rPr>
          <w:rFonts w:cs="Arial"/>
          <w:bCs/>
          <w:color w:val="000000"/>
          <w:sz w:val="24"/>
        </w:rPr>
        <w:t xml:space="preserve"> está relacionada </w:t>
      </w:r>
      <w:r>
        <w:rPr>
          <w:rFonts w:cs="Arial"/>
          <w:bCs/>
          <w:color w:val="000000"/>
          <w:sz w:val="24"/>
        </w:rPr>
        <w:t>al</w:t>
      </w:r>
      <w:r w:rsidR="00D310A3">
        <w:rPr>
          <w:rFonts w:cs="Arial"/>
          <w:bCs/>
          <w:color w:val="000000"/>
          <w:sz w:val="24"/>
        </w:rPr>
        <w:t xml:space="preserve"> tipo de combustible utilizado</w:t>
      </w:r>
      <w:r w:rsidR="0036423F">
        <w:rPr>
          <w:rFonts w:cs="Arial"/>
          <w:bCs/>
          <w:color w:val="000000"/>
          <w:sz w:val="24"/>
        </w:rPr>
        <w:t xml:space="preserve"> para la operación de sus embarcaciones</w:t>
      </w:r>
      <w:r w:rsidR="00D310A3">
        <w:rPr>
          <w:rFonts w:cs="Arial"/>
          <w:bCs/>
          <w:color w:val="000000"/>
          <w:sz w:val="24"/>
        </w:rPr>
        <w:t>.</w:t>
      </w:r>
      <w:r w:rsidR="00D310A3">
        <w:rPr>
          <w:rFonts w:cs="Arial"/>
          <w:bCs/>
          <w:color w:val="000000"/>
          <w:sz w:val="24"/>
        </w:rPr>
        <w:tab/>
        <w:t>Todos los centros de categoría MYPE, utilizan solamente bencina para los motores fuera de borda, en cambio los centros de cultivo Grande consumen bencina y gas. Además,  la mayoría de los centros cultivo de categoría Grande poseen embarcaciones de mayor tamaño, las cuales consumen petróleo diesel en grandes volúmenes para su funcionamiento</w:t>
      </w:r>
      <w:r w:rsidR="00F967A0">
        <w:rPr>
          <w:rFonts w:cs="Arial"/>
          <w:bCs/>
          <w:color w:val="000000"/>
          <w:sz w:val="24"/>
        </w:rPr>
        <w:t xml:space="preserve"> y operan los 12 meses del año, en cambio los centros de cultivo MYPE de acuerdo a las toneladas de producción, realizan sus actividades de siembra y cosecha en menor cantidad de meses</w:t>
      </w:r>
      <w:r w:rsidR="00D310A3">
        <w:rPr>
          <w:rFonts w:cs="Arial"/>
          <w:bCs/>
          <w:color w:val="000000"/>
          <w:sz w:val="24"/>
        </w:rPr>
        <w:t>.</w:t>
      </w:r>
    </w:p>
    <w:p w14:paraId="2F334690" w14:textId="77777777" w:rsidR="00F967A0" w:rsidRDefault="00F967A0" w:rsidP="0036423F">
      <w:pPr>
        <w:pStyle w:val="Encabezado"/>
        <w:tabs>
          <w:tab w:val="clear" w:pos="4252"/>
          <w:tab w:val="center" w:pos="709"/>
        </w:tabs>
        <w:spacing w:line="276" w:lineRule="auto"/>
        <w:ind w:firstLine="709"/>
        <w:jc w:val="both"/>
        <w:rPr>
          <w:rFonts w:cs="Arial"/>
          <w:bCs/>
          <w:color w:val="000000"/>
          <w:sz w:val="24"/>
        </w:rPr>
      </w:pPr>
    </w:p>
    <w:p w14:paraId="334F4512" w14:textId="708772E5" w:rsidR="00B34693" w:rsidRDefault="00F967A0" w:rsidP="00DD5FC5">
      <w:pPr>
        <w:pStyle w:val="Encabezado"/>
        <w:tabs>
          <w:tab w:val="clear" w:pos="4252"/>
          <w:tab w:val="center" w:pos="709"/>
        </w:tabs>
        <w:spacing w:line="276" w:lineRule="auto"/>
        <w:ind w:firstLine="709"/>
        <w:jc w:val="both"/>
        <w:rPr>
          <w:rFonts w:cs="Arial"/>
          <w:bCs/>
          <w:color w:val="000000"/>
          <w:sz w:val="24"/>
        </w:rPr>
      </w:pPr>
      <w:r>
        <w:rPr>
          <w:noProof/>
          <w:lang w:val="es-CL" w:eastAsia="es-CL"/>
        </w:rPr>
        <w:drawing>
          <wp:inline distT="0" distB="0" distL="0" distR="0" wp14:anchorId="30F263FC" wp14:editId="1246CECD">
            <wp:extent cx="1671011" cy="2768678"/>
            <wp:effectExtent l="0" t="0" r="24765" b="12700"/>
            <wp:docPr id="5151" name="Gráfico 515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r>
        <w:rPr>
          <w:noProof/>
          <w:lang w:val="es-CL" w:eastAsia="es-CL"/>
        </w:rPr>
        <w:drawing>
          <wp:inline distT="0" distB="0" distL="0" distR="0" wp14:anchorId="788A8DA4" wp14:editId="28F62C17">
            <wp:extent cx="1598084" cy="2772834"/>
            <wp:effectExtent l="0" t="0" r="21590" b="27940"/>
            <wp:docPr id="5149" name="Gráfico 5149"/>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r>
        <w:rPr>
          <w:noProof/>
          <w:lang w:val="es-CL" w:eastAsia="es-CL"/>
        </w:rPr>
        <w:drawing>
          <wp:inline distT="0" distB="0" distL="0" distR="0" wp14:anchorId="29C1F1A7" wp14:editId="0706285B">
            <wp:extent cx="1598084" cy="2772834"/>
            <wp:effectExtent l="0" t="0" r="21590" b="27940"/>
            <wp:docPr id="5150" name="Gráfico 5150"/>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r w:rsidR="00F91273">
        <w:rPr>
          <w:rFonts w:cs="Arial"/>
          <w:bCs/>
          <w:color w:val="000000"/>
          <w:sz w:val="24"/>
        </w:rPr>
        <w:t xml:space="preserve"> </w:t>
      </w:r>
      <w:r>
        <w:rPr>
          <w:rFonts w:cs="Arial"/>
          <w:b/>
          <w:bCs/>
          <w:color w:val="000000"/>
          <w:sz w:val="24"/>
        </w:rPr>
        <w:t>Figura 12</w:t>
      </w:r>
      <w:r w:rsidR="0025380D" w:rsidRPr="00B95410">
        <w:rPr>
          <w:rFonts w:cs="Arial"/>
          <w:bCs/>
          <w:color w:val="000000"/>
          <w:sz w:val="24"/>
        </w:rPr>
        <w:t>. Consumo de energía eléctrica</w:t>
      </w:r>
      <w:r w:rsidR="007E12BD">
        <w:rPr>
          <w:rFonts w:cs="Arial"/>
          <w:bCs/>
          <w:color w:val="000000"/>
          <w:sz w:val="24"/>
        </w:rPr>
        <w:t xml:space="preserve"> y </w:t>
      </w:r>
      <w:r w:rsidR="0025380D" w:rsidRPr="00B95410">
        <w:rPr>
          <w:rFonts w:cs="Arial"/>
          <w:bCs/>
          <w:color w:val="000000"/>
          <w:sz w:val="24"/>
        </w:rPr>
        <w:t>utilizada</w:t>
      </w:r>
      <w:r w:rsidR="0025380D">
        <w:rPr>
          <w:rFonts w:cs="Arial"/>
          <w:bCs/>
          <w:color w:val="000000"/>
          <w:sz w:val="24"/>
        </w:rPr>
        <w:t xml:space="preserve"> por las empresas en la</w:t>
      </w:r>
      <w:r w:rsidR="007E12BD">
        <w:rPr>
          <w:rFonts w:cs="Arial"/>
          <w:bCs/>
          <w:color w:val="000000"/>
          <w:sz w:val="24"/>
        </w:rPr>
        <w:t xml:space="preserve"> elaboración por tonelada de producto final.</w:t>
      </w:r>
    </w:p>
    <w:p w14:paraId="60F446B5" w14:textId="77777777" w:rsidR="00D276F2" w:rsidRDefault="00D276F2" w:rsidP="00DD5FC5">
      <w:pPr>
        <w:pStyle w:val="Encabezado"/>
        <w:tabs>
          <w:tab w:val="clear" w:pos="4252"/>
          <w:tab w:val="center" w:pos="709"/>
        </w:tabs>
        <w:spacing w:line="276" w:lineRule="auto"/>
        <w:ind w:firstLine="709"/>
        <w:jc w:val="both"/>
        <w:rPr>
          <w:rFonts w:cs="Arial"/>
          <w:bCs/>
          <w:color w:val="000000"/>
          <w:sz w:val="24"/>
        </w:rPr>
      </w:pPr>
    </w:p>
    <w:p w14:paraId="00991CF3" w14:textId="77777777" w:rsidR="00DD5FC5" w:rsidRDefault="00DD5FC5" w:rsidP="00DD5FC5">
      <w:pPr>
        <w:pStyle w:val="Encabezado"/>
        <w:tabs>
          <w:tab w:val="clear" w:pos="4252"/>
          <w:tab w:val="center" w:pos="709"/>
        </w:tabs>
        <w:spacing w:line="276" w:lineRule="auto"/>
        <w:ind w:firstLine="709"/>
        <w:jc w:val="both"/>
        <w:rPr>
          <w:rFonts w:cs="Arial"/>
          <w:bCs/>
          <w:color w:val="000000"/>
          <w:sz w:val="24"/>
        </w:rPr>
      </w:pPr>
    </w:p>
    <w:p w14:paraId="16498AAA" w14:textId="77777777" w:rsidR="00D276F2" w:rsidRDefault="00D276F2" w:rsidP="00D276F2">
      <w:pPr>
        <w:pStyle w:val="Ttulo2"/>
        <w:spacing w:before="0"/>
        <w:rPr>
          <w:b w:val="0"/>
          <w:sz w:val="32"/>
          <w:szCs w:val="32"/>
          <w:lang w:eastAsia="es-CL"/>
        </w:rPr>
      </w:pPr>
    </w:p>
    <w:p w14:paraId="1190DACB" w14:textId="4071E0DB" w:rsidR="00033BC8" w:rsidRPr="004B184E" w:rsidRDefault="0036423F" w:rsidP="00E31A3F">
      <w:pPr>
        <w:pStyle w:val="Ttulo2"/>
        <w:rPr>
          <w:b w:val="0"/>
          <w:sz w:val="32"/>
          <w:szCs w:val="32"/>
          <w:lang w:eastAsia="es-CL"/>
        </w:rPr>
      </w:pPr>
      <w:bookmarkStart w:id="11" w:name="_Toc471999117"/>
      <w:r w:rsidRPr="004B184E">
        <w:rPr>
          <w:b w:val="0"/>
          <w:sz w:val="32"/>
          <w:szCs w:val="32"/>
          <w:lang w:eastAsia="es-CL"/>
        </w:rPr>
        <w:t>B</w:t>
      </w:r>
      <w:r w:rsidR="00033BC8" w:rsidRPr="004B184E">
        <w:rPr>
          <w:b w:val="0"/>
          <w:sz w:val="32"/>
          <w:szCs w:val="32"/>
          <w:lang w:eastAsia="es-CL"/>
        </w:rPr>
        <w:t>odegas o sitios de almacenamiento</w:t>
      </w:r>
      <w:bookmarkEnd w:id="11"/>
    </w:p>
    <w:p w14:paraId="65B6C9EE" w14:textId="77777777" w:rsidR="00E379B6" w:rsidRDefault="00E379B6" w:rsidP="00732ABA">
      <w:pPr>
        <w:pStyle w:val="Encabezado"/>
        <w:jc w:val="both"/>
        <w:rPr>
          <w:rFonts w:cs="Arial"/>
          <w:bCs/>
          <w:color w:val="000000"/>
          <w:sz w:val="24"/>
        </w:rPr>
      </w:pPr>
    </w:p>
    <w:p w14:paraId="4006BC8B" w14:textId="2F253F8A" w:rsidR="00A52318" w:rsidRDefault="00AD7DAC" w:rsidP="00207C9A">
      <w:pPr>
        <w:pStyle w:val="Encabezado"/>
        <w:tabs>
          <w:tab w:val="clear" w:pos="4252"/>
          <w:tab w:val="center" w:pos="0"/>
        </w:tabs>
        <w:spacing w:line="276" w:lineRule="auto"/>
        <w:jc w:val="both"/>
        <w:rPr>
          <w:rFonts w:cs="Arial"/>
          <w:bCs/>
          <w:color w:val="000000"/>
          <w:sz w:val="24"/>
        </w:rPr>
      </w:pPr>
      <w:r>
        <w:rPr>
          <w:rFonts w:cs="Arial"/>
          <w:bCs/>
          <w:color w:val="000000"/>
          <w:sz w:val="24"/>
        </w:rPr>
        <w:t>Se define b</w:t>
      </w:r>
      <w:r w:rsidR="00033BC8">
        <w:rPr>
          <w:rFonts w:cs="Arial"/>
          <w:bCs/>
          <w:color w:val="000000"/>
          <w:sz w:val="24"/>
        </w:rPr>
        <w:t>odegas o sitios de almacenamiento</w:t>
      </w:r>
      <w:r>
        <w:rPr>
          <w:rFonts w:cs="Arial"/>
          <w:bCs/>
          <w:color w:val="000000"/>
          <w:sz w:val="24"/>
        </w:rPr>
        <w:t xml:space="preserve"> a la acumulación </w:t>
      </w:r>
      <w:r w:rsidR="00033BC8">
        <w:rPr>
          <w:rFonts w:cs="Arial"/>
          <w:bCs/>
          <w:color w:val="000000"/>
          <w:sz w:val="24"/>
        </w:rPr>
        <w:t>de materias primas, insumos</w:t>
      </w:r>
      <w:r w:rsidR="00472E38">
        <w:rPr>
          <w:rFonts w:cs="Arial"/>
          <w:bCs/>
          <w:color w:val="000000"/>
          <w:sz w:val="24"/>
        </w:rPr>
        <w:t xml:space="preserve"> y</w:t>
      </w:r>
      <w:r w:rsidR="00967039">
        <w:rPr>
          <w:rFonts w:cs="Arial"/>
          <w:bCs/>
          <w:color w:val="000000"/>
          <w:sz w:val="24"/>
        </w:rPr>
        <w:t xml:space="preserve"> producto terminado </w:t>
      </w:r>
      <w:r w:rsidR="005C4D64">
        <w:rPr>
          <w:rFonts w:cs="Arial"/>
          <w:bCs/>
          <w:color w:val="000000"/>
          <w:sz w:val="24"/>
        </w:rPr>
        <w:t>en un lugar específico</w:t>
      </w:r>
      <w:r>
        <w:rPr>
          <w:rFonts w:cs="Arial"/>
          <w:bCs/>
          <w:color w:val="000000"/>
          <w:sz w:val="24"/>
        </w:rPr>
        <w:t xml:space="preserve"> y</w:t>
      </w:r>
      <w:r w:rsidR="005C4D64">
        <w:rPr>
          <w:rFonts w:cs="Arial"/>
          <w:bCs/>
          <w:color w:val="000000"/>
          <w:sz w:val="24"/>
        </w:rPr>
        <w:t xml:space="preserve"> por un tiempo determinado. </w:t>
      </w:r>
      <w:r w:rsidR="002E70A2">
        <w:rPr>
          <w:rFonts w:cs="Arial"/>
          <w:bCs/>
          <w:color w:val="000000"/>
          <w:sz w:val="24"/>
        </w:rPr>
        <w:t xml:space="preserve">  </w:t>
      </w:r>
      <w:r w:rsidR="00472E38">
        <w:rPr>
          <w:rFonts w:cs="Arial"/>
          <w:bCs/>
          <w:color w:val="000000"/>
          <w:sz w:val="24"/>
        </w:rPr>
        <w:t xml:space="preserve"> </w:t>
      </w:r>
    </w:p>
    <w:p w14:paraId="257D5172" w14:textId="77777777" w:rsidR="007E12BD" w:rsidRDefault="007E12BD" w:rsidP="00FB5B2B">
      <w:pPr>
        <w:pStyle w:val="Encabezado"/>
        <w:spacing w:line="276" w:lineRule="auto"/>
        <w:jc w:val="both"/>
        <w:rPr>
          <w:rFonts w:cs="Arial"/>
          <w:bCs/>
          <w:color w:val="000000"/>
          <w:sz w:val="24"/>
        </w:rPr>
      </w:pPr>
      <w:r>
        <w:rPr>
          <w:rFonts w:cs="Arial"/>
          <w:bCs/>
          <w:color w:val="000000"/>
          <w:sz w:val="24"/>
        </w:rPr>
        <w:tab/>
      </w:r>
    </w:p>
    <w:p w14:paraId="3BF3EBB3" w14:textId="4303522C" w:rsidR="00741141" w:rsidRDefault="00AD7DAC" w:rsidP="00207C9A">
      <w:pPr>
        <w:pStyle w:val="Encabezado"/>
        <w:tabs>
          <w:tab w:val="clear" w:pos="4252"/>
          <w:tab w:val="center" w:pos="0"/>
        </w:tabs>
        <w:spacing w:line="276" w:lineRule="auto"/>
        <w:jc w:val="both"/>
        <w:rPr>
          <w:rFonts w:cs="Arial"/>
          <w:bCs/>
          <w:color w:val="000000"/>
          <w:sz w:val="24"/>
        </w:rPr>
      </w:pPr>
      <w:r>
        <w:rPr>
          <w:rFonts w:cs="Arial"/>
          <w:bCs/>
          <w:color w:val="000000"/>
          <w:sz w:val="24"/>
        </w:rPr>
        <w:t>El</w:t>
      </w:r>
      <w:r w:rsidR="008463D2">
        <w:rPr>
          <w:rFonts w:cs="Arial"/>
          <w:bCs/>
          <w:color w:val="000000"/>
          <w:sz w:val="24"/>
        </w:rPr>
        <w:t xml:space="preserve"> D.S. N° 148/</w:t>
      </w:r>
      <w:r w:rsidR="008463D2" w:rsidRPr="005C4D64">
        <w:rPr>
          <w:rFonts w:cs="Arial"/>
          <w:bCs/>
          <w:color w:val="000000"/>
          <w:sz w:val="24"/>
        </w:rPr>
        <w:t>2004</w:t>
      </w:r>
      <w:r w:rsidR="008463D2">
        <w:rPr>
          <w:rFonts w:cs="Arial"/>
          <w:bCs/>
          <w:color w:val="000000"/>
          <w:sz w:val="24"/>
        </w:rPr>
        <w:t>, que “A</w:t>
      </w:r>
      <w:r w:rsidR="008463D2" w:rsidRPr="007F10D0">
        <w:rPr>
          <w:rFonts w:cs="Arial"/>
          <w:bCs/>
          <w:color w:val="000000"/>
          <w:sz w:val="24"/>
        </w:rPr>
        <w:t>prueba reglamento sanitario sobre manejo de residuos</w:t>
      </w:r>
      <w:r w:rsidR="008463D2">
        <w:rPr>
          <w:rFonts w:cs="Arial"/>
          <w:bCs/>
          <w:color w:val="000000"/>
          <w:sz w:val="24"/>
        </w:rPr>
        <w:t xml:space="preserve"> </w:t>
      </w:r>
      <w:r w:rsidR="008463D2" w:rsidRPr="007F10D0">
        <w:rPr>
          <w:rFonts w:cs="Arial"/>
          <w:bCs/>
          <w:color w:val="000000"/>
          <w:sz w:val="24"/>
        </w:rPr>
        <w:t>peligrosos</w:t>
      </w:r>
      <w:r w:rsidR="0016465E">
        <w:rPr>
          <w:rFonts w:cs="Arial"/>
          <w:bCs/>
          <w:color w:val="000000"/>
          <w:sz w:val="24"/>
        </w:rPr>
        <w:t>”</w:t>
      </w:r>
      <w:r w:rsidR="008463D2">
        <w:rPr>
          <w:rFonts w:cs="Arial"/>
          <w:bCs/>
          <w:color w:val="000000"/>
          <w:sz w:val="24"/>
        </w:rPr>
        <w:t xml:space="preserve">, </w:t>
      </w:r>
      <w:r w:rsidR="00412391">
        <w:rPr>
          <w:rFonts w:cs="Arial"/>
          <w:bCs/>
          <w:color w:val="000000"/>
          <w:sz w:val="24"/>
        </w:rPr>
        <w:t xml:space="preserve">establece que </w:t>
      </w:r>
      <w:r w:rsidR="008463D2">
        <w:rPr>
          <w:rFonts w:cs="Arial"/>
          <w:bCs/>
          <w:color w:val="000000"/>
          <w:sz w:val="24"/>
        </w:rPr>
        <w:t xml:space="preserve">los sitios de almacenamiento </w:t>
      </w:r>
      <w:r w:rsidR="00412391">
        <w:rPr>
          <w:rFonts w:cs="Arial"/>
          <w:bCs/>
          <w:color w:val="000000"/>
          <w:sz w:val="24"/>
        </w:rPr>
        <w:t xml:space="preserve">de residuos peligrosos deben poseer características </w:t>
      </w:r>
      <w:r w:rsidR="008463D2">
        <w:rPr>
          <w:rFonts w:cs="Arial"/>
          <w:bCs/>
          <w:color w:val="000000"/>
          <w:sz w:val="24"/>
        </w:rPr>
        <w:t>como r</w:t>
      </w:r>
      <w:r w:rsidR="00412391">
        <w:rPr>
          <w:rFonts w:cs="Arial"/>
          <w:bCs/>
          <w:color w:val="000000"/>
          <w:sz w:val="24"/>
        </w:rPr>
        <w:t xml:space="preserve">esistencia al fuego </w:t>
      </w:r>
      <w:r w:rsidR="008463D2" w:rsidRPr="005C4D64">
        <w:rPr>
          <w:rFonts w:cs="Arial"/>
          <w:bCs/>
          <w:color w:val="000000"/>
          <w:sz w:val="24"/>
        </w:rPr>
        <w:t>asociado al estudio de carga combustible</w:t>
      </w:r>
      <w:r w:rsidR="008463D2">
        <w:rPr>
          <w:rFonts w:cs="Arial"/>
          <w:bCs/>
          <w:color w:val="000000"/>
          <w:sz w:val="24"/>
        </w:rPr>
        <w:t>, s</w:t>
      </w:r>
      <w:r w:rsidR="008463D2" w:rsidRPr="005C4D64">
        <w:rPr>
          <w:rFonts w:cs="Arial"/>
          <w:bCs/>
          <w:color w:val="000000"/>
          <w:sz w:val="24"/>
        </w:rPr>
        <w:t>istema de contención de derrames, considerando cámaras independientes ante derrames incompatibles</w:t>
      </w:r>
      <w:r w:rsidR="008463D2">
        <w:rPr>
          <w:rFonts w:cs="Arial"/>
          <w:bCs/>
          <w:color w:val="000000"/>
          <w:sz w:val="24"/>
        </w:rPr>
        <w:t xml:space="preserve"> y v</w:t>
      </w:r>
      <w:r w:rsidR="008463D2" w:rsidRPr="005C4D64">
        <w:rPr>
          <w:rFonts w:cs="Arial"/>
          <w:bCs/>
          <w:color w:val="000000"/>
          <w:sz w:val="24"/>
        </w:rPr>
        <w:t>entilación suficiente para cambiar el volumen de aire al interior impidiendo el acceso de cuerpos extraños.</w:t>
      </w:r>
      <w:r w:rsidR="008463D2">
        <w:rPr>
          <w:rFonts w:cs="Arial"/>
          <w:bCs/>
          <w:color w:val="000000"/>
          <w:sz w:val="24"/>
        </w:rPr>
        <w:t xml:space="preserve"> Las características </w:t>
      </w:r>
      <w:r w:rsidR="009C73CB">
        <w:rPr>
          <w:rFonts w:cs="Arial"/>
          <w:bCs/>
          <w:color w:val="000000"/>
          <w:sz w:val="24"/>
        </w:rPr>
        <w:t>de r</w:t>
      </w:r>
      <w:r w:rsidR="009F5FEE">
        <w:rPr>
          <w:rFonts w:cs="Arial"/>
          <w:bCs/>
          <w:color w:val="000000"/>
          <w:sz w:val="24"/>
        </w:rPr>
        <w:t xml:space="preserve">esiduos peligrosos </w:t>
      </w:r>
      <w:r w:rsidR="009C73CB">
        <w:rPr>
          <w:rFonts w:cs="Arial"/>
          <w:bCs/>
          <w:color w:val="000000"/>
          <w:sz w:val="24"/>
        </w:rPr>
        <w:t>poseen</w:t>
      </w:r>
      <w:r w:rsidR="005C4D64" w:rsidRPr="005C4D64">
        <w:rPr>
          <w:rFonts w:cs="Arial"/>
          <w:bCs/>
          <w:color w:val="000000"/>
          <w:sz w:val="24"/>
        </w:rPr>
        <w:t xml:space="preserve"> propiedades intrínsecas que presentan riesgos en la salud y el medio ambiente.</w:t>
      </w:r>
      <w:r w:rsidR="005C4D64">
        <w:rPr>
          <w:rFonts w:cs="Arial"/>
          <w:bCs/>
          <w:color w:val="000000"/>
          <w:sz w:val="24"/>
        </w:rPr>
        <w:t xml:space="preserve"> </w:t>
      </w:r>
    </w:p>
    <w:p w14:paraId="11397592" w14:textId="77777777" w:rsidR="00207C9A" w:rsidRDefault="00207C9A" w:rsidP="00207C9A">
      <w:pPr>
        <w:pStyle w:val="Encabezado"/>
        <w:tabs>
          <w:tab w:val="clear" w:pos="4252"/>
          <w:tab w:val="center" w:pos="0"/>
        </w:tabs>
        <w:spacing w:line="276" w:lineRule="auto"/>
        <w:jc w:val="both"/>
        <w:rPr>
          <w:rFonts w:cs="Arial"/>
          <w:bCs/>
          <w:color w:val="000000"/>
          <w:sz w:val="24"/>
        </w:rPr>
      </w:pPr>
    </w:p>
    <w:p w14:paraId="0D4D75D1" w14:textId="5E3F05CD" w:rsidR="00751C26" w:rsidRDefault="00741141" w:rsidP="00207C9A">
      <w:pPr>
        <w:pStyle w:val="Encabezado"/>
        <w:tabs>
          <w:tab w:val="clear" w:pos="4252"/>
          <w:tab w:val="center" w:pos="0"/>
        </w:tabs>
        <w:spacing w:line="276" w:lineRule="auto"/>
        <w:jc w:val="both"/>
        <w:rPr>
          <w:rFonts w:cs="Arial"/>
          <w:bCs/>
          <w:color w:val="000000"/>
          <w:sz w:val="24"/>
        </w:rPr>
      </w:pPr>
      <w:r>
        <w:rPr>
          <w:rFonts w:cs="Arial"/>
          <w:bCs/>
          <w:color w:val="000000"/>
          <w:sz w:val="24"/>
        </w:rPr>
        <w:t xml:space="preserve">Señalar, que todas las bodegas de almacenamiento de residuos peligrosos requieren de autorización sanitaria, para lo cual deben completar </w:t>
      </w:r>
      <w:r w:rsidRPr="00420723">
        <w:rPr>
          <w:rFonts w:cs="Arial"/>
          <w:bCs/>
          <w:color w:val="000000"/>
          <w:sz w:val="24"/>
        </w:rPr>
        <w:t xml:space="preserve">el formulario </w:t>
      </w:r>
      <w:r>
        <w:rPr>
          <w:rFonts w:cs="Arial"/>
          <w:bCs/>
          <w:color w:val="000000"/>
          <w:sz w:val="24"/>
        </w:rPr>
        <w:t>que encuentra en la página de la SEREMI de Salud. Este formulario debe ser</w:t>
      </w:r>
      <w:r w:rsidRPr="00420723">
        <w:rPr>
          <w:rFonts w:cs="Arial"/>
          <w:bCs/>
          <w:color w:val="000000"/>
          <w:sz w:val="24"/>
        </w:rPr>
        <w:t xml:space="preserve"> firmado por el</w:t>
      </w:r>
      <w:r>
        <w:rPr>
          <w:rFonts w:cs="Arial"/>
          <w:bCs/>
          <w:color w:val="000000"/>
          <w:sz w:val="24"/>
        </w:rPr>
        <w:t xml:space="preserve"> </w:t>
      </w:r>
      <w:r w:rsidRPr="00420723">
        <w:rPr>
          <w:rFonts w:cs="Arial"/>
          <w:bCs/>
          <w:color w:val="000000"/>
          <w:sz w:val="24"/>
        </w:rPr>
        <w:t>representante legal o propietario de la</w:t>
      </w:r>
      <w:r>
        <w:rPr>
          <w:rFonts w:cs="Arial"/>
          <w:bCs/>
          <w:color w:val="000000"/>
          <w:sz w:val="24"/>
        </w:rPr>
        <w:t xml:space="preserve"> </w:t>
      </w:r>
      <w:r w:rsidRPr="00420723">
        <w:rPr>
          <w:rFonts w:cs="Arial"/>
          <w:bCs/>
          <w:color w:val="000000"/>
          <w:sz w:val="24"/>
        </w:rPr>
        <w:t>actividad, zonificarlo en la dirección de obras</w:t>
      </w:r>
      <w:r>
        <w:rPr>
          <w:rFonts w:cs="Arial"/>
          <w:bCs/>
          <w:color w:val="000000"/>
          <w:sz w:val="24"/>
        </w:rPr>
        <w:t xml:space="preserve"> </w:t>
      </w:r>
      <w:r w:rsidRPr="00420723">
        <w:rPr>
          <w:rFonts w:cs="Arial"/>
          <w:bCs/>
          <w:color w:val="000000"/>
          <w:sz w:val="24"/>
        </w:rPr>
        <w:t>de la comun</w:t>
      </w:r>
      <w:r>
        <w:rPr>
          <w:rFonts w:cs="Arial"/>
          <w:bCs/>
          <w:color w:val="000000"/>
          <w:sz w:val="24"/>
        </w:rPr>
        <w:t>a, donde se ubique su actividad y a</w:t>
      </w:r>
      <w:r w:rsidRPr="00420723">
        <w:rPr>
          <w:rFonts w:cs="Arial"/>
          <w:bCs/>
          <w:color w:val="000000"/>
          <w:sz w:val="24"/>
        </w:rPr>
        <w:t xml:space="preserve">djuntar </w:t>
      </w:r>
      <w:r>
        <w:rPr>
          <w:rFonts w:cs="Arial"/>
          <w:bCs/>
          <w:color w:val="000000"/>
          <w:sz w:val="24"/>
        </w:rPr>
        <w:t>toda la información solicitada. A continuación la</w:t>
      </w:r>
      <w:r w:rsidRPr="00420723">
        <w:rPr>
          <w:rFonts w:cs="Arial"/>
          <w:bCs/>
          <w:color w:val="000000"/>
          <w:sz w:val="24"/>
        </w:rPr>
        <w:t xml:space="preserve"> SEREMI </w:t>
      </w:r>
      <w:r>
        <w:rPr>
          <w:rFonts w:cs="Arial"/>
          <w:bCs/>
          <w:color w:val="000000"/>
          <w:sz w:val="24"/>
        </w:rPr>
        <w:t>de Salud</w:t>
      </w:r>
      <w:r w:rsidRPr="00420723">
        <w:rPr>
          <w:rFonts w:cs="Arial"/>
          <w:bCs/>
          <w:color w:val="000000"/>
          <w:sz w:val="24"/>
        </w:rPr>
        <w:t xml:space="preserve"> fiscalizará</w:t>
      </w:r>
      <w:r>
        <w:rPr>
          <w:rFonts w:cs="Arial"/>
          <w:bCs/>
          <w:color w:val="000000"/>
          <w:sz w:val="24"/>
        </w:rPr>
        <w:t xml:space="preserve"> </w:t>
      </w:r>
      <w:r w:rsidRPr="00420723">
        <w:rPr>
          <w:rFonts w:cs="Arial"/>
          <w:bCs/>
          <w:color w:val="000000"/>
          <w:sz w:val="24"/>
        </w:rPr>
        <w:t>en los días</w:t>
      </w:r>
      <w:r>
        <w:rPr>
          <w:rFonts w:cs="Arial"/>
          <w:bCs/>
          <w:color w:val="000000"/>
          <w:sz w:val="24"/>
        </w:rPr>
        <w:t xml:space="preserve"> </w:t>
      </w:r>
      <w:r w:rsidRPr="00420723">
        <w:rPr>
          <w:rFonts w:cs="Arial"/>
          <w:bCs/>
          <w:color w:val="000000"/>
          <w:sz w:val="24"/>
        </w:rPr>
        <w:t>po</w:t>
      </w:r>
      <w:r>
        <w:rPr>
          <w:rFonts w:cs="Arial"/>
          <w:bCs/>
          <w:color w:val="000000"/>
          <w:sz w:val="24"/>
        </w:rPr>
        <w:t xml:space="preserve">steriores, posterior </w:t>
      </w:r>
      <w:r w:rsidRPr="00420723">
        <w:rPr>
          <w:rFonts w:cs="Arial"/>
          <w:bCs/>
          <w:color w:val="000000"/>
          <w:sz w:val="24"/>
        </w:rPr>
        <w:t>al ingreso de la solicitud</w:t>
      </w:r>
      <w:r>
        <w:rPr>
          <w:rFonts w:cs="Arial"/>
          <w:bCs/>
          <w:color w:val="000000"/>
          <w:sz w:val="24"/>
        </w:rPr>
        <w:t>,</w:t>
      </w:r>
      <w:r w:rsidRPr="00420723">
        <w:rPr>
          <w:rFonts w:cs="Arial"/>
          <w:bCs/>
          <w:color w:val="000000"/>
          <w:sz w:val="24"/>
        </w:rPr>
        <w:t xml:space="preserve"> el</w:t>
      </w:r>
      <w:r>
        <w:rPr>
          <w:rFonts w:cs="Arial"/>
          <w:bCs/>
          <w:color w:val="000000"/>
          <w:sz w:val="24"/>
        </w:rPr>
        <w:t xml:space="preserve"> </w:t>
      </w:r>
      <w:r w:rsidRPr="00420723">
        <w:rPr>
          <w:rFonts w:cs="Arial"/>
          <w:bCs/>
          <w:color w:val="000000"/>
          <w:sz w:val="24"/>
        </w:rPr>
        <w:t>cumplimiento de la legislación vigente. La Autorizaci</w:t>
      </w:r>
      <w:r>
        <w:rPr>
          <w:rFonts w:cs="Arial"/>
          <w:bCs/>
          <w:color w:val="000000"/>
          <w:sz w:val="24"/>
        </w:rPr>
        <w:t xml:space="preserve">ón Sanitaria tiene una duración </w:t>
      </w:r>
      <w:r w:rsidRPr="00420723">
        <w:rPr>
          <w:rFonts w:cs="Arial"/>
          <w:bCs/>
          <w:color w:val="000000"/>
          <w:sz w:val="24"/>
        </w:rPr>
        <w:t>de 3 años y se prorrogará en forma</w:t>
      </w:r>
      <w:r>
        <w:rPr>
          <w:rFonts w:cs="Arial"/>
          <w:bCs/>
          <w:color w:val="000000"/>
          <w:sz w:val="24"/>
        </w:rPr>
        <w:t xml:space="preserve"> </w:t>
      </w:r>
      <w:r w:rsidRPr="00420723">
        <w:rPr>
          <w:rFonts w:cs="Arial"/>
          <w:bCs/>
          <w:color w:val="000000"/>
          <w:sz w:val="24"/>
        </w:rPr>
        <w:t>automática y sucesiva por iguales per</w:t>
      </w:r>
      <w:r>
        <w:rPr>
          <w:rFonts w:cs="Arial"/>
          <w:bCs/>
          <w:color w:val="000000"/>
          <w:sz w:val="24"/>
        </w:rPr>
        <w:t>i</w:t>
      </w:r>
      <w:r w:rsidRPr="00420723">
        <w:rPr>
          <w:rFonts w:cs="Arial"/>
          <w:bCs/>
          <w:color w:val="000000"/>
          <w:sz w:val="24"/>
        </w:rPr>
        <w:t>odos,</w:t>
      </w:r>
      <w:r>
        <w:rPr>
          <w:rFonts w:cs="Arial"/>
          <w:bCs/>
          <w:color w:val="000000"/>
          <w:sz w:val="24"/>
        </w:rPr>
        <w:t xml:space="preserve"> </w:t>
      </w:r>
      <w:r w:rsidRPr="00420723">
        <w:rPr>
          <w:rFonts w:cs="Arial"/>
          <w:bCs/>
          <w:color w:val="000000"/>
          <w:sz w:val="24"/>
        </w:rPr>
        <w:t>mientras no sea dejada sin efecto.</w:t>
      </w:r>
    </w:p>
    <w:p w14:paraId="2A420CC4" w14:textId="77777777" w:rsidR="0016465E" w:rsidRDefault="0016465E" w:rsidP="007E12BD">
      <w:pPr>
        <w:pStyle w:val="Encabezado"/>
        <w:tabs>
          <w:tab w:val="clear" w:pos="4252"/>
          <w:tab w:val="center" w:pos="0"/>
        </w:tabs>
        <w:spacing w:line="276" w:lineRule="auto"/>
        <w:ind w:firstLine="709"/>
        <w:jc w:val="both"/>
        <w:rPr>
          <w:rFonts w:cs="Arial"/>
          <w:bCs/>
          <w:color w:val="000000"/>
          <w:sz w:val="24"/>
        </w:rPr>
      </w:pPr>
    </w:p>
    <w:p w14:paraId="3FEBB8D2" w14:textId="37371286" w:rsidR="00B34693" w:rsidRDefault="002D4957" w:rsidP="00207C9A">
      <w:pPr>
        <w:pStyle w:val="Encabezado"/>
        <w:tabs>
          <w:tab w:val="center" w:pos="0"/>
        </w:tabs>
        <w:spacing w:line="276" w:lineRule="auto"/>
        <w:jc w:val="both"/>
        <w:rPr>
          <w:rFonts w:cs="Arial"/>
          <w:bCs/>
          <w:color w:val="000000"/>
          <w:sz w:val="24"/>
        </w:rPr>
      </w:pPr>
      <w:r>
        <w:rPr>
          <w:rFonts w:cs="Arial"/>
          <w:bCs/>
          <w:color w:val="000000"/>
          <w:sz w:val="24"/>
        </w:rPr>
        <w:t xml:space="preserve">El D.S 160/2008, </w:t>
      </w:r>
      <w:r w:rsidR="0016465E">
        <w:rPr>
          <w:rFonts w:cs="Arial"/>
          <w:bCs/>
          <w:color w:val="000000"/>
          <w:sz w:val="24"/>
        </w:rPr>
        <w:t>"Reglamento de s</w:t>
      </w:r>
      <w:r w:rsidR="0016465E" w:rsidRPr="0016465E">
        <w:rPr>
          <w:rFonts w:cs="Arial"/>
          <w:bCs/>
          <w:color w:val="000000"/>
          <w:sz w:val="24"/>
        </w:rPr>
        <w:t>eguridad para las instalaciones y operaciones de producción y refinación, transporte, almacenamiento, distribución y abastecimiento de combustibles líquidos"</w:t>
      </w:r>
      <w:r w:rsidR="00573D20">
        <w:rPr>
          <w:rFonts w:cs="Arial"/>
          <w:bCs/>
          <w:color w:val="000000"/>
          <w:sz w:val="24"/>
        </w:rPr>
        <w:t>, e</w:t>
      </w:r>
      <w:r w:rsidRPr="002D4957">
        <w:rPr>
          <w:rFonts w:cs="Arial"/>
          <w:bCs/>
          <w:color w:val="000000"/>
          <w:sz w:val="24"/>
        </w:rPr>
        <w:t xml:space="preserve">stablece los requisitos mínimos de seguridad que deben cumplir las instalaciones de combustibles líquidos derivados del petróleo y biocombustibles, en </w:t>
      </w:r>
      <w:r w:rsidRPr="002D4957">
        <w:rPr>
          <w:rFonts w:cs="Arial"/>
          <w:bCs/>
          <w:color w:val="000000"/>
          <w:sz w:val="24"/>
        </w:rPr>
        <w:lastRenderedPageBreak/>
        <w:t xml:space="preserve">adelante e indistintamente </w:t>
      </w:r>
      <w:r w:rsidR="00573D20">
        <w:rPr>
          <w:rFonts w:cs="Arial"/>
          <w:bCs/>
          <w:color w:val="000000"/>
          <w:sz w:val="24"/>
        </w:rPr>
        <w:t>combustibles líquidos (</w:t>
      </w:r>
      <w:r w:rsidRPr="002D4957">
        <w:rPr>
          <w:rFonts w:cs="Arial"/>
          <w:bCs/>
          <w:color w:val="000000"/>
          <w:sz w:val="24"/>
        </w:rPr>
        <w:t>CL</w:t>
      </w:r>
      <w:r w:rsidR="00573D20">
        <w:rPr>
          <w:rFonts w:cs="Arial"/>
          <w:bCs/>
          <w:color w:val="000000"/>
          <w:sz w:val="24"/>
        </w:rPr>
        <w:t>)</w:t>
      </w:r>
      <w:r w:rsidRPr="002D4957">
        <w:rPr>
          <w:rFonts w:cs="Arial"/>
          <w:bCs/>
          <w:color w:val="000000"/>
          <w:sz w:val="24"/>
        </w:rPr>
        <w:t>, y las operaciones asociadas a la producción, refinación, transporte, almacenamiento, distribución y abastecimiento de CL que se realicen en tales instalaciones, así como las obligaciones de las personas naturales y jurídicas que intervienen en dichas operaciones, a objeto de desarrollar dichas actividades en forma segura, controlando el riesgo de manera tal que no constituyan peligro para las personas y/o cosas.</w:t>
      </w:r>
    </w:p>
    <w:p w14:paraId="56CE6363" w14:textId="77777777" w:rsidR="00741141" w:rsidRDefault="00741141" w:rsidP="00741141">
      <w:pPr>
        <w:pStyle w:val="Encabezado"/>
        <w:tabs>
          <w:tab w:val="center" w:pos="0"/>
        </w:tabs>
        <w:spacing w:line="276" w:lineRule="auto"/>
        <w:ind w:firstLine="709"/>
        <w:jc w:val="both"/>
        <w:rPr>
          <w:rFonts w:cs="Arial"/>
          <w:bCs/>
          <w:color w:val="000000"/>
          <w:sz w:val="24"/>
        </w:rPr>
      </w:pPr>
    </w:p>
    <w:p w14:paraId="7599DE6C" w14:textId="64602759" w:rsidR="00B9349E" w:rsidRDefault="00741141" w:rsidP="00207C9A">
      <w:pPr>
        <w:pStyle w:val="Encabezado"/>
        <w:tabs>
          <w:tab w:val="clear" w:pos="4252"/>
          <w:tab w:val="center" w:pos="0"/>
        </w:tabs>
        <w:spacing w:line="276" w:lineRule="auto"/>
        <w:jc w:val="both"/>
        <w:rPr>
          <w:rFonts w:cs="Arial"/>
          <w:bCs/>
          <w:color w:val="000000"/>
          <w:sz w:val="24"/>
        </w:rPr>
      </w:pPr>
      <w:r>
        <w:rPr>
          <w:rFonts w:cs="Arial"/>
          <w:bCs/>
          <w:color w:val="000000"/>
          <w:sz w:val="24"/>
        </w:rPr>
        <w:t>El análisis de</w:t>
      </w:r>
      <w:r w:rsidR="00B34693">
        <w:rPr>
          <w:rFonts w:cs="Arial"/>
          <w:bCs/>
          <w:color w:val="000000"/>
          <w:sz w:val="24"/>
        </w:rPr>
        <w:t xml:space="preserve"> bodegas y sitios de almacenamiento </w:t>
      </w:r>
      <w:r>
        <w:rPr>
          <w:rFonts w:cs="Arial"/>
          <w:bCs/>
          <w:color w:val="000000"/>
          <w:sz w:val="24"/>
        </w:rPr>
        <w:t>de los</w:t>
      </w:r>
      <w:r w:rsidR="00B34693">
        <w:rPr>
          <w:rFonts w:cs="Arial"/>
          <w:bCs/>
          <w:color w:val="000000"/>
          <w:sz w:val="24"/>
        </w:rPr>
        <w:t xml:space="preserve"> </w:t>
      </w:r>
      <w:r>
        <w:rPr>
          <w:rFonts w:cs="Arial"/>
          <w:bCs/>
          <w:color w:val="000000"/>
          <w:sz w:val="24"/>
        </w:rPr>
        <w:t>residuos peligrosos</w:t>
      </w:r>
      <w:r w:rsidR="00B34693">
        <w:rPr>
          <w:rFonts w:cs="Arial"/>
          <w:bCs/>
          <w:color w:val="000000"/>
          <w:sz w:val="24"/>
        </w:rPr>
        <w:t xml:space="preserve">, </w:t>
      </w:r>
      <w:r>
        <w:rPr>
          <w:rFonts w:cs="Arial"/>
          <w:bCs/>
          <w:color w:val="000000"/>
          <w:sz w:val="24"/>
        </w:rPr>
        <w:t>evidenció que sólo el 15%</w:t>
      </w:r>
      <w:r w:rsidR="00FC76C0">
        <w:rPr>
          <w:rFonts w:cs="Arial"/>
          <w:bCs/>
          <w:color w:val="000000"/>
          <w:sz w:val="24"/>
        </w:rPr>
        <w:t xml:space="preserve"> (2 empresas)</w:t>
      </w:r>
      <w:r>
        <w:rPr>
          <w:rFonts w:cs="Arial"/>
          <w:bCs/>
          <w:color w:val="000000"/>
          <w:sz w:val="24"/>
        </w:rPr>
        <w:t xml:space="preserve"> de los centros de cultivo MYPE posee bodega, sin embargo </w:t>
      </w:r>
      <w:r w:rsidR="0067492E">
        <w:rPr>
          <w:rFonts w:cs="Arial"/>
          <w:bCs/>
          <w:color w:val="000000"/>
          <w:sz w:val="24"/>
        </w:rPr>
        <w:t xml:space="preserve">ninguna cuenta con </w:t>
      </w:r>
      <w:r>
        <w:rPr>
          <w:rFonts w:cs="Arial"/>
          <w:bCs/>
          <w:color w:val="000000"/>
          <w:sz w:val="24"/>
        </w:rPr>
        <w:t>autorización. En el caso de las</w:t>
      </w:r>
      <w:r w:rsidR="00CE22E1">
        <w:rPr>
          <w:rFonts w:cs="Arial"/>
          <w:bCs/>
          <w:color w:val="000000"/>
          <w:sz w:val="24"/>
        </w:rPr>
        <w:t xml:space="preserve"> empresas Grande</w:t>
      </w:r>
      <w:r>
        <w:rPr>
          <w:rFonts w:cs="Arial"/>
          <w:bCs/>
          <w:color w:val="000000"/>
          <w:sz w:val="24"/>
        </w:rPr>
        <w:t xml:space="preserve"> el </w:t>
      </w:r>
      <w:r w:rsidR="00CE22E1">
        <w:rPr>
          <w:rFonts w:cs="Arial"/>
          <w:bCs/>
          <w:color w:val="000000"/>
          <w:sz w:val="24"/>
        </w:rPr>
        <w:t>6</w:t>
      </w:r>
      <w:r>
        <w:rPr>
          <w:rFonts w:cs="Arial"/>
          <w:bCs/>
          <w:color w:val="000000"/>
          <w:sz w:val="24"/>
        </w:rPr>
        <w:t>0%</w:t>
      </w:r>
      <w:r w:rsidR="0067492E">
        <w:rPr>
          <w:rFonts w:cs="Arial"/>
          <w:bCs/>
          <w:color w:val="000000"/>
          <w:sz w:val="24"/>
        </w:rPr>
        <w:t xml:space="preserve"> (6 empresas)</w:t>
      </w:r>
      <w:r>
        <w:rPr>
          <w:rFonts w:cs="Arial"/>
          <w:bCs/>
          <w:color w:val="000000"/>
          <w:sz w:val="24"/>
        </w:rPr>
        <w:t xml:space="preserve"> posee</w:t>
      </w:r>
      <w:r w:rsidR="00CE22E1">
        <w:rPr>
          <w:rFonts w:cs="Arial"/>
          <w:bCs/>
          <w:color w:val="000000"/>
          <w:sz w:val="24"/>
        </w:rPr>
        <w:t xml:space="preserve"> bodegas</w:t>
      </w:r>
      <w:r w:rsidR="0067492E">
        <w:rPr>
          <w:rFonts w:cs="Arial"/>
          <w:bCs/>
          <w:color w:val="000000"/>
          <w:sz w:val="24"/>
        </w:rPr>
        <w:t xml:space="preserve">, pero sólo el 40% </w:t>
      </w:r>
      <w:r w:rsidR="00B9349E">
        <w:rPr>
          <w:rFonts w:cs="Arial"/>
          <w:bCs/>
          <w:color w:val="000000"/>
          <w:sz w:val="24"/>
        </w:rPr>
        <w:t xml:space="preserve">de ellas </w:t>
      </w:r>
      <w:r w:rsidR="0067492E">
        <w:rPr>
          <w:rFonts w:cs="Arial"/>
          <w:bCs/>
          <w:color w:val="000000"/>
          <w:sz w:val="24"/>
        </w:rPr>
        <w:t>tienen autorización</w:t>
      </w:r>
      <w:r w:rsidR="00B9349E">
        <w:rPr>
          <w:rFonts w:cs="Arial"/>
          <w:bCs/>
          <w:color w:val="000000"/>
          <w:sz w:val="24"/>
        </w:rPr>
        <w:t xml:space="preserve"> (4 empresas)</w:t>
      </w:r>
      <w:r w:rsidR="00FC76C0">
        <w:rPr>
          <w:rFonts w:cs="Arial"/>
          <w:bCs/>
          <w:color w:val="000000"/>
          <w:sz w:val="24"/>
        </w:rPr>
        <w:t>. (Figura 13</w:t>
      </w:r>
      <w:r w:rsidR="000E075A">
        <w:rPr>
          <w:rFonts w:cs="Arial"/>
          <w:bCs/>
          <w:color w:val="000000"/>
          <w:sz w:val="24"/>
        </w:rPr>
        <w:t>).</w:t>
      </w:r>
    </w:p>
    <w:p w14:paraId="11B58E28" w14:textId="77777777" w:rsidR="000E075A" w:rsidRDefault="000E075A" w:rsidP="007E12BD">
      <w:pPr>
        <w:pStyle w:val="Encabezado"/>
        <w:tabs>
          <w:tab w:val="clear" w:pos="4252"/>
          <w:tab w:val="center" w:pos="0"/>
        </w:tabs>
        <w:spacing w:line="276" w:lineRule="auto"/>
        <w:ind w:firstLine="426"/>
        <w:jc w:val="both"/>
        <w:rPr>
          <w:rFonts w:cs="Arial"/>
          <w:bCs/>
          <w:color w:val="000000"/>
          <w:sz w:val="24"/>
        </w:rPr>
      </w:pPr>
    </w:p>
    <w:p w14:paraId="7D1B605B" w14:textId="0B78184B" w:rsidR="000E075A" w:rsidRDefault="000E075A" w:rsidP="00207C9A">
      <w:pPr>
        <w:pStyle w:val="Encabezado"/>
        <w:tabs>
          <w:tab w:val="clear" w:pos="4252"/>
          <w:tab w:val="center" w:pos="0"/>
        </w:tabs>
        <w:spacing w:line="276" w:lineRule="auto"/>
        <w:jc w:val="both"/>
        <w:rPr>
          <w:rFonts w:cs="Arial"/>
          <w:bCs/>
          <w:color w:val="000000"/>
          <w:sz w:val="24"/>
        </w:rPr>
      </w:pPr>
      <w:r>
        <w:rPr>
          <w:rFonts w:cs="Arial"/>
          <w:bCs/>
          <w:color w:val="000000"/>
          <w:sz w:val="24"/>
        </w:rPr>
        <w:t>Por otro lado, el 54% de los centros de cultivo MYPE cuenta</w:t>
      </w:r>
      <w:r w:rsidR="000E05A4">
        <w:rPr>
          <w:rFonts w:cs="Arial"/>
          <w:bCs/>
          <w:color w:val="000000"/>
          <w:sz w:val="24"/>
        </w:rPr>
        <w:t>n</w:t>
      </w:r>
      <w:r>
        <w:rPr>
          <w:rFonts w:cs="Arial"/>
          <w:bCs/>
          <w:color w:val="000000"/>
          <w:sz w:val="24"/>
        </w:rPr>
        <w:t xml:space="preserve"> con una bodega de combu</w:t>
      </w:r>
      <w:r w:rsidR="000E05A4">
        <w:rPr>
          <w:rFonts w:cs="Arial"/>
          <w:bCs/>
          <w:color w:val="000000"/>
          <w:sz w:val="24"/>
        </w:rPr>
        <w:t>s</w:t>
      </w:r>
      <w:r w:rsidR="00C125B6">
        <w:rPr>
          <w:rFonts w:cs="Arial"/>
          <w:bCs/>
          <w:color w:val="000000"/>
          <w:sz w:val="24"/>
        </w:rPr>
        <w:t xml:space="preserve">tibles y sin autorización, mientras que el 90% de las empresas Grande informan poseer bodega, no obstante sólo el 30% de ellas </w:t>
      </w:r>
      <w:r w:rsidR="00FC76C0">
        <w:rPr>
          <w:rFonts w:cs="Arial"/>
          <w:bCs/>
          <w:color w:val="000000"/>
          <w:sz w:val="24"/>
        </w:rPr>
        <w:t xml:space="preserve">indican que están </w:t>
      </w:r>
      <w:r w:rsidR="00C125B6">
        <w:rPr>
          <w:rFonts w:cs="Arial"/>
          <w:bCs/>
          <w:color w:val="000000"/>
          <w:sz w:val="24"/>
        </w:rPr>
        <w:t>está autorizada</w:t>
      </w:r>
      <w:r w:rsidR="00FC76C0">
        <w:rPr>
          <w:rFonts w:cs="Arial"/>
          <w:bCs/>
          <w:color w:val="000000"/>
          <w:sz w:val="24"/>
        </w:rPr>
        <w:t>s</w:t>
      </w:r>
      <w:r w:rsidR="00C125B6">
        <w:rPr>
          <w:rFonts w:cs="Arial"/>
          <w:bCs/>
          <w:color w:val="000000"/>
          <w:sz w:val="24"/>
        </w:rPr>
        <w:t>.</w:t>
      </w:r>
      <w:r w:rsidR="0011598C">
        <w:rPr>
          <w:rFonts w:cs="Arial"/>
          <w:bCs/>
          <w:color w:val="000000"/>
          <w:sz w:val="24"/>
        </w:rPr>
        <w:t xml:space="preserve"> (Figura 13</w:t>
      </w:r>
      <w:r w:rsidR="00BF208C">
        <w:rPr>
          <w:rFonts w:cs="Arial"/>
          <w:bCs/>
          <w:color w:val="000000"/>
          <w:sz w:val="24"/>
        </w:rPr>
        <w:t>).</w:t>
      </w:r>
    </w:p>
    <w:p w14:paraId="5AD15693" w14:textId="77777777" w:rsidR="00B9349E" w:rsidRDefault="00B9349E" w:rsidP="007E12BD">
      <w:pPr>
        <w:pStyle w:val="Encabezado"/>
        <w:tabs>
          <w:tab w:val="clear" w:pos="4252"/>
          <w:tab w:val="center" w:pos="0"/>
        </w:tabs>
        <w:spacing w:line="276" w:lineRule="auto"/>
        <w:ind w:firstLine="426"/>
        <w:jc w:val="both"/>
        <w:rPr>
          <w:rFonts w:cs="Arial"/>
          <w:bCs/>
          <w:color w:val="000000"/>
          <w:sz w:val="24"/>
        </w:rPr>
      </w:pPr>
    </w:p>
    <w:p w14:paraId="2BF31FC4" w14:textId="02B2770E" w:rsidR="00B9349E" w:rsidRDefault="004D3B0B" w:rsidP="00207C9A">
      <w:pPr>
        <w:pStyle w:val="Encabezado"/>
        <w:tabs>
          <w:tab w:val="clear" w:pos="4252"/>
          <w:tab w:val="center" w:pos="0"/>
        </w:tabs>
        <w:spacing w:line="276" w:lineRule="auto"/>
        <w:jc w:val="both"/>
        <w:rPr>
          <w:rFonts w:cs="Arial"/>
          <w:bCs/>
          <w:color w:val="000000"/>
          <w:sz w:val="24"/>
        </w:rPr>
      </w:pPr>
      <w:r>
        <w:rPr>
          <w:rFonts w:cs="Arial"/>
          <w:bCs/>
          <w:color w:val="000000"/>
          <w:sz w:val="24"/>
        </w:rPr>
        <w:t>La mayoría de los centros de cultivo de ambas</w:t>
      </w:r>
      <w:r w:rsidR="0062329D">
        <w:rPr>
          <w:rFonts w:cs="Arial"/>
          <w:bCs/>
          <w:color w:val="000000"/>
          <w:sz w:val="24"/>
        </w:rPr>
        <w:t xml:space="preserve"> categorías, MYPE y Grande, cuentan con bodega de insumos, 85% MYPE y 90% Grande.</w:t>
      </w:r>
      <w:r w:rsidR="0011598C">
        <w:rPr>
          <w:rFonts w:cs="Arial"/>
          <w:bCs/>
          <w:color w:val="000000"/>
          <w:sz w:val="24"/>
        </w:rPr>
        <w:t xml:space="preserve"> (Figura 13</w:t>
      </w:r>
      <w:r w:rsidR="00BF208C">
        <w:rPr>
          <w:rFonts w:cs="Arial"/>
          <w:bCs/>
          <w:color w:val="000000"/>
          <w:sz w:val="24"/>
        </w:rPr>
        <w:t>).</w:t>
      </w:r>
    </w:p>
    <w:p w14:paraId="57D25BD8" w14:textId="77777777" w:rsidR="00207C9A" w:rsidRDefault="00207C9A" w:rsidP="00207C9A">
      <w:pPr>
        <w:pStyle w:val="Encabezado"/>
        <w:tabs>
          <w:tab w:val="clear" w:pos="4252"/>
          <w:tab w:val="center" w:pos="0"/>
        </w:tabs>
        <w:spacing w:line="276" w:lineRule="auto"/>
        <w:jc w:val="both"/>
        <w:rPr>
          <w:rFonts w:cs="Arial"/>
          <w:bCs/>
          <w:color w:val="000000"/>
          <w:sz w:val="24"/>
        </w:rPr>
      </w:pPr>
    </w:p>
    <w:p w14:paraId="0EF5188C" w14:textId="61610D7D" w:rsidR="004D3B0B" w:rsidRDefault="004D3B0B" w:rsidP="00207C9A">
      <w:pPr>
        <w:pStyle w:val="Encabezado"/>
        <w:tabs>
          <w:tab w:val="clear" w:pos="4252"/>
          <w:tab w:val="center" w:pos="0"/>
        </w:tabs>
        <w:spacing w:line="276" w:lineRule="auto"/>
        <w:jc w:val="both"/>
        <w:rPr>
          <w:rFonts w:cs="Arial"/>
          <w:bCs/>
          <w:color w:val="000000"/>
          <w:sz w:val="24"/>
        </w:rPr>
      </w:pPr>
      <w:r>
        <w:rPr>
          <w:rFonts w:cs="Arial"/>
          <w:bCs/>
          <w:color w:val="000000"/>
          <w:sz w:val="24"/>
        </w:rPr>
        <w:t>Al consultar a las empresas si poseen patio de acopio de residuos industriales no peligros, se evidenció que e</w:t>
      </w:r>
      <w:r w:rsidR="00BF208C">
        <w:rPr>
          <w:rFonts w:cs="Arial"/>
          <w:bCs/>
          <w:color w:val="000000"/>
          <w:sz w:val="24"/>
        </w:rPr>
        <w:t>l 69% de</w:t>
      </w:r>
      <w:r>
        <w:rPr>
          <w:rFonts w:cs="Arial"/>
          <w:bCs/>
          <w:color w:val="000000"/>
          <w:sz w:val="24"/>
        </w:rPr>
        <w:t xml:space="preserve"> empresa</w:t>
      </w:r>
      <w:r w:rsidR="00BF208C">
        <w:rPr>
          <w:rFonts w:cs="Arial"/>
          <w:bCs/>
          <w:color w:val="000000"/>
          <w:sz w:val="24"/>
        </w:rPr>
        <w:t>s</w:t>
      </w:r>
      <w:r>
        <w:rPr>
          <w:rFonts w:cs="Arial"/>
          <w:bCs/>
          <w:color w:val="000000"/>
          <w:sz w:val="24"/>
        </w:rPr>
        <w:t xml:space="preserve"> MYPE </w:t>
      </w:r>
      <w:r w:rsidR="00BF208C">
        <w:rPr>
          <w:rFonts w:cs="Arial"/>
          <w:bCs/>
          <w:color w:val="000000"/>
          <w:sz w:val="24"/>
        </w:rPr>
        <w:t xml:space="preserve">y </w:t>
      </w:r>
      <w:r>
        <w:rPr>
          <w:rFonts w:cs="Arial"/>
          <w:bCs/>
          <w:color w:val="000000"/>
          <w:sz w:val="24"/>
        </w:rPr>
        <w:t>el 50% de los centros de categoría Grande</w:t>
      </w:r>
      <w:r w:rsidR="00BF208C">
        <w:rPr>
          <w:rFonts w:cs="Arial"/>
          <w:bCs/>
          <w:color w:val="000000"/>
          <w:sz w:val="24"/>
        </w:rPr>
        <w:t xml:space="preserve"> informan tener </w:t>
      </w:r>
      <w:r>
        <w:rPr>
          <w:rFonts w:cs="Arial"/>
          <w:bCs/>
          <w:color w:val="000000"/>
          <w:sz w:val="24"/>
        </w:rPr>
        <w:t>patio de acopio</w:t>
      </w:r>
      <w:r w:rsidR="00BF208C">
        <w:rPr>
          <w:rFonts w:cs="Arial"/>
          <w:bCs/>
          <w:color w:val="000000"/>
          <w:sz w:val="24"/>
        </w:rPr>
        <w:t>.</w:t>
      </w:r>
      <w:r w:rsidR="00BF208C" w:rsidRPr="00BF208C">
        <w:rPr>
          <w:rFonts w:cs="Arial"/>
          <w:bCs/>
          <w:color w:val="000000"/>
          <w:sz w:val="24"/>
        </w:rPr>
        <w:t xml:space="preserve"> </w:t>
      </w:r>
      <w:r w:rsidR="000256BA">
        <w:rPr>
          <w:rFonts w:cs="Arial"/>
          <w:bCs/>
          <w:color w:val="000000"/>
          <w:sz w:val="24"/>
        </w:rPr>
        <w:t>(Figura 13</w:t>
      </w:r>
      <w:r w:rsidR="00BF208C">
        <w:rPr>
          <w:rFonts w:cs="Arial"/>
          <w:bCs/>
          <w:color w:val="000000"/>
          <w:sz w:val="24"/>
        </w:rPr>
        <w:t>).</w:t>
      </w:r>
    </w:p>
    <w:p w14:paraId="0296D5B8" w14:textId="77777777" w:rsidR="00E57558" w:rsidRDefault="00E57558" w:rsidP="007E12BD">
      <w:pPr>
        <w:pStyle w:val="Encabezado"/>
        <w:tabs>
          <w:tab w:val="clear" w:pos="4252"/>
          <w:tab w:val="center" w:pos="0"/>
        </w:tabs>
        <w:spacing w:line="276" w:lineRule="auto"/>
        <w:ind w:firstLine="426"/>
        <w:jc w:val="both"/>
        <w:rPr>
          <w:rFonts w:cs="Arial"/>
          <w:bCs/>
          <w:color w:val="000000"/>
          <w:sz w:val="24"/>
        </w:rPr>
      </w:pPr>
    </w:p>
    <w:p w14:paraId="606791E3" w14:textId="77777777" w:rsidR="004D3B0B" w:rsidRDefault="004D3B0B" w:rsidP="007E12BD">
      <w:pPr>
        <w:pStyle w:val="Encabezado"/>
        <w:tabs>
          <w:tab w:val="clear" w:pos="4252"/>
          <w:tab w:val="center" w:pos="0"/>
        </w:tabs>
        <w:spacing w:line="276" w:lineRule="auto"/>
        <w:ind w:firstLine="426"/>
        <w:jc w:val="both"/>
        <w:rPr>
          <w:rFonts w:cs="Arial"/>
          <w:bCs/>
          <w:color w:val="000000"/>
          <w:sz w:val="24"/>
        </w:rPr>
      </w:pPr>
    </w:p>
    <w:p w14:paraId="320CF830" w14:textId="2B40596B" w:rsidR="00732ABA" w:rsidRDefault="005E1104" w:rsidP="005E1104">
      <w:pPr>
        <w:pStyle w:val="Encabezado"/>
        <w:tabs>
          <w:tab w:val="clear" w:pos="4252"/>
          <w:tab w:val="center" w:pos="0"/>
        </w:tabs>
        <w:spacing w:line="276" w:lineRule="auto"/>
        <w:ind w:firstLine="426"/>
        <w:jc w:val="both"/>
        <w:rPr>
          <w:rFonts w:cs="Arial"/>
          <w:bCs/>
          <w:color w:val="000000"/>
          <w:sz w:val="24"/>
        </w:rPr>
      </w:pPr>
      <w:r>
        <w:rPr>
          <w:noProof/>
          <w:lang w:val="es-CL" w:eastAsia="es-CL"/>
        </w:rPr>
        <w:lastRenderedPageBreak/>
        <w:drawing>
          <wp:inline distT="0" distB="0" distL="0" distR="0" wp14:anchorId="7AFF9C00" wp14:editId="31BBD1B2">
            <wp:extent cx="2457450" cy="3733799"/>
            <wp:effectExtent l="0" t="0" r="19050" b="19685"/>
            <wp:docPr id="471" name="Gráfico 47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r w:rsidRPr="005E1104">
        <w:rPr>
          <w:noProof/>
          <w:sz w:val="14"/>
          <w:szCs w:val="14"/>
          <w:lang w:val="es-CL" w:eastAsia="es-CL"/>
        </w:rPr>
        <w:drawing>
          <wp:inline distT="0" distB="0" distL="0" distR="0" wp14:anchorId="08F320EB" wp14:editId="0D68700F">
            <wp:extent cx="2457450" cy="3733800"/>
            <wp:effectExtent l="0" t="0" r="19050" b="19050"/>
            <wp:docPr id="472" name="Gráfico 472"/>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31AFFF7D" w14:textId="799E43B0" w:rsidR="007C2A2A" w:rsidRDefault="007C2A2A" w:rsidP="00732ABA">
      <w:pPr>
        <w:pStyle w:val="Encabezado"/>
        <w:jc w:val="both"/>
        <w:rPr>
          <w:rFonts w:cs="Arial"/>
          <w:bCs/>
          <w:color w:val="000000"/>
          <w:sz w:val="24"/>
        </w:rPr>
      </w:pPr>
      <w:r>
        <w:rPr>
          <w:rFonts w:cs="Arial"/>
          <w:b/>
          <w:bCs/>
          <w:color w:val="000000"/>
          <w:sz w:val="24"/>
        </w:rPr>
        <w:t>Figura 1</w:t>
      </w:r>
      <w:r w:rsidR="000256BA">
        <w:rPr>
          <w:rFonts w:cs="Arial"/>
          <w:b/>
          <w:bCs/>
          <w:color w:val="000000"/>
          <w:sz w:val="24"/>
        </w:rPr>
        <w:t>3</w:t>
      </w:r>
      <w:r w:rsidRPr="007E275F">
        <w:rPr>
          <w:rFonts w:cs="Arial"/>
          <w:b/>
          <w:bCs/>
          <w:color w:val="000000"/>
          <w:sz w:val="24"/>
        </w:rPr>
        <w:t>.</w:t>
      </w:r>
      <w:r>
        <w:rPr>
          <w:rFonts w:cs="Arial"/>
          <w:bCs/>
          <w:color w:val="000000"/>
          <w:sz w:val="24"/>
        </w:rPr>
        <w:t xml:space="preserve"> Bodegas y sitios de almacenamiento.</w:t>
      </w:r>
    </w:p>
    <w:p w14:paraId="73099AB6" w14:textId="77777777" w:rsidR="00F2469B" w:rsidRDefault="00F2469B" w:rsidP="00197DDA">
      <w:pPr>
        <w:rPr>
          <w:lang w:eastAsia="es-CL"/>
        </w:rPr>
      </w:pPr>
    </w:p>
    <w:p w14:paraId="2855A077" w14:textId="77777777" w:rsidR="00D276F2" w:rsidRPr="00D276F2" w:rsidRDefault="00D276F2" w:rsidP="00D276F2">
      <w:pPr>
        <w:pStyle w:val="Encabezado"/>
        <w:rPr>
          <w:lang w:eastAsia="es-CL"/>
        </w:rPr>
      </w:pPr>
    </w:p>
    <w:p w14:paraId="6A8A2B89" w14:textId="3D207E68" w:rsidR="00197DDA" w:rsidRPr="004B184E" w:rsidRDefault="00197DDA" w:rsidP="00E31A3F">
      <w:pPr>
        <w:pStyle w:val="Ttulo2"/>
        <w:rPr>
          <w:b w:val="0"/>
          <w:sz w:val="32"/>
          <w:szCs w:val="32"/>
          <w:lang w:eastAsia="es-CL"/>
        </w:rPr>
      </w:pPr>
      <w:bookmarkStart w:id="12" w:name="_Toc471999118"/>
      <w:r w:rsidRPr="004B184E">
        <w:rPr>
          <w:b w:val="0"/>
          <w:sz w:val="32"/>
          <w:szCs w:val="32"/>
          <w:lang w:eastAsia="es-CL"/>
        </w:rPr>
        <w:t>Residuos</w:t>
      </w:r>
      <w:bookmarkEnd w:id="12"/>
    </w:p>
    <w:p w14:paraId="34F165DB" w14:textId="3C1A577E" w:rsidR="00B14D03" w:rsidRPr="00B14D03" w:rsidRDefault="00AA73AF" w:rsidP="00207C9A">
      <w:pPr>
        <w:pStyle w:val="Encabezado"/>
        <w:tabs>
          <w:tab w:val="clear" w:pos="4252"/>
          <w:tab w:val="center" w:pos="0"/>
        </w:tabs>
        <w:spacing w:line="276" w:lineRule="auto"/>
        <w:jc w:val="both"/>
        <w:rPr>
          <w:rFonts w:cs="Arial"/>
          <w:bCs/>
          <w:color w:val="000000"/>
          <w:sz w:val="24"/>
        </w:rPr>
      </w:pPr>
      <w:r w:rsidRPr="00AA73AF">
        <w:rPr>
          <w:rFonts w:cs="Arial"/>
          <w:bCs/>
          <w:color w:val="000000"/>
          <w:sz w:val="24"/>
        </w:rPr>
        <w:t>S</w:t>
      </w:r>
      <w:r>
        <w:rPr>
          <w:rFonts w:cs="Arial"/>
          <w:bCs/>
          <w:color w:val="000000"/>
          <w:sz w:val="24"/>
        </w:rPr>
        <w:t>egún la Ley 20.920, “Que e</w:t>
      </w:r>
      <w:r w:rsidRPr="00AA73AF">
        <w:rPr>
          <w:rFonts w:cs="Arial"/>
          <w:bCs/>
          <w:color w:val="000000"/>
          <w:sz w:val="24"/>
        </w:rPr>
        <w:t>stablece marco para la gestión de residuos, la responsabilidad extendida del productor y fomento al reciclaje</w:t>
      </w:r>
      <w:r>
        <w:rPr>
          <w:rFonts w:cs="Arial"/>
          <w:bCs/>
          <w:color w:val="000000"/>
          <w:sz w:val="24"/>
        </w:rPr>
        <w:t>”,  define “residuo” como s</w:t>
      </w:r>
      <w:r w:rsidRPr="00AA73AF">
        <w:rPr>
          <w:rFonts w:cs="Arial"/>
          <w:bCs/>
          <w:color w:val="000000"/>
          <w:sz w:val="24"/>
        </w:rPr>
        <w:t>ustancia u objeto que su generador desecha o tiene la intención u obligación de desechar de acuerdo a la normativa vigente.</w:t>
      </w:r>
      <w:r w:rsidR="00B14D03">
        <w:rPr>
          <w:rFonts w:cs="Arial"/>
          <w:bCs/>
          <w:color w:val="000000"/>
          <w:sz w:val="24"/>
        </w:rPr>
        <w:t xml:space="preserve"> </w:t>
      </w:r>
      <w:r w:rsidR="00B14D03" w:rsidRPr="00B14D03">
        <w:rPr>
          <w:rFonts w:cs="Arial"/>
          <w:bCs/>
          <w:color w:val="000000"/>
          <w:sz w:val="24"/>
        </w:rPr>
        <w:t>Los residuos en general se pueden dividir no sólo en residuos sólidos, sino</w:t>
      </w:r>
      <w:r w:rsidR="00B14D03">
        <w:rPr>
          <w:rFonts w:cs="Arial"/>
          <w:bCs/>
          <w:color w:val="000000"/>
          <w:sz w:val="24"/>
        </w:rPr>
        <w:t xml:space="preserve"> también en líquidos o gaseosos y se </w:t>
      </w:r>
      <w:r w:rsidR="00B14D03" w:rsidRPr="00B14D03">
        <w:rPr>
          <w:rFonts w:cs="Arial"/>
          <w:bCs/>
          <w:color w:val="000000"/>
          <w:sz w:val="24"/>
        </w:rPr>
        <w:t>clasifica</w:t>
      </w:r>
      <w:r w:rsidR="00B14D03">
        <w:rPr>
          <w:rFonts w:cs="Arial"/>
          <w:bCs/>
          <w:color w:val="000000"/>
          <w:sz w:val="24"/>
        </w:rPr>
        <w:t xml:space="preserve">n en </w:t>
      </w:r>
      <w:r w:rsidR="00B14D03" w:rsidRPr="00B14D03">
        <w:rPr>
          <w:rFonts w:cs="Arial"/>
          <w:bCs/>
          <w:color w:val="000000"/>
          <w:sz w:val="24"/>
        </w:rPr>
        <w:t xml:space="preserve">varios tipos: </w:t>
      </w:r>
    </w:p>
    <w:p w14:paraId="2BDD40C0" w14:textId="77777777" w:rsidR="00B14D03" w:rsidRPr="00B14D03" w:rsidRDefault="00B14D03" w:rsidP="0037632E">
      <w:pPr>
        <w:pStyle w:val="Encabezado"/>
        <w:spacing w:line="276" w:lineRule="auto"/>
        <w:jc w:val="both"/>
        <w:rPr>
          <w:rFonts w:cs="Arial"/>
          <w:bCs/>
          <w:color w:val="000000"/>
          <w:sz w:val="24"/>
        </w:rPr>
      </w:pPr>
    </w:p>
    <w:p w14:paraId="2E74C54E" w14:textId="0B98AB01" w:rsidR="00B14D03" w:rsidRPr="00B14D03" w:rsidRDefault="00B14D03" w:rsidP="0037632E">
      <w:pPr>
        <w:pStyle w:val="Encabezado"/>
        <w:numPr>
          <w:ilvl w:val="0"/>
          <w:numId w:val="19"/>
        </w:numPr>
        <w:spacing w:line="276" w:lineRule="auto"/>
        <w:jc w:val="both"/>
        <w:rPr>
          <w:rFonts w:cs="Arial"/>
          <w:bCs/>
          <w:color w:val="000000"/>
          <w:sz w:val="24"/>
        </w:rPr>
      </w:pPr>
      <w:r w:rsidRPr="00B14D03">
        <w:rPr>
          <w:rFonts w:cs="Arial"/>
          <w:bCs/>
          <w:color w:val="000000"/>
          <w:sz w:val="24"/>
        </w:rPr>
        <w:t>Residuos sólidos biodegradables</w:t>
      </w:r>
    </w:p>
    <w:p w14:paraId="422358D0" w14:textId="7AE50ECA" w:rsidR="00B14D03" w:rsidRPr="00B14D03" w:rsidRDefault="00B14D03" w:rsidP="0037632E">
      <w:pPr>
        <w:pStyle w:val="Encabezado"/>
        <w:numPr>
          <w:ilvl w:val="0"/>
          <w:numId w:val="19"/>
        </w:numPr>
        <w:spacing w:line="276" w:lineRule="auto"/>
        <w:jc w:val="both"/>
        <w:rPr>
          <w:rFonts w:cs="Arial"/>
          <w:bCs/>
          <w:color w:val="000000"/>
          <w:sz w:val="24"/>
        </w:rPr>
      </w:pPr>
      <w:r w:rsidRPr="00B14D03">
        <w:rPr>
          <w:rFonts w:cs="Arial"/>
          <w:bCs/>
          <w:color w:val="000000"/>
          <w:sz w:val="24"/>
        </w:rPr>
        <w:t>Residuos sólidos reciclables</w:t>
      </w:r>
    </w:p>
    <w:p w14:paraId="2F98F537" w14:textId="40755BE3" w:rsidR="00B14D03" w:rsidRPr="00B14D03" w:rsidRDefault="00B14D03" w:rsidP="0037632E">
      <w:pPr>
        <w:pStyle w:val="Encabezado"/>
        <w:numPr>
          <w:ilvl w:val="0"/>
          <w:numId w:val="19"/>
        </w:numPr>
        <w:spacing w:line="276" w:lineRule="auto"/>
        <w:jc w:val="both"/>
        <w:rPr>
          <w:rFonts w:cs="Arial"/>
          <w:bCs/>
          <w:color w:val="000000"/>
          <w:sz w:val="24"/>
        </w:rPr>
      </w:pPr>
      <w:r w:rsidRPr="00B14D03">
        <w:rPr>
          <w:rFonts w:cs="Arial"/>
          <w:bCs/>
          <w:color w:val="000000"/>
          <w:sz w:val="24"/>
        </w:rPr>
        <w:t>Residuos sólidos inertes</w:t>
      </w:r>
    </w:p>
    <w:p w14:paraId="25C6B52D" w14:textId="129DBB15" w:rsidR="00B14D03" w:rsidRPr="00B14D03" w:rsidRDefault="00B14D03" w:rsidP="0037632E">
      <w:pPr>
        <w:pStyle w:val="Encabezado"/>
        <w:numPr>
          <w:ilvl w:val="0"/>
          <w:numId w:val="19"/>
        </w:numPr>
        <w:spacing w:line="276" w:lineRule="auto"/>
        <w:jc w:val="both"/>
        <w:rPr>
          <w:rFonts w:cs="Arial"/>
          <w:bCs/>
          <w:color w:val="000000"/>
          <w:sz w:val="24"/>
        </w:rPr>
      </w:pPr>
      <w:r w:rsidRPr="00B14D03">
        <w:rPr>
          <w:rFonts w:cs="Arial"/>
          <w:bCs/>
          <w:color w:val="000000"/>
          <w:sz w:val="24"/>
        </w:rPr>
        <w:t>Residuos sólidos comunes</w:t>
      </w:r>
    </w:p>
    <w:p w14:paraId="55108CCE" w14:textId="5321470E" w:rsidR="00AA73AF" w:rsidRDefault="00B14D03" w:rsidP="0037632E">
      <w:pPr>
        <w:pStyle w:val="Encabezado"/>
        <w:numPr>
          <w:ilvl w:val="0"/>
          <w:numId w:val="19"/>
        </w:numPr>
        <w:spacing w:line="276" w:lineRule="auto"/>
        <w:jc w:val="both"/>
        <w:rPr>
          <w:rFonts w:cs="Arial"/>
          <w:bCs/>
          <w:color w:val="000000"/>
          <w:sz w:val="24"/>
        </w:rPr>
      </w:pPr>
      <w:r w:rsidRPr="00B14D03">
        <w:rPr>
          <w:rFonts w:cs="Arial"/>
          <w:bCs/>
          <w:color w:val="000000"/>
          <w:sz w:val="24"/>
        </w:rPr>
        <w:t>Residuos sólidos peligrosos</w:t>
      </w:r>
      <w:r w:rsidR="00AA73AF">
        <w:rPr>
          <w:rFonts w:cs="Arial"/>
          <w:bCs/>
          <w:color w:val="000000"/>
          <w:sz w:val="24"/>
        </w:rPr>
        <w:t xml:space="preserve"> </w:t>
      </w:r>
    </w:p>
    <w:p w14:paraId="2256AF95" w14:textId="77777777" w:rsidR="00C47E72" w:rsidRDefault="00C47E72" w:rsidP="00C47E72">
      <w:pPr>
        <w:pStyle w:val="Encabezado"/>
        <w:spacing w:line="276" w:lineRule="auto"/>
        <w:ind w:firstLine="709"/>
        <w:jc w:val="both"/>
        <w:rPr>
          <w:rFonts w:cs="Arial"/>
          <w:bCs/>
          <w:color w:val="000000"/>
          <w:sz w:val="24"/>
        </w:rPr>
      </w:pPr>
    </w:p>
    <w:p w14:paraId="4E15EBD2" w14:textId="72425A76" w:rsidR="00CF6A17" w:rsidRDefault="00B14D03" w:rsidP="00207C9A">
      <w:pPr>
        <w:pStyle w:val="Encabezado"/>
        <w:spacing w:line="276" w:lineRule="auto"/>
        <w:jc w:val="both"/>
        <w:rPr>
          <w:rFonts w:cs="Arial"/>
          <w:bCs/>
          <w:color w:val="000000"/>
          <w:sz w:val="24"/>
        </w:rPr>
      </w:pPr>
      <w:r>
        <w:rPr>
          <w:rFonts w:cs="Arial"/>
          <w:bCs/>
          <w:color w:val="000000"/>
          <w:sz w:val="24"/>
        </w:rPr>
        <w:lastRenderedPageBreak/>
        <w:t>El análisis de los resultados respecto de</w:t>
      </w:r>
      <w:r w:rsidR="00CF6A17">
        <w:rPr>
          <w:rFonts w:cs="Arial"/>
          <w:bCs/>
          <w:color w:val="000000"/>
          <w:sz w:val="24"/>
        </w:rPr>
        <w:t xml:space="preserve">l volumen de </w:t>
      </w:r>
      <w:r w:rsidR="00F65C58">
        <w:rPr>
          <w:rFonts w:cs="Arial"/>
          <w:bCs/>
          <w:color w:val="000000"/>
          <w:sz w:val="24"/>
        </w:rPr>
        <w:t xml:space="preserve">residuos generados por </w:t>
      </w:r>
      <w:r w:rsidR="00CF6A17">
        <w:rPr>
          <w:rFonts w:cs="Arial"/>
          <w:bCs/>
          <w:color w:val="000000"/>
          <w:sz w:val="24"/>
        </w:rPr>
        <w:t>los centros de cultivo diagnosticados el año 2015, se evidenció que el mayor volumen de residuos generados son los residuos sólidos con 392,9 (Ton), seguido de los residuos peligrosos</w:t>
      </w:r>
      <w:r w:rsidR="00307A98">
        <w:rPr>
          <w:rFonts w:cs="Arial"/>
          <w:bCs/>
          <w:color w:val="000000"/>
          <w:sz w:val="24"/>
        </w:rPr>
        <w:t xml:space="preserve"> con un volumen de 15,1 (Ton)</w:t>
      </w:r>
      <w:r w:rsidR="00CF6A17">
        <w:rPr>
          <w:rFonts w:cs="Arial"/>
          <w:bCs/>
          <w:color w:val="000000"/>
          <w:sz w:val="24"/>
        </w:rPr>
        <w:t>.</w:t>
      </w:r>
      <w:r w:rsidR="00307A98">
        <w:rPr>
          <w:rFonts w:cs="Arial"/>
          <w:bCs/>
          <w:color w:val="000000"/>
          <w:sz w:val="24"/>
        </w:rPr>
        <w:t xml:space="preserve"> Cabe señalar que los centros de cultivo no generan Residuos industriales Líquidos (RILES).</w:t>
      </w:r>
      <w:r w:rsidR="00CF6A17">
        <w:rPr>
          <w:rFonts w:cs="Arial"/>
          <w:bCs/>
          <w:color w:val="000000"/>
          <w:sz w:val="24"/>
        </w:rPr>
        <w:t xml:space="preserve"> </w:t>
      </w:r>
      <w:r w:rsidR="000A1A8E">
        <w:rPr>
          <w:rFonts w:cs="Arial"/>
          <w:bCs/>
          <w:color w:val="000000"/>
          <w:sz w:val="24"/>
        </w:rPr>
        <w:t>(Tabla 4</w:t>
      </w:r>
      <w:r w:rsidR="00CF6A17" w:rsidRPr="00412391">
        <w:rPr>
          <w:rFonts w:cs="Arial"/>
          <w:bCs/>
          <w:color w:val="000000"/>
          <w:sz w:val="24"/>
        </w:rPr>
        <w:t>).</w:t>
      </w:r>
    </w:p>
    <w:p w14:paraId="61486DF1" w14:textId="77777777" w:rsidR="00CF6A17" w:rsidRDefault="00CF6A17" w:rsidP="00C47E72">
      <w:pPr>
        <w:pStyle w:val="Encabezado"/>
        <w:spacing w:line="276" w:lineRule="auto"/>
        <w:ind w:firstLine="709"/>
        <w:jc w:val="both"/>
        <w:rPr>
          <w:rFonts w:cs="Arial"/>
          <w:bCs/>
          <w:color w:val="000000"/>
          <w:sz w:val="24"/>
        </w:rPr>
      </w:pPr>
    </w:p>
    <w:p w14:paraId="2AF8C16A" w14:textId="0C3AF801" w:rsidR="00700330" w:rsidRDefault="004E6775" w:rsidP="00207C9A">
      <w:pPr>
        <w:pStyle w:val="Encabezado"/>
        <w:spacing w:line="276" w:lineRule="auto"/>
        <w:jc w:val="both"/>
        <w:rPr>
          <w:rFonts w:cs="Arial"/>
          <w:bCs/>
          <w:color w:val="000000"/>
          <w:sz w:val="24"/>
        </w:rPr>
      </w:pPr>
      <w:r>
        <w:rPr>
          <w:rFonts w:cs="Arial"/>
          <w:bCs/>
          <w:color w:val="000000"/>
          <w:sz w:val="24"/>
        </w:rPr>
        <w:t>Los volúmen</w:t>
      </w:r>
      <w:r w:rsidR="00047FC6">
        <w:rPr>
          <w:rFonts w:cs="Arial"/>
          <w:bCs/>
          <w:color w:val="000000"/>
          <w:sz w:val="24"/>
        </w:rPr>
        <w:t xml:space="preserve">es de residuos generados por los centros de cultivo diagnosticados </w:t>
      </w:r>
      <w:r>
        <w:rPr>
          <w:rFonts w:cs="Arial"/>
          <w:bCs/>
          <w:color w:val="000000"/>
          <w:sz w:val="24"/>
        </w:rPr>
        <w:t>se indi</w:t>
      </w:r>
      <w:r w:rsidR="000A1A8E">
        <w:rPr>
          <w:rFonts w:cs="Arial"/>
          <w:bCs/>
          <w:color w:val="000000"/>
          <w:sz w:val="24"/>
        </w:rPr>
        <w:t>can a continuación en la Tabla 4</w:t>
      </w:r>
      <w:r>
        <w:rPr>
          <w:rFonts w:cs="Arial"/>
          <w:bCs/>
          <w:color w:val="000000"/>
          <w:sz w:val="24"/>
        </w:rPr>
        <w:t xml:space="preserve">. </w:t>
      </w:r>
    </w:p>
    <w:tbl>
      <w:tblPr>
        <w:tblW w:w="8946" w:type="dxa"/>
        <w:tblInd w:w="55" w:type="dxa"/>
        <w:tblCellMar>
          <w:left w:w="70" w:type="dxa"/>
          <w:right w:w="70" w:type="dxa"/>
        </w:tblCellMar>
        <w:tblLook w:val="04A0" w:firstRow="1" w:lastRow="0" w:firstColumn="1" w:lastColumn="0" w:noHBand="0" w:noVBand="1"/>
      </w:tblPr>
      <w:tblGrid>
        <w:gridCol w:w="2567"/>
        <w:gridCol w:w="2835"/>
        <w:gridCol w:w="3544"/>
      </w:tblGrid>
      <w:tr w:rsidR="00173834" w:rsidRPr="00173834" w14:paraId="07AE266C" w14:textId="77777777" w:rsidTr="00173834">
        <w:trPr>
          <w:trHeight w:val="555"/>
        </w:trPr>
        <w:tc>
          <w:tcPr>
            <w:tcW w:w="2567" w:type="dxa"/>
            <w:tcBorders>
              <w:top w:val="single" w:sz="12" w:space="0" w:color="FABF8F"/>
              <w:left w:val="single" w:sz="12" w:space="0" w:color="FABF8F"/>
              <w:bottom w:val="single" w:sz="8" w:space="0" w:color="FABF8F"/>
              <w:right w:val="single" w:sz="8" w:space="0" w:color="FABF8F"/>
            </w:tcBorders>
            <w:shd w:val="clear" w:color="auto" w:fill="auto"/>
            <w:vAlign w:val="center"/>
            <w:hideMark/>
          </w:tcPr>
          <w:p w14:paraId="72BEB5FC" w14:textId="06E42CB9" w:rsidR="00173834" w:rsidRPr="00173834" w:rsidRDefault="00173834" w:rsidP="00173834">
            <w:pPr>
              <w:spacing w:after="0" w:line="240" w:lineRule="auto"/>
              <w:ind w:right="-212"/>
              <w:rPr>
                <w:rFonts w:ascii="Titilium" w:eastAsia="Times New Roman" w:hAnsi="Titilium" w:cs="Calibri"/>
                <w:b/>
                <w:bCs/>
                <w:color w:val="000000"/>
                <w:sz w:val="18"/>
                <w:szCs w:val="18"/>
                <w:lang w:val="es-CL" w:eastAsia="es-CL"/>
              </w:rPr>
            </w:pPr>
            <w:r w:rsidRPr="00173834">
              <w:rPr>
                <w:rFonts w:ascii="Titilium" w:eastAsia="Times New Roman" w:hAnsi="Titilium" w:cs="Calibri"/>
                <w:b/>
                <w:bCs/>
                <w:color w:val="000000"/>
                <w:sz w:val="18"/>
                <w:szCs w:val="18"/>
                <w:lang w:val="es-CL" w:eastAsia="es-CL"/>
              </w:rPr>
              <w:t>Total Residuos Sólidos (Ton)</w:t>
            </w:r>
          </w:p>
        </w:tc>
        <w:tc>
          <w:tcPr>
            <w:tcW w:w="2835" w:type="dxa"/>
            <w:tcBorders>
              <w:top w:val="single" w:sz="12" w:space="0" w:color="FABF8F"/>
              <w:left w:val="nil"/>
              <w:bottom w:val="single" w:sz="8" w:space="0" w:color="FABF8F"/>
              <w:right w:val="single" w:sz="8" w:space="0" w:color="FABF8F"/>
            </w:tcBorders>
            <w:shd w:val="clear" w:color="auto" w:fill="auto"/>
            <w:vAlign w:val="center"/>
            <w:hideMark/>
          </w:tcPr>
          <w:p w14:paraId="19586A14" w14:textId="2D3AF286" w:rsidR="00173834" w:rsidRPr="00173834" w:rsidRDefault="00173834" w:rsidP="00173834">
            <w:pPr>
              <w:spacing w:after="0" w:line="240" w:lineRule="auto"/>
              <w:ind w:left="214" w:hanging="214"/>
              <w:rPr>
                <w:rFonts w:ascii="Titilium" w:eastAsia="Times New Roman" w:hAnsi="Titilium" w:cs="Calibri"/>
                <w:b/>
                <w:bCs/>
                <w:color w:val="000000"/>
                <w:sz w:val="18"/>
                <w:szCs w:val="18"/>
                <w:lang w:val="es-CL" w:eastAsia="es-CL"/>
              </w:rPr>
            </w:pPr>
            <w:r w:rsidRPr="00173834">
              <w:rPr>
                <w:rFonts w:ascii="Titilium" w:eastAsia="Times New Roman" w:hAnsi="Titilium" w:cs="Calibri"/>
                <w:b/>
                <w:bCs/>
                <w:color w:val="000000"/>
                <w:sz w:val="18"/>
                <w:szCs w:val="18"/>
                <w:lang w:val="es-CL" w:eastAsia="es-CL"/>
              </w:rPr>
              <w:t>Total Residuos peligrosos (Ton)</w:t>
            </w:r>
          </w:p>
        </w:tc>
        <w:tc>
          <w:tcPr>
            <w:tcW w:w="3544" w:type="dxa"/>
            <w:tcBorders>
              <w:top w:val="single" w:sz="12" w:space="0" w:color="FABF8F"/>
              <w:left w:val="nil"/>
              <w:bottom w:val="single" w:sz="8" w:space="0" w:color="FABF8F"/>
              <w:right w:val="single" w:sz="12" w:space="0" w:color="FABF8F"/>
            </w:tcBorders>
            <w:shd w:val="clear" w:color="auto" w:fill="auto"/>
            <w:vAlign w:val="center"/>
            <w:hideMark/>
          </w:tcPr>
          <w:p w14:paraId="6FEA3989" w14:textId="4976C902" w:rsidR="00173834" w:rsidRPr="00173834" w:rsidRDefault="00173834" w:rsidP="00173834">
            <w:pPr>
              <w:spacing w:after="0" w:line="240" w:lineRule="auto"/>
              <w:rPr>
                <w:rFonts w:ascii="Titilium" w:eastAsia="Times New Roman" w:hAnsi="Titilium" w:cs="Calibri"/>
                <w:b/>
                <w:bCs/>
                <w:color w:val="000000"/>
                <w:sz w:val="18"/>
                <w:szCs w:val="18"/>
                <w:lang w:val="es-CL" w:eastAsia="es-CL"/>
              </w:rPr>
            </w:pPr>
            <w:r w:rsidRPr="00173834">
              <w:rPr>
                <w:rFonts w:ascii="Titilium" w:eastAsia="Times New Roman" w:hAnsi="Titilium" w:cs="Calibri"/>
                <w:b/>
                <w:bCs/>
                <w:color w:val="000000"/>
                <w:sz w:val="18"/>
                <w:szCs w:val="18"/>
                <w:lang w:val="es-CL" w:eastAsia="es-CL"/>
              </w:rPr>
              <w:t>Total Residuos Industriales Líquidos (M</w:t>
            </w:r>
            <w:r w:rsidRPr="00173834">
              <w:rPr>
                <w:rFonts w:ascii="Titilium" w:eastAsia="Times New Roman" w:hAnsi="Titilium" w:cs="Calibri"/>
                <w:b/>
                <w:bCs/>
                <w:color w:val="000000"/>
                <w:sz w:val="18"/>
                <w:szCs w:val="18"/>
                <w:vertAlign w:val="superscript"/>
                <w:lang w:val="es-CL" w:eastAsia="es-CL"/>
              </w:rPr>
              <w:t>3</w:t>
            </w:r>
            <w:r w:rsidRPr="00173834">
              <w:rPr>
                <w:rFonts w:ascii="Titilium" w:eastAsia="Times New Roman" w:hAnsi="Titilium" w:cs="Calibri"/>
                <w:b/>
                <w:bCs/>
                <w:color w:val="000000"/>
                <w:sz w:val="18"/>
                <w:szCs w:val="18"/>
                <w:lang w:val="es-CL" w:eastAsia="es-CL"/>
              </w:rPr>
              <w:t>)</w:t>
            </w:r>
          </w:p>
        </w:tc>
      </w:tr>
      <w:tr w:rsidR="00173834" w:rsidRPr="00173834" w14:paraId="289F0AEB" w14:textId="77777777" w:rsidTr="00173834">
        <w:trPr>
          <w:trHeight w:val="315"/>
        </w:trPr>
        <w:tc>
          <w:tcPr>
            <w:tcW w:w="2567" w:type="dxa"/>
            <w:tcBorders>
              <w:top w:val="nil"/>
              <w:left w:val="single" w:sz="12" w:space="0" w:color="FABF8F"/>
              <w:bottom w:val="single" w:sz="12" w:space="0" w:color="FABF8F"/>
              <w:right w:val="single" w:sz="8" w:space="0" w:color="FABF8F"/>
            </w:tcBorders>
            <w:shd w:val="clear" w:color="auto" w:fill="auto"/>
            <w:noWrap/>
            <w:vAlign w:val="bottom"/>
            <w:hideMark/>
          </w:tcPr>
          <w:p w14:paraId="3F04B50E" w14:textId="283A6AFC" w:rsidR="00173834" w:rsidRPr="00173834" w:rsidRDefault="00173834" w:rsidP="00173834">
            <w:pPr>
              <w:spacing w:after="0" w:line="240" w:lineRule="auto"/>
              <w:ind w:right="-212"/>
              <w:jc w:val="center"/>
              <w:rPr>
                <w:rFonts w:ascii="Titilium" w:eastAsia="Times New Roman" w:hAnsi="Titilium" w:cs="Calibri"/>
                <w:color w:val="000000"/>
                <w:sz w:val="20"/>
                <w:szCs w:val="20"/>
                <w:lang w:val="es-CL" w:eastAsia="es-CL"/>
              </w:rPr>
            </w:pPr>
            <w:r>
              <w:rPr>
                <w:rFonts w:ascii="Titilium" w:eastAsia="Times New Roman" w:hAnsi="Titilium" w:cs="Calibri"/>
                <w:color w:val="000000"/>
                <w:sz w:val="20"/>
                <w:szCs w:val="20"/>
                <w:lang w:val="es-CL" w:eastAsia="es-CL"/>
              </w:rPr>
              <w:t>392,9</w:t>
            </w:r>
          </w:p>
        </w:tc>
        <w:tc>
          <w:tcPr>
            <w:tcW w:w="2835" w:type="dxa"/>
            <w:tcBorders>
              <w:top w:val="nil"/>
              <w:left w:val="nil"/>
              <w:bottom w:val="single" w:sz="12" w:space="0" w:color="FABF8F"/>
              <w:right w:val="single" w:sz="8" w:space="0" w:color="FABF8F"/>
            </w:tcBorders>
            <w:shd w:val="clear" w:color="auto" w:fill="auto"/>
            <w:noWrap/>
            <w:vAlign w:val="bottom"/>
            <w:hideMark/>
          </w:tcPr>
          <w:p w14:paraId="32A2C04A" w14:textId="4A9E79A3" w:rsidR="00173834" w:rsidRPr="00173834" w:rsidRDefault="00173834" w:rsidP="00173834">
            <w:pPr>
              <w:spacing w:after="0" w:line="240" w:lineRule="auto"/>
              <w:jc w:val="center"/>
              <w:rPr>
                <w:rFonts w:ascii="Titilium" w:eastAsia="Times New Roman" w:hAnsi="Titilium" w:cs="Calibri"/>
                <w:color w:val="000000"/>
                <w:sz w:val="20"/>
                <w:szCs w:val="20"/>
                <w:lang w:val="es-CL" w:eastAsia="es-CL"/>
              </w:rPr>
            </w:pPr>
            <w:r>
              <w:rPr>
                <w:rFonts w:ascii="Titilium" w:eastAsia="Times New Roman" w:hAnsi="Titilium" w:cs="Calibri"/>
                <w:color w:val="000000"/>
                <w:sz w:val="20"/>
                <w:szCs w:val="20"/>
                <w:lang w:val="es-CL" w:eastAsia="es-CL"/>
              </w:rPr>
              <w:t>15,1</w:t>
            </w:r>
          </w:p>
        </w:tc>
        <w:tc>
          <w:tcPr>
            <w:tcW w:w="3544" w:type="dxa"/>
            <w:tcBorders>
              <w:top w:val="nil"/>
              <w:left w:val="nil"/>
              <w:bottom w:val="single" w:sz="12" w:space="0" w:color="FABF8F"/>
              <w:right w:val="single" w:sz="12" w:space="0" w:color="FABF8F"/>
            </w:tcBorders>
            <w:shd w:val="clear" w:color="auto" w:fill="auto"/>
            <w:noWrap/>
            <w:vAlign w:val="bottom"/>
            <w:hideMark/>
          </w:tcPr>
          <w:p w14:paraId="28B7A76F" w14:textId="77777777" w:rsidR="00173834" w:rsidRPr="00173834" w:rsidRDefault="00173834" w:rsidP="00173834">
            <w:pPr>
              <w:spacing w:after="0" w:line="240" w:lineRule="auto"/>
              <w:jc w:val="center"/>
              <w:rPr>
                <w:rFonts w:ascii="Titilium" w:eastAsia="Times New Roman" w:hAnsi="Titilium" w:cs="Calibri"/>
                <w:color w:val="000000"/>
                <w:sz w:val="20"/>
                <w:szCs w:val="20"/>
                <w:lang w:val="es-CL" w:eastAsia="es-CL"/>
              </w:rPr>
            </w:pPr>
            <w:r w:rsidRPr="00173834">
              <w:rPr>
                <w:rFonts w:ascii="Titilium" w:eastAsia="Times New Roman" w:hAnsi="Titilium" w:cs="Calibri"/>
                <w:color w:val="000000"/>
                <w:sz w:val="20"/>
                <w:szCs w:val="20"/>
                <w:lang w:val="es-CL" w:eastAsia="es-CL"/>
              </w:rPr>
              <w:t>N/A</w:t>
            </w:r>
          </w:p>
        </w:tc>
      </w:tr>
    </w:tbl>
    <w:p w14:paraId="692B1C6A" w14:textId="7C3546C6" w:rsidR="00700330" w:rsidRDefault="00700330" w:rsidP="00BC47E6">
      <w:pPr>
        <w:pStyle w:val="Encabezado"/>
        <w:jc w:val="both"/>
        <w:rPr>
          <w:rFonts w:asciiTheme="minorHAnsi" w:hAnsiTheme="minorHAnsi"/>
          <w:color w:val="auto"/>
          <w:sz w:val="22"/>
        </w:rPr>
      </w:pPr>
      <w:r>
        <w:rPr>
          <w:rFonts w:cs="Arial"/>
          <w:bCs/>
          <w:color w:val="000000"/>
          <w:sz w:val="24"/>
        </w:rPr>
        <w:fldChar w:fldCharType="begin"/>
      </w:r>
      <w:r>
        <w:rPr>
          <w:rFonts w:cs="Arial"/>
          <w:bCs/>
          <w:color w:val="000000"/>
          <w:sz w:val="24"/>
        </w:rPr>
        <w:instrText xml:space="preserve"> LINK </w:instrText>
      </w:r>
      <w:r w:rsidR="00236046">
        <w:rPr>
          <w:rFonts w:cs="Arial"/>
          <w:bCs/>
          <w:color w:val="000000"/>
          <w:sz w:val="24"/>
        </w:rPr>
        <w:instrText xml:space="preserve">Excel.Sheet.12 "C:\\Users\\Ivonne Cartes\\Desktop\\INFORME_FINAL_APL\\Copia de Tabulacion(5)_V2.xlsx" Residuos!F17C3:F18C6 </w:instrText>
      </w:r>
      <w:r>
        <w:rPr>
          <w:rFonts w:cs="Arial"/>
          <w:bCs/>
          <w:color w:val="000000"/>
          <w:sz w:val="24"/>
        </w:rPr>
        <w:instrText xml:space="preserve">\a \f 5 \h  \* MERGEFORMAT </w:instrText>
      </w:r>
      <w:r>
        <w:rPr>
          <w:rFonts w:cs="Arial"/>
          <w:bCs/>
          <w:color w:val="000000"/>
          <w:sz w:val="24"/>
        </w:rPr>
        <w:fldChar w:fldCharType="separate"/>
      </w:r>
    </w:p>
    <w:p w14:paraId="2ADC6C07" w14:textId="14EDDE13" w:rsidR="00BC47E6" w:rsidRDefault="00700330" w:rsidP="00C92456">
      <w:pPr>
        <w:pStyle w:val="Encabezado"/>
        <w:jc w:val="both"/>
        <w:rPr>
          <w:rFonts w:cs="Arial"/>
          <w:bCs/>
          <w:color w:val="000000"/>
          <w:sz w:val="24"/>
        </w:rPr>
      </w:pPr>
      <w:r>
        <w:rPr>
          <w:rFonts w:cs="Arial"/>
          <w:bCs/>
          <w:color w:val="000000"/>
          <w:sz w:val="24"/>
        </w:rPr>
        <w:fldChar w:fldCharType="end"/>
      </w:r>
      <w:r w:rsidR="000A1A8E">
        <w:rPr>
          <w:rFonts w:cs="Arial"/>
          <w:b/>
          <w:bCs/>
          <w:color w:val="000000"/>
          <w:sz w:val="24"/>
        </w:rPr>
        <w:t>Tabla 4</w:t>
      </w:r>
      <w:r w:rsidR="00EB5525">
        <w:rPr>
          <w:rFonts w:cs="Arial"/>
          <w:bCs/>
          <w:color w:val="000000"/>
          <w:sz w:val="24"/>
        </w:rPr>
        <w:t xml:space="preserve">. </w:t>
      </w:r>
      <w:r w:rsidR="00D1028E">
        <w:rPr>
          <w:rFonts w:cs="Arial"/>
          <w:bCs/>
          <w:color w:val="000000"/>
          <w:sz w:val="24"/>
        </w:rPr>
        <w:t>Volumen promedio de r</w:t>
      </w:r>
      <w:r w:rsidR="001852D4" w:rsidRPr="001852D4">
        <w:rPr>
          <w:rFonts w:cs="Arial"/>
          <w:bCs/>
          <w:color w:val="000000"/>
          <w:sz w:val="24"/>
        </w:rPr>
        <w:t xml:space="preserve">esiduos generados </w:t>
      </w:r>
      <w:r w:rsidR="00D1028E">
        <w:rPr>
          <w:rFonts w:cs="Arial"/>
          <w:bCs/>
          <w:color w:val="000000"/>
          <w:sz w:val="24"/>
        </w:rPr>
        <w:t xml:space="preserve">en el proceso de producción de </w:t>
      </w:r>
      <w:proofErr w:type="spellStart"/>
      <w:r w:rsidR="00D1028E">
        <w:rPr>
          <w:rFonts w:cs="Arial"/>
          <w:bCs/>
          <w:color w:val="000000"/>
          <w:sz w:val="24"/>
        </w:rPr>
        <w:t>chorito</w:t>
      </w:r>
      <w:proofErr w:type="spellEnd"/>
      <w:r w:rsidR="00D1028E">
        <w:rPr>
          <w:rFonts w:cs="Arial"/>
          <w:bCs/>
          <w:color w:val="000000"/>
          <w:sz w:val="24"/>
        </w:rPr>
        <w:t xml:space="preserve"> cocido congelado</w:t>
      </w:r>
      <w:r w:rsidR="00EB5525">
        <w:rPr>
          <w:rFonts w:cs="Arial"/>
          <w:bCs/>
          <w:color w:val="000000"/>
          <w:sz w:val="24"/>
        </w:rPr>
        <w:t>.</w:t>
      </w:r>
    </w:p>
    <w:p w14:paraId="0AB92367" w14:textId="77777777" w:rsidR="00047FC6" w:rsidRDefault="00047FC6" w:rsidP="00C92456">
      <w:pPr>
        <w:pStyle w:val="Encabezado"/>
        <w:jc w:val="both"/>
        <w:rPr>
          <w:rFonts w:cs="Arial"/>
          <w:bCs/>
          <w:color w:val="000000"/>
          <w:sz w:val="24"/>
        </w:rPr>
      </w:pPr>
    </w:p>
    <w:p w14:paraId="7B8FCB34" w14:textId="77777777" w:rsidR="00047FC6" w:rsidRDefault="00047FC6" w:rsidP="00C92456">
      <w:pPr>
        <w:pStyle w:val="Encabezado"/>
        <w:jc w:val="both"/>
        <w:rPr>
          <w:rFonts w:cs="Arial"/>
          <w:bCs/>
          <w:color w:val="000000"/>
          <w:sz w:val="24"/>
        </w:rPr>
      </w:pPr>
    </w:p>
    <w:p w14:paraId="02B8C5E7" w14:textId="77777777" w:rsidR="00C47E72" w:rsidRDefault="00C47E72" w:rsidP="00C47E72">
      <w:pPr>
        <w:pStyle w:val="Encabezado"/>
        <w:spacing w:line="276" w:lineRule="auto"/>
        <w:ind w:firstLine="709"/>
        <w:jc w:val="both"/>
        <w:rPr>
          <w:rFonts w:cs="Arial"/>
          <w:bCs/>
          <w:color w:val="000000"/>
          <w:sz w:val="24"/>
        </w:rPr>
      </w:pPr>
    </w:p>
    <w:p w14:paraId="4F750A67" w14:textId="6ADF5FAB" w:rsidR="00D1028E" w:rsidRDefault="00C83E2C" w:rsidP="00207C9A">
      <w:pPr>
        <w:pStyle w:val="Encabezado"/>
        <w:spacing w:line="276" w:lineRule="auto"/>
        <w:jc w:val="both"/>
        <w:rPr>
          <w:rFonts w:cs="Arial"/>
          <w:bCs/>
          <w:color w:val="000000"/>
          <w:sz w:val="24"/>
        </w:rPr>
      </w:pPr>
      <w:r>
        <w:rPr>
          <w:rFonts w:cs="Arial"/>
          <w:bCs/>
          <w:color w:val="000000"/>
          <w:sz w:val="24"/>
        </w:rPr>
        <w:t xml:space="preserve">El análisis evidencia que </w:t>
      </w:r>
      <w:r w:rsidR="000D1C8F">
        <w:rPr>
          <w:rFonts w:cs="Arial"/>
          <w:bCs/>
          <w:color w:val="000000"/>
          <w:sz w:val="24"/>
        </w:rPr>
        <w:t>e</w:t>
      </w:r>
      <w:r w:rsidR="00883F0A">
        <w:rPr>
          <w:rFonts w:cs="Arial"/>
          <w:bCs/>
          <w:color w:val="000000"/>
          <w:sz w:val="24"/>
        </w:rPr>
        <w:t>l mayor</w:t>
      </w:r>
      <w:r w:rsidR="000D1C8F">
        <w:rPr>
          <w:rFonts w:cs="Arial"/>
          <w:bCs/>
          <w:color w:val="000000"/>
          <w:sz w:val="24"/>
        </w:rPr>
        <w:t xml:space="preserve"> volumen de residuo generado</w:t>
      </w:r>
      <w:r w:rsidR="00883F0A">
        <w:rPr>
          <w:rFonts w:cs="Arial"/>
          <w:bCs/>
          <w:color w:val="000000"/>
          <w:sz w:val="24"/>
        </w:rPr>
        <w:t xml:space="preserve"> por t</w:t>
      </w:r>
      <w:r w:rsidR="005F6B1C">
        <w:rPr>
          <w:rFonts w:cs="Arial"/>
          <w:bCs/>
          <w:color w:val="000000"/>
          <w:sz w:val="24"/>
        </w:rPr>
        <w:t>onelada de producto final</w:t>
      </w:r>
      <w:r w:rsidR="00883F0A">
        <w:rPr>
          <w:rFonts w:cs="Arial"/>
          <w:bCs/>
          <w:color w:val="000000"/>
          <w:sz w:val="24"/>
        </w:rPr>
        <w:t xml:space="preserve"> son los </w:t>
      </w:r>
      <w:r w:rsidR="003F1E31">
        <w:rPr>
          <w:rFonts w:cs="Arial"/>
          <w:bCs/>
          <w:color w:val="000000"/>
          <w:sz w:val="24"/>
        </w:rPr>
        <w:t>residuos sólidos con 0,023 (Ton/Ton), seguido de 0</w:t>
      </w:r>
      <w:r w:rsidR="005F6B1C">
        <w:rPr>
          <w:rFonts w:cs="Arial"/>
          <w:bCs/>
          <w:color w:val="000000"/>
          <w:sz w:val="24"/>
        </w:rPr>
        <w:t>,</w:t>
      </w:r>
      <w:r w:rsidR="003F1E31">
        <w:rPr>
          <w:rFonts w:cs="Arial"/>
          <w:bCs/>
          <w:color w:val="000000"/>
          <w:sz w:val="24"/>
        </w:rPr>
        <w:t>001 (Ton</w:t>
      </w:r>
      <w:r w:rsidR="005F6B1C">
        <w:rPr>
          <w:rFonts w:cs="Arial"/>
          <w:bCs/>
          <w:color w:val="000000"/>
          <w:sz w:val="24"/>
        </w:rPr>
        <w:t>/</w:t>
      </w:r>
      <w:r w:rsidR="005F6B1C" w:rsidRPr="00412391">
        <w:rPr>
          <w:rFonts w:cs="Arial"/>
          <w:bCs/>
          <w:color w:val="000000"/>
          <w:sz w:val="24"/>
        </w:rPr>
        <w:t>Ton</w:t>
      </w:r>
      <w:r w:rsidR="003F1E31">
        <w:rPr>
          <w:rFonts w:cs="Arial"/>
          <w:bCs/>
          <w:color w:val="000000"/>
          <w:sz w:val="24"/>
        </w:rPr>
        <w:t>) de residuos sólidos</w:t>
      </w:r>
      <w:r w:rsidR="0092243C" w:rsidRPr="00412391">
        <w:rPr>
          <w:rFonts w:cs="Arial"/>
          <w:bCs/>
          <w:color w:val="000000"/>
          <w:sz w:val="24"/>
        </w:rPr>
        <w:t xml:space="preserve">. </w:t>
      </w:r>
      <w:r w:rsidR="00412391" w:rsidRPr="000A1A8E">
        <w:rPr>
          <w:rFonts w:cs="Arial"/>
          <w:bCs/>
          <w:color w:val="000000"/>
          <w:sz w:val="24"/>
        </w:rPr>
        <w:t>(</w:t>
      </w:r>
      <w:r w:rsidR="007C2A2A" w:rsidRPr="000A1A8E">
        <w:rPr>
          <w:rFonts w:cs="Arial"/>
          <w:bCs/>
          <w:color w:val="000000"/>
          <w:sz w:val="24"/>
        </w:rPr>
        <w:t>Figura 1</w:t>
      </w:r>
      <w:r w:rsidR="000A1A8E" w:rsidRPr="000A1A8E">
        <w:rPr>
          <w:rFonts w:cs="Arial"/>
          <w:bCs/>
          <w:color w:val="000000"/>
          <w:sz w:val="24"/>
        </w:rPr>
        <w:t>4</w:t>
      </w:r>
      <w:r w:rsidR="00883F0A" w:rsidRPr="000A1A8E">
        <w:rPr>
          <w:rFonts w:cs="Arial"/>
          <w:bCs/>
          <w:color w:val="000000"/>
          <w:sz w:val="24"/>
        </w:rPr>
        <w:t>).</w:t>
      </w:r>
      <w:r w:rsidR="00883F0A">
        <w:rPr>
          <w:rFonts w:cs="Arial"/>
          <w:bCs/>
          <w:color w:val="000000"/>
          <w:sz w:val="24"/>
        </w:rPr>
        <w:t xml:space="preserve"> </w:t>
      </w:r>
    </w:p>
    <w:p w14:paraId="7BFA8817" w14:textId="16662516" w:rsidR="007E12BD" w:rsidRDefault="006B6DAD" w:rsidP="000A1A8E">
      <w:pPr>
        <w:pStyle w:val="Encabezado"/>
        <w:spacing w:line="276" w:lineRule="auto"/>
        <w:ind w:firstLine="709"/>
        <w:jc w:val="both"/>
        <w:rPr>
          <w:rFonts w:cs="Arial"/>
          <w:bCs/>
          <w:color w:val="000000"/>
          <w:sz w:val="24"/>
        </w:rPr>
      </w:pPr>
      <w:r>
        <w:rPr>
          <w:noProof/>
          <w:lang w:val="es-CL" w:eastAsia="es-CL"/>
        </w:rPr>
        <w:drawing>
          <wp:inline distT="0" distB="0" distL="0" distR="0" wp14:anchorId="6183665A" wp14:editId="15AB1102">
            <wp:extent cx="2428875" cy="2333625"/>
            <wp:effectExtent l="0" t="0" r="9525" b="9525"/>
            <wp:docPr id="4123" name="Gráfico 41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r>
        <w:rPr>
          <w:noProof/>
          <w:lang w:val="es-CL" w:eastAsia="es-CL"/>
        </w:rPr>
        <w:drawing>
          <wp:inline distT="0" distB="0" distL="0" distR="0" wp14:anchorId="0B4B5249" wp14:editId="20E74E24">
            <wp:extent cx="2428875" cy="2333625"/>
            <wp:effectExtent l="0" t="0" r="9525" b="9525"/>
            <wp:docPr id="4124" name="Gráfico 41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5210F822" w14:textId="6D7CD889" w:rsidR="00145D55" w:rsidRDefault="007C2A2A" w:rsidP="00C47E72">
      <w:pPr>
        <w:pStyle w:val="Encabezado"/>
        <w:spacing w:line="276" w:lineRule="auto"/>
        <w:jc w:val="both"/>
        <w:rPr>
          <w:rFonts w:cs="Arial"/>
          <w:bCs/>
          <w:color w:val="000000"/>
          <w:sz w:val="24"/>
        </w:rPr>
      </w:pPr>
      <w:r>
        <w:rPr>
          <w:rFonts w:cs="Arial"/>
          <w:b/>
          <w:bCs/>
          <w:color w:val="000000"/>
          <w:sz w:val="24"/>
        </w:rPr>
        <w:t>Figura 1</w:t>
      </w:r>
      <w:r w:rsidR="000A1A8E">
        <w:rPr>
          <w:rFonts w:cs="Arial"/>
          <w:b/>
          <w:bCs/>
          <w:color w:val="000000"/>
          <w:sz w:val="24"/>
        </w:rPr>
        <w:t>4</w:t>
      </w:r>
      <w:r w:rsidR="007E275F" w:rsidRPr="007E275F">
        <w:rPr>
          <w:rFonts w:cs="Arial"/>
          <w:b/>
          <w:bCs/>
          <w:color w:val="000000"/>
          <w:sz w:val="24"/>
        </w:rPr>
        <w:t>.</w:t>
      </w:r>
      <w:r w:rsidR="007E275F">
        <w:rPr>
          <w:rFonts w:cs="Arial"/>
          <w:bCs/>
          <w:color w:val="000000"/>
          <w:sz w:val="24"/>
        </w:rPr>
        <w:t xml:space="preserve"> </w:t>
      </w:r>
      <w:r w:rsidR="00C47E72">
        <w:rPr>
          <w:rFonts w:cs="Arial"/>
          <w:bCs/>
          <w:color w:val="000000"/>
          <w:sz w:val="24"/>
        </w:rPr>
        <w:t>Volumen de residuos informados por las empresas.</w:t>
      </w:r>
    </w:p>
    <w:p w14:paraId="5BF1A421" w14:textId="77777777" w:rsidR="00E57D0B" w:rsidRDefault="00E57D0B" w:rsidP="00C47E72">
      <w:pPr>
        <w:pStyle w:val="Encabezado"/>
        <w:spacing w:line="276" w:lineRule="auto"/>
        <w:jc w:val="both"/>
        <w:rPr>
          <w:rFonts w:cs="Arial"/>
          <w:bCs/>
          <w:color w:val="000000"/>
          <w:sz w:val="24"/>
        </w:rPr>
      </w:pPr>
    </w:p>
    <w:p w14:paraId="60325E54" w14:textId="77777777" w:rsidR="00E57D0B" w:rsidRDefault="00E57D0B" w:rsidP="00C47E72">
      <w:pPr>
        <w:pStyle w:val="Encabezado"/>
        <w:spacing w:line="276" w:lineRule="auto"/>
        <w:jc w:val="both"/>
        <w:rPr>
          <w:rFonts w:cs="Arial"/>
          <w:bCs/>
          <w:color w:val="000000"/>
          <w:sz w:val="24"/>
        </w:rPr>
      </w:pPr>
    </w:p>
    <w:p w14:paraId="6C7D5489" w14:textId="102A6D9C" w:rsidR="00A81941" w:rsidRPr="004B184E" w:rsidRDefault="00A81941" w:rsidP="00E31A3F">
      <w:pPr>
        <w:pStyle w:val="Ttulo2"/>
        <w:rPr>
          <w:b w:val="0"/>
          <w:sz w:val="32"/>
          <w:szCs w:val="32"/>
          <w:lang w:eastAsia="es-CL"/>
        </w:rPr>
      </w:pPr>
      <w:bookmarkStart w:id="13" w:name="_Toc471999119"/>
      <w:r w:rsidRPr="004B184E">
        <w:rPr>
          <w:b w:val="0"/>
          <w:sz w:val="32"/>
          <w:szCs w:val="32"/>
          <w:lang w:eastAsia="es-CL"/>
        </w:rPr>
        <w:lastRenderedPageBreak/>
        <w:t xml:space="preserve">Residuos </w:t>
      </w:r>
      <w:r w:rsidR="00152EEA" w:rsidRPr="004B184E">
        <w:rPr>
          <w:b w:val="0"/>
          <w:sz w:val="32"/>
          <w:szCs w:val="32"/>
          <w:lang w:eastAsia="es-CL"/>
        </w:rPr>
        <w:t xml:space="preserve">Industriales </w:t>
      </w:r>
      <w:r w:rsidRPr="004B184E">
        <w:rPr>
          <w:b w:val="0"/>
          <w:sz w:val="32"/>
          <w:szCs w:val="32"/>
          <w:lang w:eastAsia="es-CL"/>
        </w:rPr>
        <w:t>Líquidos (Riles)</w:t>
      </w:r>
      <w:bookmarkEnd w:id="13"/>
      <w:r w:rsidRPr="004B184E">
        <w:rPr>
          <w:b w:val="0"/>
          <w:sz w:val="32"/>
          <w:szCs w:val="32"/>
          <w:lang w:eastAsia="es-CL"/>
        </w:rPr>
        <w:t xml:space="preserve"> </w:t>
      </w:r>
    </w:p>
    <w:p w14:paraId="1F210887" w14:textId="77777777" w:rsidR="00A81941" w:rsidRDefault="00A81941" w:rsidP="00A81941">
      <w:pPr>
        <w:pStyle w:val="Encabezado"/>
      </w:pPr>
    </w:p>
    <w:p w14:paraId="4EF5EDDB" w14:textId="77777777" w:rsidR="002E62C5" w:rsidRDefault="002E62C5" w:rsidP="00207C9A">
      <w:pPr>
        <w:pStyle w:val="Encabezado"/>
        <w:spacing w:line="276" w:lineRule="auto"/>
        <w:jc w:val="both"/>
        <w:rPr>
          <w:rFonts w:cs="Arial"/>
          <w:bCs/>
          <w:color w:val="000000"/>
          <w:sz w:val="24"/>
        </w:rPr>
      </w:pPr>
      <w:r>
        <w:rPr>
          <w:rFonts w:cs="Arial"/>
          <w:bCs/>
          <w:color w:val="000000"/>
          <w:sz w:val="24"/>
        </w:rPr>
        <w:t>Los r</w:t>
      </w:r>
      <w:r w:rsidRPr="00A81941">
        <w:rPr>
          <w:rFonts w:cs="Arial"/>
          <w:bCs/>
          <w:color w:val="000000"/>
          <w:sz w:val="24"/>
        </w:rPr>
        <w:t>esiduos líquidos</w:t>
      </w:r>
      <w:r>
        <w:rPr>
          <w:rFonts w:cs="Arial"/>
          <w:bCs/>
          <w:color w:val="000000"/>
          <w:sz w:val="24"/>
        </w:rPr>
        <w:t xml:space="preserve"> se definen como</w:t>
      </w:r>
      <w:r w:rsidRPr="00A81941">
        <w:rPr>
          <w:rFonts w:cs="Arial"/>
          <w:bCs/>
          <w:color w:val="000000"/>
          <w:sz w:val="24"/>
        </w:rPr>
        <w:t xml:space="preserve"> aguas residuales o efluentes que se descargan desde una fuente emisora, a un cuerpo receptor</w:t>
      </w:r>
      <w:r>
        <w:rPr>
          <w:rFonts w:cs="Arial"/>
          <w:bCs/>
          <w:color w:val="000000"/>
          <w:sz w:val="24"/>
        </w:rPr>
        <w:t>.</w:t>
      </w:r>
    </w:p>
    <w:p w14:paraId="19DBA732" w14:textId="77777777" w:rsidR="003A6E1A" w:rsidRDefault="003A6E1A" w:rsidP="003A6E1A">
      <w:pPr>
        <w:pStyle w:val="Encabezado"/>
        <w:spacing w:line="276" w:lineRule="auto"/>
        <w:ind w:firstLine="709"/>
        <w:jc w:val="both"/>
        <w:rPr>
          <w:rFonts w:cs="Arial"/>
          <w:bCs/>
          <w:color w:val="000000"/>
          <w:sz w:val="24"/>
        </w:rPr>
      </w:pPr>
    </w:p>
    <w:p w14:paraId="63648A7F" w14:textId="339A986C" w:rsidR="002E62C5" w:rsidRPr="00A57894" w:rsidRDefault="002E62C5" w:rsidP="00207C9A">
      <w:pPr>
        <w:pStyle w:val="Encabezado"/>
        <w:spacing w:line="276" w:lineRule="auto"/>
        <w:jc w:val="both"/>
        <w:rPr>
          <w:rFonts w:cs="Arial"/>
          <w:bCs/>
          <w:color w:val="000000"/>
          <w:sz w:val="24"/>
        </w:rPr>
      </w:pPr>
      <w:r w:rsidRPr="00A57894">
        <w:rPr>
          <w:rFonts w:cs="Arial"/>
          <w:bCs/>
          <w:color w:val="000000"/>
          <w:sz w:val="24"/>
        </w:rPr>
        <w:t xml:space="preserve">El D.S Nº 90/2000, “Norma de Emisión para la Regulación de Contaminantes Asociados a las Descargas de Residuos Líquidos a Aguas Marinas y Continentales Superficiales, del Ministerio Secretaría General de la República”, tiene como objetivo la protección ambiental, prevenir la contaminación de las aguas marinas y continentales superficiales, mediante el control de contaminantes asociados a los residuos líquidos que se descargan a los cuerpos receptores. </w:t>
      </w:r>
    </w:p>
    <w:p w14:paraId="3DF19D0A" w14:textId="77777777" w:rsidR="002E62C5" w:rsidRPr="00A57894" w:rsidRDefault="002E62C5" w:rsidP="002E62C5">
      <w:pPr>
        <w:pStyle w:val="Encabezado"/>
        <w:spacing w:line="276" w:lineRule="auto"/>
        <w:jc w:val="both"/>
        <w:rPr>
          <w:rFonts w:cs="Arial"/>
          <w:bCs/>
          <w:color w:val="000000"/>
          <w:sz w:val="24"/>
        </w:rPr>
      </w:pPr>
    </w:p>
    <w:p w14:paraId="62C2A88B" w14:textId="0D2D5CC2" w:rsidR="00DB0AE5" w:rsidRDefault="002857E8" w:rsidP="00207C9A">
      <w:pPr>
        <w:pStyle w:val="Encabezado"/>
        <w:spacing w:line="276" w:lineRule="auto"/>
        <w:jc w:val="both"/>
        <w:rPr>
          <w:lang w:eastAsia="es-CL"/>
        </w:rPr>
      </w:pPr>
      <w:r w:rsidRPr="00A57894">
        <w:rPr>
          <w:rFonts w:cs="Arial"/>
          <w:bCs/>
          <w:color w:val="000000"/>
          <w:sz w:val="24"/>
        </w:rPr>
        <w:t>Señalar que los centros de cultivo no generan residuos industriales líquidos como producto de sus operaciones.</w:t>
      </w:r>
      <w:r>
        <w:rPr>
          <w:lang w:eastAsia="es-CL"/>
        </w:rPr>
        <w:t xml:space="preserve"> </w:t>
      </w:r>
    </w:p>
    <w:p w14:paraId="60C8BA9B" w14:textId="77777777" w:rsidR="00DB0AE5" w:rsidRDefault="00DB0AE5" w:rsidP="00005D29">
      <w:pPr>
        <w:pStyle w:val="Encabezado"/>
        <w:rPr>
          <w:lang w:eastAsia="es-CL"/>
        </w:rPr>
      </w:pPr>
    </w:p>
    <w:p w14:paraId="5098094F" w14:textId="77777777" w:rsidR="00207C9A" w:rsidRDefault="00207C9A" w:rsidP="00005D29">
      <w:pPr>
        <w:pStyle w:val="Encabezado"/>
        <w:rPr>
          <w:lang w:eastAsia="es-CL"/>
        </w:rPr>
      </w:pPr>
    </w:p>
    <w:p w14:paraId="73A9FED4" w14:textId="77777777" w:rsidR="00207C9A" w:rsidRDefault="00207C9A" w:rsidP="00005D29">
      <w:pPr>
        <w:pStyle w:val="Encabezado"/>
        <w:rPr>
          <w:lang w:eastAsia="es-CL"/>
        </w:rPr>
      </w:pPr>
    </w:p>
    <w:p w14:paraId="5ECFE853" w14:textId="0D48C5BB" w:rsidR="00197DDA" w:rsidRPr="004B184E" w:rsidRDefault="006C1A9A" w:rsidP="00E31A3F">
      <w:pPr>
        <w:pStyle w:val="Ttulo2"/>
        <w:rPr>
          <w:b w:val="0"/>
          <w:sz w:val="32"/>
          <w:szCs w:val="32"/>
          <w:lang w:eastAsia="es-CL"/>
        </w:rPr>
      </w:pPr>
      <w:bookmarkStart w:id="14" w:name="_Toc471999120"/>
      <w:r w:rsidRPr="004B184E">
        <w:rPr>
          <w:b w:val="0"/>
          <w:sz w:val="32"/>
          <w:szCs w:val="32"/>
          <w:lang w:eastAsia="es-CL"/>
        </w:rPr>
        <w:t>Residuos Só</w:t>
      </w:r>
      <w:r w:rsidR="00197DDA" w:rsidRPr="004B184E">
        <w:rPr>
          <w:b w:val="0"/>
          <w:sz w:val="32"/>
          <w:szCs w:val="32"/>
          <w:lang w:eastAsia="es-CL"/>
        </w:rPr>
        <w:t>lidos</w:t>
      </w:r>
      <w:bookmarkEnd w:id="14"/>
    </w:p>
    <w:p w14:paraId="46BBB384" w14:textId="77777777" w:rsidR="00152EEA" w:rsidRPr="006C1A9A" w:rsidRDefault="00152EEA" w:rsidP="0037632E">
      <w:pPr>
        <w:pStyle w:val="Encabezado"/>
        <w:jc w:val="both"/>
        <w:rPr>
          <w:lang w:eastAsia="es-CL"/>
        </w:rPr>
      </w:pPr>
    </w:p>
    <w:p w14:paraId="4BC844C0" w14:textId="599B576F" w:rsidR="00E42A9F" w:rsidRDefault="008B2E33" w:rsidP="00207C9A">
      <w:pPr>
        <w:pStyle w:val="Encabezado"/>
        <w:spacing w:line="276" w:lineRule="auto"/>
        <w:jc w:val="both"/>
        <w:rPr>
          <w:rFonts w:cs="Arial"/>
          <w:bCs/>
          <w:color w:val="000000"/>
          <w:sz w:val="24"/>
        </w:rPr>
      </w:pPr>
      <w:r w:rsidRPr="00404256">
        <w:rPr>
          <w:rFonts w:cs="Arial"/>
          <w:bCs/>
          <w:color w:val="000000"/>
          <w:sz w:val="24"/>
        </w:rPr>
        <w:t xml:space="preserve">Los residuos </w:t>
      </w:r>
      <w:r w:rsidRPr="00152EEA">
        <w:rPr>
          <w:rFonts w:cs="Arial"/>
          <w:bCs/>
          <w:color w:val="000000"/>
          <w:sz w:val="24"/>
        </w:rPr>
        <w:t>sólidos,</w:t>
      </w:r>
      <w:r w:rsidRPr="00404256">
        <w:rPr>
          <w:rFonts w:cs="Arial"/>
          <w:bCs/>
          <w:color w:val="000000"/>
          <w:sz w:val="24"/>
        </w:rPr>
        <w:t xml:space="preserve"> constituyen aquellos materiales desechados tras su vida útil, y que por lo general por sí solos carecen de valor económico.</w:t>
      </w:r>
      <w:r>
        <w:rPr>
          <w:rFonts w:cs="Arial"/>
          <w:bCs/>
          <w:color w:val="000000"/>
          <w:sz w:val="24"/>
        </w:rPr>
        <w:t xml:space="preserve"> </w:t>
      </w:r>
      <w:r w:rsidRPr="00404256">
        <w:rPr>
          <w:rFonts w:cs="Arial"/>
          <w:bCs/>
          <w:color w:val="000000"/>
          <w:sz w:val="24"/>
        </w:rPr>
        <w:t>Se componen principalmente de desechos procedentes de materiales utilizados en la fabricación, transformación o utilización de</w:t>
      </w:r>
      <w:r>
        <w:rPr>
          <w:rFonts w:cs="Arial"/>
          <w:bCs/>
          <w:color w:val="000000"/>
          <w:sz w:val="24"/>
        </w:rPr>
        <w:t xml:space="preserve"> bienes de consumo. </w:t>
      </w:r>
      <w:r w:rsidR="00A81941">
        <w:rPr>
          <w:rFonts w:cs="Arial"/>
          <w:bCs/>
          <w:color w:val="000000"/>
          <w:sz w:val="24"/>
        </w:rPr>
        <w:t xml:space="preserve">Los residuos sólidos son </w:t>
      </w:r>
      <w:r>
        <w:rPr>
          <w:rFonts w:cs="Arial"/>
          <w:bCs/>
          <w:color w:val="000000"/>
          <w:sz w:val="24"/>
        </w:rPr>
        <w:t>denominados</w:t>
      </w:r>
      <w:r w:rsidR="00ED3B35">
        <w:rPr>
          <w:rFonts w:cs="Arial"/>
          <w:bCs/>
          <w:color w:val="000000"/>
          <w:sz w:val="24"/>
        </w:rPr>
        <w:t xml:space="preserve"> de esta forma</w:t>
      </w:r>
      <w:r w:rsidR="00A81941">
        <w:rPr>
          <w:rFonts w:cs="Arial"/>
          <w:bCs/>
          <w:color w:val="000000"/>
          <w:sz w:val="24"/>
        </w:rPr>
        <w:t xml:space="preserve"> por su estado físico</w:t>
      </w:r>
      <w:r w:rsidR="00A81941" w:rsidRPr="00A81941">
        <w:rPr>
          <w:rFonts w:cs="Arial"/>
          <w:bCs/>
          <w:color w:val="000000"/>
          <w:sz w:val="24"/>
        </w:rPr>
        <w:t>.</w:t>
      </w:r>
    </w:p>
    <w:p w14:paraId="393DE740" w14:textId="77777777" w:rsidR="00350C00" w:rsidRDefault="00350C00" w:rsidP="00E65482">
      <w:pPr>
        <w:pStyle w:val="Encabezado"/>
        <w:spacing w:line="276" w:lineRule="auto"/>
        <w:ind w:firstLine="709"/>
        <w:jc w:val="both"/>
        <w:rPr>
          <w:rFonts w:cs="Arial"/>
          <w:bCs/>
          <w:color w:val="000000"/>
          <w:sz w:val="24"/>
        </w:rPr>
      </w:pPr>
    </w:p>
    <w:p w14:paraId="41909927" w14:textId="10B51672" w:rsidR="00350C00" w:rsidRPr="00A123E5" w:rsidRDefault="00350C00" w:rsidP="00207C9A">
      <w:pPr>
        <w:pStyle w:val="Encabezado"/>
        <w:spacing w:line="276" w:lineRule="auto"/>
        <w:jc w:val="both"/>
        <w:rPr>
          <w:rFonts w:cs="Arial"/>
          <w:bCs/>
          <w:color w:val="000000"/>
          <w:sz w:val="24"/>
        </w:rPr>
      </w:pPr>
      <w:r w:rsidRPr="00A123E5">
        <w:rPr>
          <w:rFonts w:cs="Arial"/>
          <w:bCs/>
          <w:color w:val="000000"/>
          <w:sz w:val="24"/>
        </w:rPr>
        <w:t>El volumen total de residuos sólidos genera</w:t>
      </w:r>
      <w:r w:rsidR="009173B8" w:rsidRPr="00A123E5">
        <w:rPr>
          <w:rFonts w:cs="Arial"/>
          <w:bCs/>
          <w:color w:val="000000"/>
          <w:sz w:val="24"/>
        </w:rPr>
        <w:t>dos por las empresas diagnosticadas</w:t>
      </w:r>
      <w:r w:rsidRPr="00A123E5">
        <w:rPr>
          <w:rFonts w:cs="Arial"/>
          <w:bCs/>
          <w:color w:val="000000"/>
          <w:sz w:val="24"/>
        </w:rPr>
        <w:t xml:space="preserve"> </w:t>
      </w:r>
      <w:r w:rsidR="00A123E5">
        <w:rPr>
          <w:rFonts w:cs="Arial"/>
          <w:bCs/>
          <w:color w:val="000000"/>
          <w:sz w:val="24"/>
        </w:rPr>
        <w:t>el año 2015</w:t>
      </w:r>
      <w:r w:rsidR="009173B8" w:rsidRPr="00A123E5">
        <w:rPr>
          <w:rFonts w:cs="Arial"/>
          <w:bCs/>
          <w:color w:val="000000"/>
          <w:sz w:val="24"/>
        </w:rPr>
        <w:t xml:space="preserve"> es 393 (Ton). Por su parte, el promedio de residuos sólidos generados por los centros de cultivo MYPE es 0,9 (Ton)</w:t>
      </w:r>
      <w:r w:rsidR="00A123E5">
        <w:rPr>
          <w:rFonts w:cs="Arial"/>
          <w:bCs/>
          <w:color w:val="000000"/>
          <w:sz w:val="24"/>
        </w:rPr>
        <w:t>, mientras los</w:t>
      </w:r>
      <w:r w:rsidR="009173B8" w:rsidRPr="00A123E5">
        <w:rPr>
          <w:rFonts w:cs="Arial"/>
          <w:bCs/>
          <w:color w:val="000000"/>
          <w:sz w:val="24"/>
        </w:rPr>
        <w:t xml:space="preserve"> centros de categoría Grande es 55 </w:t>
      </w:r>
      <w:r w:rsidRPr="00A123E5">
        <w:rPr>
          <w:rFonts w:cs="Arial"/>
          <w:bCs/>
          <w:color w:val="000000"/>
          <w:sz w:val="24"/>
        </w:rPr>
        <w:t>(</w:t>
      </w:r>
      <w:r w:rsidR="009173B8" w:rsidRPr="00A123E5">
        <w:rPr>
          <w:rFonts w:cs="Arial"/>
          <w:bCs/>
          <w:color w:val="000000"/>
          <w:sz w:val="24"/>
        </w:rPr>
        <w:t>Ton)</w:t>
      </w:r>
      <w:r w:rsidRPr="00A123E5">
        <w:rPr>
          <w:rFonts w:cs="Arial"/>
          <w:bCs/>
          <w:color w:val="000000"/>
          <w:sz w:val="24"/>
        </w:rPr>
        <w:t xml:space="preserve">. </w:t>
      </w:r>
      <w:r w:rsidRPr="000A1A8E">
        <w:rPr>
          <w:rFonts w:cs="Arial"/>
          <w:bCs/>
          <w:color w:val="000000"/>
          <w:sz w:val="24"/>
        </w:rPr>
        <w:t>(</w:t>
      </w:r>
      <w:r w:rsidR="000A1A8E" w:rsidRPr="000A1A8E">
        <w:rPr>
          <w:rFonts w:cs="Arial"/>
          <w:bCs/>
          <w:color w:val="000000"/>
          <w:sz w:val="24"/>
        </w:rPr>
        <w:t>Figura 15</w:t>
      </w:r>
      <w:r w:rsidR="00A123E5" w:rsidRPr="000A1A8E">
        <w:rPr>
          <w:rFonts w:cs="Arial"/>
          <w:bCs/>
          <w:color w:val="000000"/>
          <w:sz w:val="24"/>
        </w:rPr>
        <w:t>),</w:t>
      </w:r>
      <w:r w:rsidR="00A123E5">
        <w:rPr>
          <w:rFonts w:cs="Arial"/>
          <w:bCs/>
          <w:color w:val="000000"/>
          <w:sz w:val="24"/>
        </w:rPr>
        <w:t xml:space="preserve"> por lo tanto el segmento Grande genera mayor volumen de residuos sólidos. </w:t>
      </w:r>
    </w:p>
    <w:p w14:paraId="55AE3722" w14:textId="3BB3B845" w:rsidR="00350C00" w:rsidRPr="004E59B1" w:rsidRDefault="00BB76B6" w:rsidP="00BB76B6">
      <w:pPr>
        <w:pStyle w:val="Encabezado"/>
        <w:spacing w:line="276" w:lineRule="auto"/>
        <w:ind w:firstLine="709"/>
        <w:jc w:val="both"/>
        <w:rPr>
          <w:highlight w:val="yellow"/>
          <w:lang w:eastAsia="es-CL"/>
        </w:rPr>
      </w:pPr>
      <w:r>
        <w:rPr>
          <w:noProof/>
          <w:lang w:val="es-CL" w:eastAsia="es-CL"/>
        </w:rPr>
        <w:lastRenderedPageBreak/>
        <w:drawing>
          <wp:inline distT="0" distB="0" distL="0" distR="0" wp14:anchorId="575E905E" wp14:editId="30648F9B">
            <wp:extent cx="1543049" cy="2495549"/>
            <wp:effectExtent l="0" t="0" r="19685" b="19685"/>
            <wp:docPr id="4115" name="Gráfico 4115"/>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r w:rsidRPr="00BB76B6">
        <w:rPr>
          <w:noProof/>
          <w:sz w:val="15"/>
          <w:szCs w:val="15"/>
          <w:lang w:val="es-CL" w:eastAsia="es-CL"/>
        </w:rPr>
        <w:drawing>
          <wp:inline distT="0" distB="0" distL="0" distR="0" wp14:anchorId="4C01EA39" wp14:editId="1CE5E8BB">
            <wp:extent cx="1543050" cy="2495549"/>
            <wp:effectExtent l="0" t="0" r="19050" b="19685"/>
            <wp:docPr id="4116" name="Gráfico 4116"/>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r>
        <w:rPr>
          <w:noProof/>
          <w:lang w:val="es-CL" w:eastAsia="es-CL"/>
        </w:rPr>
        <w:drawing>
          <wp:inline distT="0" distB="0" distL="0" distR="0" wp14:anchorId="4A07F14B" wp14:editId="3B1E02FC">
            <wp:extent cx="1543050" cy="2495549"/>
            <wp:effectExtent l="0" t="0" r="19050" b="19685"/>
            <wp:docPr id="4117" name="Gráfico 4117"/>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14:paraId="1785FE0D" w14:textId="434AB7B1" w:rsidR="00350C00" w:rsidRDefault="000A1A8E" w:rsidP="00350C00">
      <w:pPr>
        <w:pStyle w:val="Encabezado"/>
        <w:rPr>
          <w:rFonts w:cs="Arial"/>
          <w:bCs/>
          <w:color w:val="000000"/>
          <w:sz w:val="24"/>
        </w:rPr>
      </w:pPr>
      <w:r w:rsidRPr="000A1A8E">
        <w:rPr>
          <w:rFonts w:cs="Arial"/>
          <w:b/>
          <w:bCs/>
          <w:color w:val="000000"/>
          <w:sz w:val="24"/>
        </w:rPr>
        <w:t>Figura 15</w:t>
      </w:r>
      <w:r w:rsidR="00350C00" w:rsidRPr="000A1A8E">
        <w:rPr>
          <w:rFonts w:cs="Arial"/>
          <w:b/>
          <w:bCs/>
          <w:color w:val="000000"/>
          <w:sz w:val="24"/>
        </w:rPr>
        <w:t>.</w:t>
      </w:r>
      <w:r w:rsidR="00350C00" w:rsidRPr="000A1A8E">
        <w:rPr>
          <w:rFonts w:cs="Arial"/>
          <w:bCs/>
          <w:color w:val="000000"/>
          <w:sz w:val="24"/>
        </w:rPr>
        <w:t>Residuos Sólid</w:t>
      </w:r>
      <w:r w:rsidR="00BB76B6" w:rsidRPr="000A1A8E">
        <w:rPr>
          <w:rFonts w:cs="Arial"/>
          <w:bCs/>
          <w:color w:val="000000"/>
          <w:sz w:val="24"/>
        </w:rPr>
        <w:t>os generados por los centros de cultivo diagnosticados</w:t>
      </w:r>
      <w:r w:rsidR="00350C00" w:rsidRPr="000A1A8E">
        <w:rPr>
          <w:rFonts w:cs="Arial"/>
          <w:bCs/>
          <w:color w:val="000000"/>
          <w:sz w:val="24"/>
        </w:rPr>
        <w:t>.</w:t>
      </w:r>
    </w:p>
    <w:p w14:paraId="16DD4444" w14:textId="77777777" w:rsidR="00350C00" w:rsidRDefault="00350C00" w:rsidP="00E65482">
      <w:pPr>
        <w:pStyle w:val="Encabezado"/>
        <w:spacing w:line="276" w:lineRule="auto"/>
        <w:ind w:firstLine="709"/>
        <w:jc w:val="both"/>
        <w:rPr>
          <w:rFonts w:cs="Arial"/>
          <w:bCs/>
          <w:color w:val="000000"/>
          <w:sz w:val="24"/>
        </w:rPr>
      </w:pPr>
    </w:p>
    <w:p w14:paraId="7EE64E13" w14:textId="77777777" w:rsidR="00EB6DA6" w:rsidRDefault="00EB6DA6" w:rsidP="00E65482">
      <w:pPr>
        <w:pStyle w:val="Encabezado"/>
        <w:spacing w:line="276" w:lineRule="auto"/>
        <w:ind w:firstLine="709"/>
        <w:jc w:val="both"/>
        <w:rPr>
          <w:rFonts w:cs="Arial"/>
          <w:bCs/>
          <w:color w:val="000000"/>
          <w:sz w:val="24"/>
        </w:rPr>
      </w:pPr>
    </w:p>
    <w:p w14:paraId="23B76FE9" w14:textId="3A7289B2" w:rsidR="00EB6DA6" w:rsidRDefault="00EB6DA6" w:rsidP="00207C9A">
      <w:pPr>
        <w:pStyle w:val="Encabezado"/>
        <w:spacing w:line="276" w:lineRule="auto"/>
        <w:jc w:val="both"/>
        <w:rPr>
          <w:rFonts w:cs="Arial"/>
          <w:bCs/>
          <w:color w:val="000000"/>
          <w:sz w:val="24"/>
        </w:rPr>
      </w:pPr>
      <w:r w:rsidRPr="0034318A">
        <w:rPr>
          <w:rFonts w:cs="Arial"/>
          <w:bCs/>
          <w:color w:val="000000"/>
          <w:sz w:val="24"/>
        </w:rPr>
        <w:t xml:space="preserve">Las empresas </w:t>
      </w:r>
      <w:r w:rsidR="00090B08">
        <w:rPr>
          <w:rFonts w:cs="Arial"/>
          <w:bCs/>
          <w:color w:val="000000"/>
          <w:sz w:val="24"/>
        </w:rPr>
        <w:t xml:space="preserve">diagnosticadas </w:t>
      </w:r>
      <w:r w:rsidRPr="0034318A">
        <w:rPr>
          <w:rFonts w:cs="Arial"/>
          <w:bCs/>
          <w:color w:val="000000"/>
          <w:sz w:val="24"/>
        </w:rPr>
        <w:t xml:space="preserve">identificaron los componentes de sus residuos sólidos. El residuo identificado y mencionado mayor número de veces por las empresas </w:t>
      </w:r>
      <w:r>
        <w:rPr>
          <w:rFonts w:cs="Arial"/>
          <w:bCs/>
          <w:color w:val="000000"/>
          <w:sz w:val="24"/>
        </w:rPr>
        <w:t>son:</w:t>
      </w:r>
      <w:r w:rsidR="00090B08">
        <w:rPr>
          <w:rFonts w:cs="Arial"/>
          <w:bCs/>
          <w:color w:val="000000"/>
          <w:sz w:val="24"/>
        </w:rPr>
        <w:t xml:space="preserve"> cabos (89</w:t>
      </w:r>
      <w:r w:rsidRPr="0034318A">
        <w:rPr>
          <w:rFonts w:cs="Arial"/>
          <w:bCs/>
          <w:color w:val="000000"/>
          <w:sz w:val="24"/>
        </w:rPr>
        <w:t xml:space="preserve">%), seguido de </w:t>
      </w:r>
      <w:r w:rsidR="00090B08">
        <w:rPr>
          <w:rFonts w:cs="Arial"/>
          <w:bCs/>
          <w:color w:val="000000"/>
          <w:sz w:val="24"/>
        </w:rPr>
        <w:t xml:space="preserve">restos de red (44%), boyas plásticas y basura domiciliaria (33%), estructuras metálicas (22%), mallas y </w:t>
      </w:r>
      <w:proofErr w:type="spellStart"/>
      <w:r w:rsidR="00090B08">
        <w:rPr>
          <w:rFonts w:cs="Arial"/>
          <w:bCs/>
          <w:color w:val="000000"/>
          <w:sz w:val="24"/>
        </w:rPr>
        <w:t>plumavit</w:t>
      </w:r>
      <w:proofErr w:type="spellEnd"/>
      <w:r w:rsidR="00090B08">
        <w:rPr>
          <w:rFonts w:cs="Arial"/>
          <w:bCs/>
          <w:color w:val="000000"/>
          <w:sz w:val="24"/>
        </w:rPr>
        <w:t xml:space="preserve"> (17%), conchas</w:t>
      </w:r>
      <w:r w:rsidR="005B1EAE">
        <w:rPr>
          <w:rFonts w:cs="Arial"/>
          <w:bCs/>
          <w:color w:val="000000"/>
          <w:sz w:val="24"/>
        </w:rPr>
        <w:t xml:space="preserve"> o valvas</w:t>
      </w:r>
      <w:r w:rsidR="00090B08">
        <w:rPr>
          <w:rFonts w:cs="Arial"/>
          <w:bCs/>
          <w:color w:val="000000"/>
          <w:sz w:val="24"/>
        </w:rPr>
        <w:t xml:space="preserve"> (11%) y bidones (6%) </w:t>
      </w:r>
      <w:r w:rsidRPr="0034318A">
        <w:rPr>
          <w:rFonts w:cs="Arial"/>
          <w:bCs/>
          <w:color w:val="000000"/>
          <w:sz w:val="24"/>
        </w:rPr>
        <w:t xml:space="preserve">cartones y plásticos con (57%) y residuos domiciliarios (43%). A continuación, fauna acompañante y chatarra (29%), y en menor cantidad las pecheras y guantes (14). </w:t>
      </w:r>
      <w:r w:rsidRPr="000A1A8E">
        <w:rPr>
          <w:rFonts w:cs="Arial"/>
          <w:bCs/>
          <w:color w:val="000000"/>
          <w:sz w:val="24"/>
        </w:rPr>
        <w:t>(</w:t>
      </w:r>
      <w:r w:rsidR="000A1A8E" w:rsidRPr="000A1A8E">
        <w:rPr>
          <w:rFonts w:cs="Arial"/>
          <w:bCs/>
          <w:color w:val="000000"/>
          <w:sz w:val="24"/>
        </w:rPr>
        <w:t>Figura 16</w:t>
      </w:r>
      <w:r w:rsidRPr="000A1A8E">
        <w:rPr>
          <w:rFonts w:cs="Arial"/>
          <w:bCs/>
          <w:color w:val="000000"/>
          <w:sz w:val="24"/>
        </w:rPr>
        <w:t>).</w:t>
      </w:r>
    </w:p>
    <w:p w14:paraId="4F4CF4A4" w14:textId="77777777" w:rsidR="00EB6DA6" w:rsidRPr="0034318A" w:rsidRDefault="00EB6DA6" w:rsidP="00EB6DA6">
      <w:pPr>
        <w:pStyle w:val="Encabezado"/>
        <w:spacing w:line="276" w:lineRule="auto"/>
        <w:ind w:firstLine="709"/>
        <w:jc w:val="both"/>
        <w:rPr>
          <w:rFonts w:cs="Arial"/>
          <w:bCs/>
          <w:color w:val="000000"/>
          <w:sz w:val="24"/>
        </w:rPr>
      </w:pPr>
    </w:p>
    <w:p w14:paraId="7A6F660B" w14:textId="77777777" w:rsidR="00090B08" w:rsidRDefault="00EB6DA6" w:rsidP="00090B08">
      <w:pPr>
        <w:pStyle w:val="Encabezado"/>
        <w:spacing w:line="276" w:lineRule="auto"/>
        <w:jc w:val="center"/>
        <w:rPr>
          <w:rFonts w:cs="Arial"/>
          <w:b/>
          <w:bCs/>
          <w:color w:val="000000"/>
          <w:sz w:val="24"/>
        </w:rPr>
      </w:pPr>
      <w:r>
        <w:rPr>
          <w:noProof/>
          <w:lang w:val="es-CL" w:eastAsia="es-CL"/>
        </w:rPr>
        <w:lastRenderedPageBreak/>
        <w:drawing>
          <wp:inline distT="0" distB="0" distL="0" distR="0" wp14:anchorId="5D7491A7" wp14:editId="5C04A050">
            <wp:extent cx="4659782" cy="2779984"/>
            <wp:effectExtent l="0" t="0" r="7620" b="1905"/>
            <wp:docPr id="5120" name="Imagen 5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0">
                      <a:extLst>
                        <a:ext uri="{28A0092B-C50C-407E-A947-70E740481C1C}">
                          <a14:useLocalDpi xmlns:a14="http://schemas.microsoft.com/office/drawing/2010/main" val="0"/>
                        </a:ext>
                      </a:extLst>
                    </a:blip>
                    <a:srcRect l="928" t="14378" r="1114" b="16994"/>
                    <a:stretch/>
                  </pic:blipFill>
                  <pic:spPr bwMode="auto">
                    <a:xfrm>
                      <a:off x="0" y="0"/>
                      <a:ext cx="4660981" cy="2780700"/>
                    </a:xfrm>
                    <a:prstGeom prst="rect">
                      <a:avLst/>
                    </a:prstGeom>
                    <a:noFill/>
                    <a:ln>
                      <a:noFill/>
                    </a:ln>
                    <a:effectLst/>
                    <a:extLst>
                      <a:ext uri="{53640926-AAD7-44D8-BBD7-CCE9431645EC}">
                        <a14:shadowObscured xmlns:a14="http://schemas.microsoft.com/office/drawing/2010/main"/>
                      </a:ext>
                    </a:extLst>
                  </pic:spPr>
                </pic:pic>
              </a:graphicData>
            </a:graphic>
          </wp:inline>
        </w:drawing>
      </w:r>
    </w:p>
    <w:p w14:paraId="07BC4A21" w14:textId="249124D7" w:rsidR="00EB6DA6" w:rsidRDefault="000A1A8E" w:rsidP="00090B08">
      <w:pPr>
        <w:pStyle w:val="Encabezado"/>
        <w:spacing w:line="276" w:lineRule="auto"/>
        <w:jc w:val="both"/>
        <w:rPr>
          <w:rFonts w:cs="Arial"/>
          <w:bCs/>
          <w:color w:val="000000"/>
          <w:sz w:val="24"/>
        </w:rPr>
      </w:pPr>
      <w:r>
        <w:rPr>
          <w:rFonts w:cs="Arial"/>
          <w:b/>
          <w:bCs/>
          <w:color w:val="000000"/>
          <w:sz w:val="24"/>
        </w:rPr>
        <w:t>Figura 16</w:t>
      </w:r>
      <w:r w:rsidR="00EB6DA6" w:rsidRPr="007F6A01">
        <w:rPr>
          <w:rFonts w:cs="Arial"/>
          <w:b/>
          <w:bCs/>
          <w:color w:val="000000"/>
          <w:sz w:val="24"/>
        </w:rPr>
        <w:t>.</w:t>
      </w:r>
      <w:r w:rsidR="00EB6DA6">
        <w:rPr>
          <w:rFonts w:cs="Arial"/>
          <w:bCs/>
          <w:color w:val="000000"/>
          <w:sz w:val="24"/>
        </w:rPr>
        <w:t xml:space="preserve"> Residuos Sólidos identificados por las plantas de proceso.</w:t>
      </w:r>
    </w:p>
    <w:p w14:paraId="5CCF880E" w14:textId="77777777" w:rsidR="00BF1115" w:rsidRDefault="00BF1115" w:rsidP="00090B08">
      <w:pPr>
        <w:pStyle w:val="Encabezado"/>
        <w:spacing w:line="276" w:lineRule="auto"/>
        <w:jc w:val="both"/>
        <w:rPr>
          <w:rFonts w:cs="Arial"/>
          <w:bCs/>
          <w:color w:val="000000"/>
          <w:sz w:val="24"/>
        </w:rPr>
      </w:pPr>
    </w:p>
    <w:p w14:paraId="3822EDE8" w14:textId="3280341F" w:rsidR="00BF1115" w:rsidRDefault="00BF1115" w:rsidP="00BF1115">
      <w:pPr>
        <w:pStyle w:val="Encabezado"/>
        <w:spacing w:line="276" w:lineRule="auto"/>
        <w:ind w:firstLine="709"/>
        <w:jc w:val="both"/>
        <w:rPr>
          <w:rFonts w:cs="Arial"/>
          <w:bCs/>
          <w:color w:val="000000"/>
          <w:sz w:val="24"/>
        </w:rPr>
      </w:pPr>
      <w:r>
        <w:rPr>
          <w:rFonts w:cs="Arial"/>
          <w:bCs/>
          <w:color w:val="000000"/>
          <w:sz w:val="24"/>
        </w:rPr>
        <w:t xml:space="preserve">Se evidenció que el 43 % de los centros de cultivo MYPE, el destino </w:t>
      </w:r>
      <w:r w:rsidRPr="00152EEA">
        <w:rPr>
          <w:rFonts w:cs="Arial"/>
          <w:bCs/>
          <w:color w:val="000000"/>
          <w:sz w:val="24"/>
        </w:rPr>
        <w:t xml:space="preserve">final de todos los residuos sólidos </w:t>
      </w:r>
      <w:r>
        <w:rPr>
          <w:rFonts w:cs="Arial"/>
          <w:bCs/>
          <w:color w:val="000000"/>
          <w:sz w:val="24"/>
        </w:rPr>
        <w:t xml:space="preserve">es la basura municipal, donde los productores informan acumular residuos y posteriormente depositarlos en los contenedores municipales de basura dispuestos en la ciudad, 21% los combustiona, seguido del 14% que los mantiene en patio y el 7% lo envía a vertedero municipal. Señalar que el 14% no informa el destino final de sus residuos s </w:t>
      </w:r>
      <w:r w:rsidRPr="000A1A8E">
        <w:rPr>
          <w:rFonts w:cs="Arial"/>
          <w:bCs/>
          <w:color w:val="000000"/>
          <w:sz w:val="24"/>
        </w:rPr>
        <w:t>(</w:t>
      </w:r>
      <w:r w:rsidR="000A1A8E" w:rsidRPr="000A1A8E">
        <w:rPr>
          <w:rFonts w:cs="Arial"/>
          <w:bCs/>
          <w:color w:val="000000"/>
          <w:sz w:val="24"/>
        </w:rPr>
        <w:t xml:space="preserve">Figura </w:t>
      </w:r>
      <w:r w:rsidR="000A1A8E">
        <w:rPr>
          <w:rFonts w:cs="Arial"/>
          <w:bCs/>
          <w:color w:val="000000"/>
          <w:sz w:val="24"/>
        </w:rPr>
        <w:t>17</w:t>
      </w:r>
      <w:r>
        <w:rPr>
          <w:rFonts w:cs="Arial"/>
          <w:bCs/>
          <w:color w:val="000000"/>
          <w:sz w:val="24"/>
        </w:rPr>
        <w:t>).</w:t>
      </w:r>
    </w:p>
    <w:p w14:paraId="72CBEC87" w14:textId="77777777" w:rsidR="00BF1115" w:rsidRDefault="00BF1115" w:rsidP="00BF1115">
      <w:pPr>
        <w:pStyle w:val="Encabezado"/>
        <w:spacing w:line="276" w:lineRule="auto"/>
        <w:ind w:firstLine="709"/>
        <w:jc w:val="both"/>
        <w:rPr>
          <w:rFonts w:cs="Arial"/>
          <w:bCs/>
          <w:color w:val="000000"/>
          <w:sz w:val="24"/>
        </w:rPr>
      </w:pPr>
    </w:p>
    <w:p w14:paraId="2F0DA417" w14:textId="77777777" w:rsidR="00BF1115" w:rsidRDefault="00BF1115" w:rsidP="00BF1115">
      <w:pPr>
        <w:spacing w:after="0"/>
        <w:rPr>
          <w:rFonts w:cs="Arial"/>
          <w:b/>
          <w:bCs/>
          <w:color w:val="000000"/>
          <w:sz w:val="24"/>
        </w:rPr>
      </w:pPr>
      <w:r>
        <w:rPr>
          <w:noProof/>
          <w:lang w:val="es-CL" w:eastAsia="es-CL"/>
        </w:rPr>
        <w:lastRenderedPageBreak/>
        <w:drawing>
          <wp:inline distT="0" distB="0" distL="0" distR="0" wp14:anchorId="2177730B" wp14:editId="7E85317B">
            <wp:extent cx="4774046" cy="2789382"/>
            <wp:effectExtent l="0" t="0" r="7620" b="11430"/>
            <wp:docPr id="5125" name="Chart 1">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B26A7D2-B308-4BF0-93EE-1D55DF29A7AF}"/>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 name="Chart 1">
                      <a:extLst>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B26A7D2-B308-4BF0-93EE-1D55DF29A7AF}"/>
                        </a:ext>
                      </a:extLst>
                    </pic:cNvPr>
                    <pic:cNvPicPr>
                      <a:picLocks noGrp="1" noRot="1" noChangeAspect="1" noMove="1" noResize="1" noEditPoints="1" noAdjustHandles="1" noChangeArrowheads="1" noChangeShapeType="1"/>
                    </pic:cNvPicPr>
                  </pic:nvPicPr>
                  <pic:blipFill>
                    <a:blip r:embed="rId51"/>
                    <a:stretch>
                      <a:fillRect/>
                    </a:stretch>
                  </pic:blipFill>
                  <pic:spPr>
                    <a:xfrm>
                      <a:off x="0" y="0"/>
                      <a:ext cx="4773930" cy="2788920"/>
                    </a:xfrm>
                    <a:prstGeom prst="rect">
                      <a:avLst/>
                    </a:prstGeom>
                  </pic:spPr>
                </pic:pic>
              </a:graphicData>
            </a:graphic>
          </wp:inline>
        </w:drawing>
      </w:r>
    </w:p>
    <w:p w14:paraId="395CD2C8" w14:textId="00ABF711" w:rsidR="00BF1115" w:rsidRDefault="000A1A8E" w:rsidP="00BF1115">
      <w:pPr>
        <w:rPr>
          <w:rFonts w:cs="Arial"/>
          <w:bCs/>
          <w:color w:val="000000"/>
          <w:sz w:val="24"/>
        </w:rPr>
      </w:pPr>
      <w:r w:rsidRPr="000A1A8E">
        <w:rPr>
          <w:rFonts w:cs="Arial"/>
          <w:b/>
          <w:bCs/>
          <w:color w:val="000000"/>
          <w:sz w:val="24"/>
        </w:rPr>
        <w:t>Figura 17</w:t>
      </w:r>
      <w:r w:rsidR="00BF1115" w:rsidRPr="000A1A8E">
        <w:rPr>
          <w:rFonts w:cs="Arial"/>
          <w:b/>
          <w:bCs/>
          <w:color w:val="000000"/>
          <w:sz w:val="24"/>
        </w:rPr>
        <w:t>.</w:t>
      </w:r>
      <w:r w:rsidR="00BF1115">
        <w:rPr>
          <w:rFonts w:cs="Arial"/>
          <w:bCs/>
          <w:color w:val="000000"/>
          <w:sz w:val="24"/>
        </w:rPr>
        <w:t xml:space="preserve"> Disposición de Residuos Sólidos de centros de cultivo MYPE.</w:t>
      </w:r>
    </w:p>
    <w:p w14:paraId="390F26FC" w14:textId="7780D4D0" w:rsidR="00BF1115" w:rsidRPr="007B74B8" w:rsidRDefault="00BF1115" w:rsidP="00BF1115">
      <w:pPr>
        <w:pStyle w:val="Encabezado"/>
        <w:spacing w:line="276" w:lineRule="auto"/>
        <w:ind w:firstLine="709"/>
        <w:jc w:val="both"/>
        <w:rPr>
          <w:rFonts w:cs="Arial"/>
          <w:bCs/>
          <w:color w:val="000000"/>
          <w:sz w:val="24"/>
        </w:rPr>
      </w:pPr>
      <w:r>
        <w:rPr>
          <w:rFonts w:cs="Arial"/>
          <w:bCs/>
          <w:color w:val="000000"/>
          <w:sz w:val="24"/>
        </w:rPr>
        <w:t>El D.S. 320, “Reglamento Medio Ambiental para la acuicultura”, Art. 4, letra a,  señala que los titulares deben a</w:t>
      </w:r>
      <w:r w:rsidRPr="00B84F3D">
        <w:rPr>
          <w:rFonts w:cs="Arial"/>
          <w:bCs/>
          <w:color w:val="000000"/>
          <w:sz w:val="24"/>
        </w:rPr>
        <w:t>doptar medidas para impedir el vertimiento de residuos y desechos sólidos y</w:t>
      </w:r>
      <w:r>
        <w:rPr>
          <w:rFonts w:cs="Arial"/>
          <w:bCs/>
          <w:color w:val="000000"/>
          <w:sz w:val="24"/>
        </w:rPr>
        <w:t xml:space="preserve"> </w:t>
      </w:r>
      <w:r w:rsidRPr="00B84F3D">
        <w:rPr>
          <w:rFonts w:cs="Arial"/>
          <w:bCs/>
          <w:color w:val="000000"/>
          <w:sz w:val="24"/>
        </w:rPr>
        <w:t>líquidos, que tengan como causa la actividad, incluidas las mortalidades,</w:t>
      </w:r>
      <w:r>
        <w:rPr>
          <w:rFonts w:cs="Arial"/>
          <w:bCs/>
          <w:color w:val="000000"/>
          <w:sz w:val="24"/>
        </w:rPr>
        <w:t xml:space="preserve"> </w:t>
      </w:r>
      <w:r w:rsidRPr="00B84F3D">
        <w:rPr>
          <w:rFonts w:cs="Arial"/>
          <w:bCs/>
          <w:color w:val="000000"/>
          <w:sz w:val="24"/>
        </w:rPr>
        <w:t>compuestos sanguíneos, sustancias químicas, lodos y en general materiales y</w:t>
      </w:r>
      <w:r>
        <w:rPr>
          <w:rFonts w:cs="Arial"/>
          <w:bCs/>
          <w:color w:val="000000"/>
          <w:sz w:val="24"/>
        </w:rPr>
        <w:t xml:space="preserve"> </w:t>
      </w:r>
      <w:r w:rsidRPr="00B84F3D">
        <w:rPr>
          <w:rFonts w:cs="Arial"/>
          <w:bCs/>
          <w:color w:val="000000"/>
          <w:sz w:val="24"/>
        </w:rPr>
        <w:t>sustancias de cualquier origen, que puedan afectar el fondo marino, columna</w:t>
      </w:r>
      <w:r>
        <w:rPr>
          <w:rFonts w:cs="Arial"/>
          <w:bCs/>
          <w:color w:val="000000"/>
          <w:sz w:val="24"/>
        </w:rPr>
        <w:t xml:space="preserve"> </w:t>
      </w:r>
      <w:r w:rsidRPr="00B84F3D">
        <w:rPr>
          <w:rFonts w:cs="Arial"/>
          <w:bCs/>
          <w:color w:val="000000"/>
          <w:sz w:val="24"/>
        </w:rPr>
        <w:t>de agua, playas, terrenos de playa</w:t>
      </w:r>
      <w:r>
        <w:rPr>
          <w:rFonts w:cs="Arial"/>
          <w:bCs/>
          <w:color w:val="000000"/>
          <w:sz w:val="24"/>
        </w:rPr>
        <w:t>.</w:t>
      </w:r>
      <w:r w:rsidRPr="00B84F3D">
        <w:t xml:space="preserve"> </w:t>
      </w:r>
      <w:r w:rsidRPr="00B84F3D">
        <w:rPr>
          <w:rFonts w:cs="Arial"/>
          <w:bCs/>
          <w:color w:val="000000"/>
          <w:sz w:val="24"/>
        </w:rPr>
        <w:t>Además, la acumulación, traslado y disposición de dichos desechos y residuos deberá</w:t>
      </w:r>
      <w:r>
        <w:rPr>
          <w:rFonts w:cs="Arial"/>
          <w:bCs/>
          <w:color w:val="000000"/>
          <w:sz w:val="24"/>
        </w:rPr>
        <w:t xml:space="preserve"> </w:t>
      </w:r>
      <w:r w:rsidRPr="00B84F3D">
        <w:rPr>
          <w:rFonts w:cs="Arial"/>
          <w:bCs/>
          <w:color w:val="000000"/>
          <w:sz w:val="24"/>
        </w:rPr>
        <w:t>hacerse en contenedores herméticos que impidan escurrimientos. El transporte</w:t>
      </w:r>
      <w:r>
        <w:rPr>
          <w:rFonts w:cs="Arial"/>
          <w:bCs/>
          <w:color w:val="000000"/>
          <w:sz w:val="24"/>
        </w:rPr>
        <w:t xml:space="preserve"> </w:t>
      </w:r>
      <w:r w:rsidRPr="00B84F3D">
        <w:rPr>
          <w:rFonts w:cs="Arial"/>
          <w:bCs/>
          <w:color w:val="000000"/>
          <w:sz w:val="24"/>
        </w:rPr>
        <w:t>fuera del centro y la disposición final deberá realizarse conforme los</w:t>
      </w:r>
      <w:r>
        <w:rPr>
          <w:rFonts w:cs="Arial"/>
          <w:bCs/>
          <w:color w:val="000000"/>
          <w:sz w:val="24"/>
        </w:rPr>
        <w:t xml:space="preserve"> </w:t>
      </w:r>
      <w:r w:rsidRPr="00B84F3D">
        <w:rPr>
          <w:rFonts w:cs="Arial"/>
          <w:bCs/>
          <w:color w:val="000000"/>
          <w:sz w:val="24"/>
        </w:rPr>
        <w:t>procedimientos establecidos por la autoridad competente</w:t>
      </w:r>
      <w:r>
        <w:rPr>
          <w:rFonts w:cs="Arial"/>
          <w:bCs/>
          <w:color w:val="000000"/>
          <w:sz w:val="24"/>
        </w:rPr>
        <w:t xml:space="preserve">. En el análisis sobre el destino final de los residuos sólidos para caso de las empresas Grande, se observa que el  33 % el destino es  el vertedero municipal y la empresa </w:t>
      </w:r>
      <w:proofErr w:type="spellStart"/>
      <w:r>
        <w:rPr>
          <w:rFonts w:cs="Arial"/>
          <w:bCs/>
          <w:color w:val="000000"/>
          <w:sz w:val="24"/>
        </w:rPr>
        <w:t>Resiter</w:t>
      </w:r>
      <w:proofErr w:type="spellEnd"/>
      <w:r>
        <w:rPr>
          <w:rFonts w:cs="Arial"/>
          <w:bCs/>
          <w:color w:val="000000"/>
          <w:sz w:val="24"/>
        </w:rPr>
        <w:t xml:space="preserve">, seguido del 17% que los envía a la planta de proceso, quién se encarga del destino final y el 8% lo envía al vertedero de </w:t>
      </w:r>
      <w:proofErr w:type="spellStart"/>
      <w:r>
        <w:rPr>
          <w:rFonts w:cs="Arial"/>
          <w:bCs/>
          <w:color w:val="000000"/>
          <w:sz w:val="24"/>
        </w:rPr>
        <w:t>Dicham</w:t>
      </w:r>
      <w:proofErr w:type="spellEnd"/>
      <w:r>
        <w:rPr>
          <w:rFonts w:cs="Arial"/>
          <w:bCs/>
          <w:color w:val="000000"/>
          <w:sz w:val="24"/>
        </w:rPr>
        <w:t>. (</w:t>
      </w:r>
      <w:r w:rsidRPr="000A1A8E">
        <w:rPr>
          <w:rFonts w:cs="Arial"/>
          <w:bCs/>
          <w:color w:val="000000"/>
          <w:sz w:val="24"/>
        </w:rPr>
        <w:t xml:space="preserve">Figura </w:t>
      </w:r>
      <w:r w:rsidR="000A1A8E" w:rsidRPr="000A1A8E">
        <w:rPr>
          <w:rFonts w:cs="Arial"/>
          <w:bCs/>
          <w:color w:val="000000"/>
          <w:sz w:val="24"/>
        </w:rPr>
        <w:t>18</w:t>
      </w:r>
      <w:r>
        <w:rPr>
          <w:rFonts w:cs="Arial"/>
          <w:bCs/>
          <w:color w:val="000000"/>
          <w:sz w:val="24"/>
        </w:rPr>
        <w:t>).</w:t>
      </w:r>
    </w:p>
    <w:p w14:paraId="155773B5" w14:textId="77777777" w:rsidR="00BF1115" w:rsidRDefault="00BF1115" w:rsidP="00BF1115">
      <w:pPr>
        <w:pStyle w:val="Encabezado"/>
      </w:pPr>
    </w:p>
    <w:p w14:paraId="56FE9848" w14:textId="77777777" w:rsidR="00BF1115" w:rsidRDefault="00BF1115" w:rsidP="00BF1115">
      <w:pPr>
        <w:spacing w:after="0"/>
        <w:rPr>
          <w:rFonts w:cs="Arial"/>
          <w:b/>
          <w:bCs/>
          <w:color w:val="000000"/>
          <w:sz w:val="24"/>
        </w:rPr>
      </w:pPr>
      <w:r>
        <w:rPr>
          <w:noProof/>
          <w:lang w:val="es-CL" w:eastAsia="es-CL"/>
        </w:rPr>
        <w:lastRenderedPageBreak/>
        <w:drawing>
          <wp:inline distT="0" distB="0" distL="0" distR="0" wp14:anchorId="56C824A8" wp14:editId="57332D4D">
            <wp:extent cx="4762500" cy="2705100"/>
            <wp:effectExtent l="0" t="0" r="0" b="0"/>
            <wp:docPr id="4102" name="Chart 3">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E1FDCEC-6AA1-4AF6-9A3B-F527ABC5C09E}"/>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 name="Chart 3">
                      <a:extLst>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E1FDCEC-6AA1-4AF6-9A3B-F527ABC5C09E}"/>
                        </a:ext>
                      </a:extLst>
                    </pic:cNvPr>
                    <pic:cNvPicPr>
                      <a:picLocks noGrp="1" noRot="1" noChangeAspect="1" noMove="1" noResize="1" noEditPoints="1" noAdjustHandles="1" noChangeArrowheads="1" noChangeShapeType="1"/>
                    </pic:cNvPicPr>
                  </pic:nvPicPr>
                  <pic:blipFill>
                    <a:blip r:embed="rId52"/>
                    <a:stretch>
                      <a:fillRect/>
                    </a:stretch>
                  </pic:blipFill>
                  <pic:spPr>
                    <a:xfrm>
                      <a:off x="0" y="0"/>
                      <a:ext cx="4762500" cy="2705100"/>
                    </a:xfrm>
                    <a:prstGeom prst="rect">
                      <a:avLst/>
                    </a:prstGeom>
                  </pic:spPr>
                </pic:pic>
              </a:graphicData>
            </a:graphic>
          </wp:inline>
        </w:drawing>
      </w:r>
    </w:p>
    <w:p w14:paraId="0024DE79" w14:textId="648F264A" w:rsidR="00BF1115" w:rsidRDefault="00BF1115" w:rsidP="00BF1115">
      <w:pPr>
        <w:spacing w:after="0"/>
        <w:rPr>
          <w:rFonts w:cs="Arial"/>
          <w:bCs/>
          <w:color w:val="000000"/>
          <w:sz w:val="24"/>
        </w:rPr>
      </w:pPr>
      <w:r w:rsidRPr="000A1A8E">
        <w:rPr>
          <w:rFonts w:cs="Arial"/>
          <w:b/>
          <w:bCs/>
          <w:color w:val="000000"/>
          <w:sz w:val="24"/>
        </w:rPr>
        <w:t>Figur</w:t>
      </w:r>
      <w:r w:rsidR="000A1A8E" w:rsidRPr="000A1A8E">
        <w:rPr>
          <w:rFonts w:cs="Arial"/>
          <w:b/>
          <w:bCs/>
          <w:color w:val="000000"/>
          <w:sz w:val="24"/>
        </w:rPr>
        <w:t>a 18</w:t>
      </w:r>
      <w:r w:rsidRPr="000A1A8E">
        <w:rPr>
          <w:rFonts w:cs="Arial"/>
          <w:b/>
          <w:bCs/>
          <w:color w:val="000000"/>
          <w:sz w:val="24"/>
        </w:rPr>
        <w:t>.</w:t>
      </w:r>
      <w:r>
        <w:rPr>
          <w:rFonts w:cs="Arial"/>
          <w:bCs/>
          <w:color w:val="000000"/>
          <w:sz w:val="24"/>
        </w:rPr>
        <w:t xml:space="preserve"> Disposición de Residuos Sólidos de centros de cultivo Grande.</w:t>
      </w:r>
    </w:p>
    <w:p w14:paraId="20A369EA" w14:textId="77777777" w:rsidR="00BF1115" w:rsidRDefault="00BF1115" w:rsidP="00090B08">
      <w:pPr>
        <w:pStyle w:val="Encabezado"/>
        <w:spacing w:line="276" w:lineRule="auto"/>
        <w:jc w:val="both"/>
        <w:rPr>
          <w:rFonts w:cs="Arial"/>
          <w:bCs/>
          <w:color w:val="000000"/>
          <w:sz w:val="24"/>
        </w:rPr>
      </w:pPr>
    </w:p>
    <w:p w14:paraId="644E1CE5" w14:textId="77777777" w:rsidR="00EB6DA6" w:rsidRDefault="00EB6DA6" w:rsidP="00E65482">
      <w:pPr>
        <w:pStyle w:val="Encabezado"/>
        <w:spacing w:line="276" w:lineRule="auto"/>
        <w:ind w:firstLine="709"/>
        <w:jc w:val="both"/>
        <w:rPr>
          <w:rFonts w:cs="Arial"/>
          <w:bCs/>
          <w:color w:val="000000"/>
          <w:sz w:val="24"/>
        </w:rPr>
      </w:pPr>
    </w:p>
    <w:p w14:paraId="3CCC3F59" w14:textId="3C4D0BD6" w:rsidR="00E42A9F" w:rsidRDefault="00BF1115" w:rsidP="00E65482">
      <w:pPr>
        <w:pStyle w:val="Encabezado"/>
        <w:spacing w:line="276" w:lineRule="auto"/>
        <w:ind w:firstLine="709"/>
        <w:jc w:val="both"/>
        <w:rPr>
          <w:rFonts w:cs="Arial"/>
          <w:bCs/>
          <w:color w:val="000000"/>
          <w:sz w:val="24"/>
        </w:rPr>
      </w:pPr>
      <w:r>
        <w:rPr>
          <w:rFonts w:cs="Arial"/>
          <w:bCs/>
          <w:color w:val="000000"/>
          <w:sz w:val="24"/>
        </w:rPr>
        <w:t>Po otro lado, s</w:t>
      </w:r>
      <w:r w:rsidR="00090B08">
        <w:rPr>
          <w:rFonts w:cs="Arial"/>
          <w:bCs/>
          <w:color w:val="000000"/>
          <w:sz w:val="24"/>
        </w:rPr>
        <w:t>e analizó los residuo</w:t>
      </w:r>
      <w:r w:rsidR="004932BD">
        <w:rPr>
          <w:rFonts w:cs="Arial"/>
          <w:bCs/>
          <w:color w:val="000000"/>
          <w:sz w:val="24"/>
        </w:rPr>
        <w:t xml:space="preserve">s generados por las estructuras </w:t>
      </w:r>
      <w:r w:rsidR="00E02744">
        <w:rPr>
          <w:rFonts w:cs="Arial"/>
          <w:bCs/>
          <w:color w:val="000000"/>
          <w:sz w:val="24"/>
        </w:rPr>
        <w:t>de cultivo o</w:t>
      </w:r>
      <w:r w:rsidR="004932BD">
        <w:rPr>
          <w:rFonts w:cs="Arial"/>
          <w:bCs/>
          <w:color w:val="000000"/>
          <w:sz w:val="24"/>
        </w:rPr>
        <w:t xml:space="preserve">  línea</w:t>
      </w:r>
      <w:r w:rsidR="00F27970">
        <w:rPr>
          <w:rFonts w:cs="Arial"/>
          <w:bCs/>
          <w:color w:val="000000"/>
          <w:sz w:val="24"/>
        </w:rPr>
        <w:t>s</w:t>
      </w:r>
      <w:r w:rsidR="004932BD">
        <w:rPr>
          <w:rFonts w:cs="Arial"/>
          <w:bCs/>
          <w:color w:val="000000"/>
          <w:sz w:val="24"/>
        </w:rPr>
        <w:t xml:space="preserve"> de cultivo al término </w:t>
      </w:r>
      <w:r w:rsidR="00F27970">
        <w:rPr>
          <w:rFonts w:cs="Arial"/>
          <w:bCs/>
          <w:color w:val="000000"/>
          <w:sz w:val="24"/>
        </w:rPr>
        <w:t xml:space="preserve">de </w:t>
      </w:r>
      <w:r w:rsidR="004932BD">
        <w:rPr>
          <w:rFonts w:cs="Arial"/>
          <w:bCs/>
          <w:color w:val="000000"/>
          <w:sz w:val="24"/>
        </w:rPr>
        <w:t xml:space="preserve">su vida útil, es decir las líneas que por fatiga de material pasan a ser </w:t>
      </w:r>
      <w:r w:rsidR="00E02744">
        <w:rPr>
          <w:rFonts w:cs="Arial"/>
          <w:bCs/>
          <w:color w:val="000000"/>
          <w:sz w:val="24"/>
        </w:rPr>
        <w:t>un elemento que compone a los residuos sólidos</w:t>
      </w:r>
      <w:r w:rsidR="004932BD">
        <w:rPr>
          <w:rFonts w:cs="Arial"/>
          <w:bCs/>
          <w:color w:val="000000"/>
          <w:sz w:val="24"/>
        </w:rPr>
        <w:t>. Estos elementos son cabos, elementos de flotación  y red.</w:t>
      </w:r>
      <w:r w:rsidR="001433BD">
        <w:rPr>
          <w:rFonts w:cs="Arial"/>
          <w:bCs/>
          <w:color w:val="000000"/>
          <w:sz w:val="24"/>
        </w:rPr>
        <w:t xml:space="preserve"> Además, se analizó los residuos generados por el manejo de cuelgas y durante la cosecha, ambas operaciones que al realizarlas se desprenden individuos y  valvas vacías.</w:t>
      </w:r>
    </w:p>
    <w:p w14:paraId="3B995E95" w14:textId="77777777" w:rsidR="00F27970" w:rsidRDefault="00F27970" w:rsidP="00E65482">
      <w:pPr>
        <w:pStyle w:val="Encabezado"/>
        <w:spacing w:line="276" w:lineRule="auto"/>
        <w:ind w:firstLine="709"/>
        <w:jc w:val="both"/>
        <w:rPr>
          <w:rFonts w:cs="Arial"/>
          <w:bCs/>
          <w:color w:val="000000"/>
          <w:sz w:val="24"/>
        </w:rPr>
      </w:pPr>
    </w:p>
    <w:p w14:paraId="05CE55B2" w14:textId="3502FDA8" w:rsidR="00F27970" w:rsidRPr="00D276F2" w:rsidRDefault="00F27970" w:rsidP="00D276F2">
      <w:pPr>
        <w:pStyle w:val="Ttulo3"/>
        <w:rPr>
          <w:color w:val="E36C0A" w:themeColor="accent6" w:themeShade="BF"/>
          <w:sz w:val="24"/>
          <w:szCs w:val="24"/>
        </w:rPr>
      </w:pPr>
      <w:bookmarkStart w:id="15" w:name="_Toc471999121"/>
      <w:r w:rsidRPr="00D276F2">
        <w:rPr>
          <w:color w:val="E36C0A" w:themeColor="accent6" w:themeShade="BF"/>
          <w:sz w:val="24"/>
          <w:szCs w:val="24"/>
        </w:rPr>
        <w:t>Cabos y red</w:t>
      </w:r>
      <w:bookmarkEnd w:id="15"/>
    </w:p>
    <w:p w14:paraId="3E9A15F2" w14:textId="3848CA5E" w:rsidR="008C2808" w:rsidRPr="008C2808" w:rsidRDefault="00F27970" w:rsidP="008C2808">
      <w:pPr>
        <w:pStyle w:val="Encabezado"/>
        <w:spacing w:line="276" w:lineRule="auto"/>
        <w:ind w:firstLine="709"/>
        <w:jc w:val="both"/>
        <w:rPr>
          <w:rFonts w:cs="Arial"/>
          <w:bCs/>
          <w:color w:val="000000"/>
          <w:sz w:val="24"/>
        </w:rPr>
      </w:pPr>
      <w:r w:rsidRPr="008C2808">
        <w:rPr>
          <w:rFonts w:cs="Arial"/>
          <w:bCs/>
          <w:color w:val="000000"/>
          <w:sz w:val="24"/>
        </w:rPr>
        <w:t xml:space="preserve">El cabo utilizado por las empresas en su gran mayoría es de polipropileno (PP). </w:t>
      </w:r>
      <w:r w:rsidR="008C2808" w:rsidRPr="008C2808">
        <w:rPr>
          <w:rFonts w:cs="Arial"/>
          <w:bCs/>
          <w:color w:val="000000"/>
          <w:sz w:val="24"/>
        </w:rPr>
        <w:t xml:space="preserve">El polipropileno, estructuralmente es un polímero vinílico, similar al polietileno, pertenece al grupo de los termoplásticos. </w:t>
      </w:r>
    </w:p>
    <w:p w14:paraId="0D1E5ACB" w14:textId="5D906476" w:rsidR="00F27970" w:rsidRDefault="00F27970" w:rsidP="00793A7A">
      <w:pPr>
        <w:pStyle w:val="Encabezado"/>
        <w:spacing w:line="276" w:lineRule="auto"/>
        <w:ind w:firstLine="709"/>
        <w:jc w:val="both"/>
        <w:rPr>
          <w:rFonts w:cs="Arial"/>
          <w:bCs/>
          <w:color w:val="000000"/>
          <w:sz w:val="24"/>
        </w:rPr>
      </w:pPr>
      <w:r w:rsidRPr="008C2808">
        <w:rPr>
          <w:rFonts w:cs="Arial"/>
          <w:bCs/>
          <w:color w:val="000000"/>
          <w:sz w:val="24"/>
        </w:rPr>
        <w:t xml:space="preserve">Es un plástico muy duro y resistente, es opaco y con gran resistencia al calor pues se ablanda a una temperatura más elevada de los 150 </w:t>
      </w:r>
      <w:proofErr w:type="spellStart"/>
      <w:r w:rsidRPr="008C2808">
        <w:rPr>
          <w:rFonts w:cs="Arial"/>
          <w:bCs/>
          <w:color w:val="000000"/>
          <w:sz w:val="24"/>
        </w:rPr>
        <w:t>ºC</w:t>
      </w:r>
      <w:proofErr w:type="spellEnd"/>
      <w:r w:rsidRPr="008C2808">
        <w:rPr>
          <w:rFonts w:cs="Arial"/>
          <w:bCs/>
          <w:color w:val="000000"/>
          <w:sz w:val="24"/>
        </w:rPr>
        <w:t>). Es muy resistente a los golpes aunque tiene poca densidad y se pue</w:t>
      </w:r>
      <w:r w:rsidR="008C2808" w:rsidRPr="008C2808">
        <w:rPr>
          <w:rFonts w:cs="Arial"/>
          <w:bCs/>
          <w:color w:val="000000"/>
          <w:sz w:val="24"/>
        </w:rPr>
        <w:t>de doblar muy fácilmente. El polipropileno se utiliza de formas, como plástico para fabricación de envases y como fibra para cabos.</w:t>
      </w:r>
    </w:p>
    <w:p w14:paraId="55694E9F" w14:textId="75DC497D" w:rsidR="000A1A8E" w:rsidRDefault="008C2808" w:rsidP="000A1A8E">
      <w:pPr>
        <w:pStyle w:val="Encabezado"/>
        <w:spacing w:line="276" w:lineRule="auto"/>
        <w:ind w:firstLine="709"/>
        <w:jc w:val="both"/>
        <w:rPr>
          <w:rFonts w:cs="Arial"/>
          <w:bCs/>
          <w:color w:val="000000"/>
          <w:sz w:val="24"/>
        </w:rPr>
      </w:pPr>
      <w:r>
        <w:rPr>
          <w:rFonts w:cs="Arial"/>
          <w:bCs/>
          <w:color w:val="000000"/>
          <w:sz w:val="24"/>
        </w:rPr>
        <w:lastRenderedPageBreak/>
        <w:t xml:space="preserve">El análisis evidenció </w:t>
      </w:r>
      <w:r w:rsidR="002B58B3">
        <w:rPr>
          <w:rFonts w:cs="Arial"/>
          <w:bCs/>
          <w:color w:val="000000"/>
          <w:sz w:val="24"/>
        </w:rPr>
        <w:t>en ambas categorías el mayor porcentaje bota los restos y cabos, 9 empresas</w:t>
      </w:r>
      <w:r>
        <w:rPr>
          <w:rFonts w:cs="Arial"/>
          <w:bCs/>
          <w:color w:val="000000"/>
          <w:sz w:val="24"/>
        </w:rPr>
        <w:t xml:space="preserve"> MYPE</w:t>
      </w:r>
      <w:r w:rsidR="002B58B3">
        <w:rPr>
          <w:rFonts w:cs="Arial"/>
          <w:bCs/>
          <w:color w:val="000000"/>
          <w:sz w:val="24"/>
        </w:rPr>
        <w:t xml:space="preserve"> (69%) y centros de cultivo Grande (46%). </w:t>
      </w:r>
      <w:r w:rsidR="002B58B3" w:rsidRPr="000A1A8E">
        <w:rPr>
          <w:rFonts w:cs="Arial"/>
          <w:bCs/>
          <w:color w:val="000000"/>
          <w:sz w:val="24"/>
        </w:rPr>
        <w:t>(</w:t>
      </w:r>
      <w:r w:rsidR="000A1A8E" w:rsidRPr="000A1A8E">
        <w:rPr>
          <w:rFonts w:cs="Arial"/>
          <w:bCs/>
          <w:color w:val="000000"/>
          <w:sz w:val="24"/>
        </w:rPr>
        <w:t>Figura 19</w:t>
      </w:r>
      <w:r w:rsidR="002B58B3">
        <w:rPr>
          <w:rFonts w:cs="Arial"/>
          <w:bCs/>
          <w:color w:val="000000"/>
          <w:sz w:val="24"/>
        </w:rPr>
        <w:t>).</w:t>
      </w:r>
      <w:r w:rsidR="001D2D77">
        <w:rPr>
          <w:rFonts w:cs="Arial"/>
          <w:bCs/>
          <w:color w:val="000000"/>
          <w:sz w:val="24"/>
        </w:rPr>
        <w:t xml:space="preserve"> Señalar que ninguna empresa diagnosticada recicl</w:t>
      </w:r>
      <w:r w:rsidR="002D06DC">
        <w:rPr>
          <w:rFonts w:cs="Arial"/>
          <w:bCs/>
          <w:color w:val="000000"/>
          <w:sz w:val="24"/>
        </w:rPr>
        <w:t xml:space="preserve">a el cabo y red. </w:t>
      </w:r>
      <w:r w:rsidR="000A1A8E" w:rsidRPr="000A1A8E">
        <w:rPr>
          <w:rFonts w:cs="Arial"/>
          <w:bCs/>
          <w:color w:val="000000"/>
          <w:sz w:val="24"/>
        </w:rPr>
        <w:t>(Figura</w:t>
      </w:r>
      <w:r w:rsidR="000A1A8E">
        <w:rPr>
          <w:rFonts w:cs="Arial"/>
          <w:bCs/>
          <w:color w:val="000000"/>
          <w:sz w:val="24"/>
        </w:rPr>
        <w:t xml:space="preserve"> 19)</w:t>
      </w:r>
    </w:p>
    <w:p w14:paraId="68ED622D" w14:textId="77777777" w:rsidR="000A1A8E" w:rsidRDefault="000A1A8E" w:rsidP="000A1A8E">
      <w:pPr>
        <w:pStyle w:val="Encabezado"/>
        <w:spacing w:line="276" w:lineRule="auto"/>
        <w:ind w:firstLine="709"/>
        <w:jc w:val="both"/>
        <w:rPr>
          <w:rFonts w:cs="Arial"/>
          <w:bCs/>
          <w:color w:val="000000"/>
          <w:sz w:val="24"/>
        </w:rPr>
      </w:pPr>
    </w:p>
    <w:p w14:paraId="522F9AC6" w14:textId="43FA0061" w:rsidR="002B58B3" w:rsidRPr="008C2808" w:rsidRDefault="000A1A8E" w:rsidP="000A1A8E">
      <w:pPr>
        <w:pStyle w:val="Encabezado"/>
        <w:spacing w:line="276" w:lineRule="auto"/>
        <w:ind w:firstLine="709"/>
        <w:jc w:val="both"/>
        <w:rPr>
          <w:rFonts w:cs="Arial"/>
          <w:bCs/>
          <w:color w:val="000000"/>
          <w:sz w:val="24"/>
        </w:rPr>
      </w:pPr>
      <w:r w:rsidRPr="000A1A8E">
        <w:rPr>
          <w:rFonts w:cs="Arial"/>
          <w:bCs/>
          <w:color w:val="000000"/>
          <w:sz w:val="24"/>
        </w:rPr>
        <w:t xml:space="preserve"> </w:t>
      </w:r>
      <w:r w:rsidR="002B58B3">
        <w:rPr>
          <w:noProof/>
          <w:lang w:val="es-CL" w:eastAsia="es-CL"/>
        </w:rPr>
        <w:drawing>
          <wp:inline distT="0" distB="0" distL="0" distR="0" wp14:anchorId="50887C0A" wp14:editId="03E6B28D">
            <wp:extent cx="2333624" cy="2600325"/>
            <wp:effectExtent l="0" t="0" r="10160" b="952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r w:rsidR="002B58B3">
        <w:rPr>
          <w:noProof/>
          <w:lang w:val="es-CL" w:eastAsia="es-CL"/>
        </w:rPr>
        <w:drawing>
          <wp:inline distT="0" distB="0" distL="0" distR="0" wp14:anchorId="12213191" wp14:editId="181ED526">
            <wp:extent cx="2333624" cy="2600325"/>
            <wp:effectExtent l="0" t="0" r="10160" b="9525"/>
            <wp:docPr id="4096" name="Gráfico 4096"/>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14:paraId="783F1B46" w14:textId="349A6D79" w:rsidR="004932BD" w:rsidRDefault="000A1A8E" w:rsidP="004932BD">
      <w:pPr>
        <w:pStyle w:val="Encabezado"/>
        <w:spacing w:line="276" w:lineRule="auto"/>
        <w:ind w:firstLine="709"/>
        <w:jc w:val="both"/>
        <w:rPr>
          <w:rFonts w:cs="Arial"/>
          <w:bCs/>
          <w:color w:val="000000"/>
          <w:sz w:val="24"/>
        </w:rPr>
      </w:pPr>
      <w:r w:rsidRPr="000A1A8E">
        <w:rPr>
          <w:rFonts w:cs="Arial"/>
          <w:b/>
          <w:bCs/>
          <w:color w:val="000000"/>
          <w:sz w:val="24"/>
        </w:rPr>
        <w:t>Figura 19</w:t>
      </w:r>
      <w:r w:rsidR="003647E8" w:rsidRPr="000A1A8E">
        <w:rPr>
          <w:rFonts w:cs="Arial"/>
          <w:b/>
          <w:bCs/>
          <w:color w:val="000000"/>
          <w:sz w:val="24"/>
        </w:rPr>
        <w:t>.</w:t>
      </w:r>
      <w:r w:rsidR="003647E8" w:rsidRPr="000A1A8E">
        <w:rPr>
          <w:rFonts w:cs="Arial"/>
          <w:bCs/>
          <w:color w:val="000000"/>
          <w:sz w:val="24"/>
        </w:rPr>
        <w:t xml:space="preserve"> Restos</w:t>
      </w:r>
      <w:r>
        <w:rPr>
          <w:rFonts w:cs="Arial"/>
          <w:bCs/>
          <w:color w:val="000000"/>
          <w:sz w:val="24"/>
        </w:rPr>
        <w:t xml:space="preserve"> de cabo y red (%)</w:t>
      </w:r>
    </w:p>
    <w:p w14:paraId="05714CCD" w14:textId="77777777" w:rsidR="003647E8" w:rsidRDefault="003647E8" w:rsidP="004932BD">
      <w:pPr>
        <w:pStyle w:val="Encabezado"/>
        <w:spacing w:line="276" w:lineRule="auto"/>
        <w:ind w:firstLine="709"/>
        <w:jc w:val="both"/>
        <w:rPr>
          <w:rFonts w:cs="Arial"/>
          <w:bCs/>
          <w:color w:val="000000"/>
          <w:sz w:val="24"/>
        </w:rPr>
      </w:pPr>
    </w:p>
    <w:p w14:paraId="669BF9A3" w14:textId="77777777" w:rsidR="003647E8" w:rsidRDefault="003647E8" w:rsidP="004932BD">
      <w:pPr>
        <w:pStyle w:val="Encabezado"/>
        <w:spacing w:line="276" w:lineRule="auto"/>
        <w:ind w:firstLine="709"/>
        <w:jc w:val="both"/>
        <w:rPr>
          <w:rFonts w:cs="Arial"/>
          <w:bCs/>
          <w:color w:val="000000"/>
          <w:sz w:val="24"/>
        </w:rPr>
      </w:pPr>
    </w:p>
    <w:p w14:paraId="08C4BFA7" w14:textId="5267052A" w:rsidR="003647E8" w:rsidRPr="00D276F2" w:rsidRDefault="003647E8" w:rsidP="00E31A3F">
      <w:pPr>
        <w:pStyle w:val="Ttulo3"/>
        <w:rPr>
          <w:color w:val="E36C0A" w:themeColor="accent6" w:themeShade="BF"/>
          <w:sz w:val="24"/>
          <w:szCs w:val="24"/>
        </w:rPr>
      </w:pPr>
      <w:bookmarkStart w:id="16" w:name="_Toc471999122"/>
      <w:r w:rsidRPr="00D276F2">
        <w:rPr>
          <w:color w:val="E36C0A" w:themeColor="accent6" w:themeShade="BF"/>
          <w:sz w:val="24"/>
          <w:szCs w:val="24"/>
        </w:rPr>
        <w:t>Boyas plásticas</w:t>
      </w:r>
      <w:bookmarkEnd w:id="16"/>
    </w:p>
    <w:p w14:paraId="39925302" w14:textId="7D16C612" w:rsidR="003647E8" w:rsidRPr="003647E8" w:rsidRDefault="0023575F" w:rsidP="0023575F">
      <w:pPr>
        <w:shd w:val="clear" w:color="auto" w:fill="FFFFFF"/>
        <w:spacing w:after="300"/>
        <w:jc w:val="both"/>
        <w:rPr>
          <w:rFonts w:cs="Arial"/>
          <w:bCs/>
          <w:color w:val="000000"/>
          <w:sz w:val="24"/>
        </w:rPr>
      </w:pPr>
      <w:r>
        <w:rPr>
          <w:rFonts w:cs="Arial"/>
          <w:bCs/>
          <w:color w:val="000000"/>
          <w:sz w:val="24"/>
        </w:rPr>
        <w:t>El D.S. 320, “</w:t>
      </w:r>
      <w:r w:rsidR="003647E8" w:rsidRPr="003647E8">
        <w:rPr>
          <w:rFonts w:cs="Arial"/>
          <w:bCs/>
          <w:color w:val="000000"/>
          <w:sz w:val="24"/>
        </w:rPr>
        <w:t>Reglamento Ambiental de la Acuicultura</w:t>
      </w:r>
      <w:r>
        <w:rPr>
          <w:rFonts w:cs="Arial"/>
          <w:bCs/>
          <w:color w:val="000000"/>
          <w:sz w:val="24"/>
        </w:rPr>
        <w:t>”</w:t>
      </w:r>
      <w:r w:rsidR="003647E8" w:rsidRPr="003647E8">
        <w:rPr>
          <w:rFonts w:cs="Arial"/>
          <w:bCs/>
          <w:color w:val="000000"/>
          <w:sz w:val="24"/>
        </w:rPr>
        <w:t xml:space="preserve"> (RAMA)</w:t>
      </w:r>
      <w:r>
        <w:rPr>
          <w:rFonts w:cs="Arial"/>
          <w:bCs/>
          <w:color w:val="000000"/>
          <w:sz w:val="24"/>
        </w:rPr>
        <w:t>, Art.4., letra g, establece</w:t>
      </w:r>
      <w:r w:rsidR="005E52A4">
        <w:rPr>
          <w:rFonts w:cs="Arial"/>
          <w:bCs/>
          <w:color w:val="000000"/>
          <w:sz w:val="24"/>
        </w:rPr>
        <w:t xml:space="preserve"> que se debe u</w:t>
      </w:r>
      <w:r w:rsidR="005E52A4" w:rsidRPr="005E52A4">
        <w:rPr>
          <w:rFonts w:cs="Arial"/>
          <w:bCs/>
          <w:color w:val="000000"/>
          <w:sz w:val="24"/>
        </w:rPr>
        <w:t>tilizar elementos de flotación que no permitan ningún tipo de desprendimiento de los materiales que lo componen</w:t>
      </w:r>
      <w:r w:rsidR="003647E8" w:rsidRPr="003647E8">
        <w:rPr>
          <w:rFonts w:cs="Arial"/>
          <w:bCs/>
          <w:color w:val="000000"/>
          <w:sz w:val="24"/>
        </w:rPr>
        <w:t>. Fue así como aparecieron las boyas de “</w:t>
      </w:r>
      <w:proofErr w:type="spellStart"/>
      <w:r w:rsidR="003647E8" w:rsidRPr="003647E8">
        <w:rPr>
          <w:rFonts w:cs="Arial"/>
          <w:bCs/>
          <w:color w:val="000000"/>
          <w:sz w:val="24"/>
        </w:rPr>
        <w:t>rotomoldeo</w:t>
      </w:r>
      <w:proofErr w:type="spellEnd"/>
      <w:r w:rsidR="003647E8" w:rsidRPr="003647E8">
        <w:rPr>
          <w:rFonts w:cs="Arial"/>
          <w:bCs/>
          <w:color w:val="000000"/>
          <w:sz w:val="24"/>
        </w:rPr>
        <w:t xml:space="preserve">” que tenían </w:t>
      </w:r>
      <w:proofErr w:type="spellStart"/>
      <w:r w:rsidR="003647E8" w:rsidRPr="003647E8">
        <w:rPr>
          <w:rFonts w:cs="Arial"/>
          <w:bCs/>
          <w:color w:val="000000"/>
          <w:sz w:val="24"/>
        </w:rPr>
        <w:t>poliestireno</w:t>
      </w:r>
      <w:proofErr w:type="spellEnd"/>
      <w:r w:rsidR="003647E8" w:rsidRPr="003647E8">
        <w:rPr>
          <w:rFonts w:cs="Arial"/>
          <w:bCs/>
          <w:color w:val="000000"/>
          <w:sz w:val="24"/>
        </w:rPr>
        <w:t xml:space="preserve"> expand</w:t>
      </w:r>
      <w:r w:rsidR="003647E8">
        <w:rPr>
          <w:rFonts w:cs="Arial"/>
          <w:bCs/>
          <w:color w:val="000000"/>
          <w:sz w:val="24"/>
        </w:rPr>
        <w:t xml:space="preserve">ido, conocido como </w:t>
      </w:r>
      <w:proofErr w:type="spellStart"/>
      <w:r w:rsidR="003647E8">
        <w:rPr>
          <w:rFonts w:cs="Arial"/>
          <w:bCs/>
          <w:color w:val="000000"/>
          <w:sz w:val="24"/>
        </w:rPr>
        <w:t>plumavit</w:t>
      </w:r>
      <w:proofErr w:type="spellEnd"/>
      <w:r w:rsidR="003647E8">
        <w:rPr>
          <w:rFonts w:cs="Arial"/>
          <w:bCs/>
          <w:color w:val="000000"/>
          <w:sz w:val="24"/>
        </w:rPr>
        <w:t xml:space="preserve">, </w:t>
      </w:r>
      <w:r w:rsidR="003647E8" w:rsidRPr="003647E8">
        <w:rPr>
          <w:rFonts w:cs="Arial"/>
          <w:bCs/>
          <w:color w:val="000000"/>
          <w:sz w:val="24"/>
        </w:rPr>
        <w:t xml:space="preserve"> en su interior, pero iban recubiertas de plástico, con el fin de evitar una posible contaminación.</w:t>
      </w:r>
    </w:p>
    <w:p w14:paraId="7B2CE02E" w14:textId="6208EB2F" w:rsidR="003647E8" w:rsidRDefault="003647E8" w:rsidP="0023575F">
      <w:pPr>
        <w:shd w:val="clear" w:color="auto" w:fill="FFFFFF"/>
        <w:spacing w:after="300"/>
        <w:jc w:val="both"/>
        <w:rPr>
          <w:rFonts w:cs="Arial"/>
          <w:bCs/>
          <w:color w:val="000000"/>
          <w:sz w:val="24"/>
        </w:rPr>
      </w:pPr>
      <w:r w:rsidRPr="003647E8">
        <w:rPr>
          <w:rFonts w:cs="Arial"/>
          <w:bCs/>
          <w:color w:val="000000"/>
          <w:sz w:val="24"/>
        </w:rPr>
        <w:t xml:space="preserve">Posteriormente, y con la entrada de grandes empresas al sector, se retiró el </w:t>
      </w:r>
      <w:proofErr w:type="spellStart"/>
      <w:r w:rsidRPr="003647E8">
        <w:rPr>
          <w:rFonts w:cs="Arial"/>
          <w:bCs/>
          <w:color w:val="000000"/>
          <w:sz w:val="24"/>
        </w:rPr>
        <w:t>poliestireno</w:t>
      </w:r>
      <w:proofErr w:type="spellEnd"/>
      <w:r w:rsidRPr="003647E8">
        <w:rPr>
          <w:rFonts w:cs="Arial"/>
          <w:bCs/>
          <w:color w:val="000000"/>
          <w:sz w:val="24"/>
        </w:rPr>
        <w:t xml:space="preserve"> y se empezaron a usar artefactos estancos presurizados con aire, lo que ayudó a alivianar el tema ecológico. </w:t>
      </w:r>
      <w:r>
        <w:rPr>
          <w:rFonts w:cs="Arial"/>
          <w:bCs/>
          <w:color w:val="000000"/>
          <w:sz w:val="24"/>
        </w:rPr>
        <w:t>El</w:t>
      </w:r>
      <w:r w:rsidRPr="003647E8">
        <w:rPr>
          <w:rFonts w:cs="Arial"/>
          <w:bCs/>
          <w:color w:val="000000"/>
          <w:sz w:val="24"/>
        </w:rPr>
        <w:t xml:space="preserve"> 2007 </w:t>
      </w:r>
      <w:r>
        <w:rPr>
          <w:rFonts w:cs="Arial"/>
          <w:bCs/>
          <w:color w:val="000000"/>
          <w:sz w:val="24"/>
        </w:rPr>
        <w:t>se c</w:t>
      </w:r>
      <w:r w:rsidRPr="003647E8">
        <w:rPr>
          <w:rFonts w:cs="Arial"/>
          <w:bCs/>
          <w:color w:val="000000"/>
          <w:sz w:val="24"/>
        </w:rPr>
        <w:t>omenzó a fabricar las boyas “sopladas”, compuestas por polietileno de alta resistencia al cu</w:t>
      </w:r>
      <w:r>
        <w:rPr>
          <w:rFonts w:cs="Arial"/>
          <w:bCs/>
          <w:color w:val="000000"/>
          <w:sz w:val="24"/>
        </w:rPr>
        <w:t xml:space="preserve">al se le inyecta aire a presión, mejorando </w:t>
      </w:r>
      <w:r>
        <w:rPr>
          <w:rFonts w:cs="Arial"/>
          <w:bCs/>
          <w:color w:val="000000"/>
          <w:sz w:val="24"/>
        </w:rPr>
        <w:lastRenderedPageBreak/>
        <w:t>la calidad, se adelgazó los</w:t>
      </w:r>
      <w:r w:rsidRPr="003647E8">
        <w:rPr>
          <w:rFonts w:cs="Arial"/>
          <w:bCs/>
          <w:color w:val="000000"/>
          <w:sz w:val="24"/>
        </w:rPr>
        <w:t xml:space="preserve"> espesores</w:t>
      </w:r>
      <w:r>
        <w:rPr>
          <w:rFonts w:cs="Arial"/>
          <w:bCs/>
          <w:color w:val="000000"/>
          <w:sz w:val="24"/>
        </w:rPr>
        <w:t xml:space="preserve"> de las boyas</w:t>
      </w:r>
      <w:r w:rsidRPr="003647E8">
        <w:rPr>
          <w:rFonts w:cs="Arial"/>
          <w:bCs/>
          <w:color w:val="000000"/>
          <w:sz w:val="24"/>
        </w:rPr>
        <w:t>, bajar los</w:t>
      </w:r>
      <w:r>
        <w:rPr>
          <w:rFonts w:cs="Arial"/>
          <w:bCs/>
          <w:color w:val="000000"/>
          <w:sz w:val="24"/>
        </w:rPr>
        <w:t xml:space="preserve"> costos y aumentar la seguridad.</w:t>
      </w:r>
    </w:p>
    <w:p w14:paraId="16DEA755" w14:textId="2E819FD7" w:rsidR="00BF1115" w:rsidRDefault="009F0276" w:rsidP="0023575F">
      <w:pPr>
        <w:pStyle w:val="Encabezado"/>
        <w:spacing w:line="276" w:lineRule="auto"/>
        <w:jc w:val="both"/>
        <w:rPr>
          <w:rFonts w:cs="Arial"/>
          <w:bCs/>
          <w:color w:val="000000"/>
          <w:sz w:val="24"/>
        </w:rPr>
      </w:pPr>
      <w:r w:rsidRPr="009F0276">
        <w:rPr>
          <w:rFonts w:cs="Arial"/>
          <w:bCs/>
          <w:color w:val="000000"/>
          <w:sz w:val="24"/>
        </w:rPr>
        <w:t>Con respecto a destino de las boyas plásticas en desuso, se evidenció  el 92% de las empresas MYPE las mantiene en patio (12 empresas) seguido de un 77% que las repara (10 empresas), en cambio el 100% de los centros de cultivo Grande las vende</w:t>
      </w:r>
      <w:r w:rsidR="008F0D87">
        <w:rPr>
          <w:rFonts w:cs="Arial"/>
          <w:bCs/>
          <w:color w:val="000000"/>
          <w:sz w:val="24"/>
        </w:rPr>
        <w:t xml:space="preserve"> como alternativa de revalorización o reciclaje</w:t>
      </w:r>
      <w:r w:rsidRPr="009F0276">
        <w:rPr>
          <w:rFonts w:cs="Arial"/>
          <w:bCs/>
          <w:color w:val="000000"/>
          <w:sz w:val="24"/>
        </w:rPr>
        <w:t>, seguido de un 70% que las mantiene en patio (7 centros de cultivo)</w:t>
      </w:r>
      <w:r>
        <w:rPr>
          <w:rFonts w:cs="Arial"/>
          <w:bCs/>
          <w:color w:val="000000"/>
          <w:sz w:val="24"/>
        </w:rPr>
        <w:t>. (</w:t>
      </w:r>
      <w:r w:rsidR="000A1A8E" w:rsidRPr="000A1A8E">
        <w:rPr>
          <w:rFonts w:cs="Arial"/>
          <w:bCs/>
          <w:color w:val="000000"/>
          <w:sz w:val="24"/>
        </w:rPr>
        <w:t>Figura</w:t>
      </w:r>
      <w:r w:rsidR="000A1A8E">
        <w:rPr>
          <w:rFonts w:cs="Arial"/>
          <w:bCs/>
          <w:color w:val="000000"/>
          <w:sz w:val="24"/>
          <w:highlight w:val="yellow"/>
        </w:rPr>
        <w:t xml:space="preserve"> </w:t>
      </w:r>
      <w:r w:rsidR="000A1A8E">
        <w:rPr>
          <w:rFonts w:cs="Arial"/>
          <w:bCs/>
          <w:color w:val="000000"/>
          <w:sz w:val="24"/>
        </w:rPr>
        <w:t>20</w:t>
      </w:r>
      <w:r>
        <w:rPr>
          <w:rFonts w:cs="Arial"/>
          <w:bCs/>
          <w:color w:val="000000"/>
          <w:sz w:val="24"/>
        </w:rPr>
        <w:t>)</w:t>
      </w:r>
      <w:r w:rsidR="00BF1115">
        <w:rPr>
          <w:rFonts w:cs="Arial"/>
          <w:bCs/>
          <w:color w:val="000000"/>
          <w:sz w:val="24"/>
        </w:rPr>
        <w:t>.</w:t>
      </w:r>
    </w:p>
    <w:p w14:paraId="7D57937C" w14:textId="76C61D13" w:rsidR="009F0276" w:rsidRPr="009F0276" w:rsidRDefault="009F0276" w:rsidP="0023575F">
      <w:pPr>
        <w:pStyle w:val="Encabezado"/>
        <w:spacing w:line="276" w:lineRule="auto"/>
        <w:jc w:val="both"/>
        <w:rPr>
          <w:rFonts w:cs="Arial"/>
          <w:bCs/>
          <w:color w:val="000000"/>
          <w:sz w:val="24"/>
        </w:rPr>
      </w:pPr>
      <w:r w:rsidRPr="009F0276">
        <w:rPr>
          <w:rFonts w:cs="Arial"/>
          <w:bCs/>
          <w:color w:val="000000"/>
          <w:sz w:val="24"/>
        </w:rPr>
        <w:t xml:space="preserve"> </w:t>
      </w:r>
    </w:p>
    <w:p w14:paraId="4B9C1BA8" w14:textId="78AAC49B" w:rsidR="003647E8" w:rsidRDefault="003647E8" w:rsidP="00E65482">
      <w:pPr>
        <w:pStyle w:val="Encabezado"/>
        <w:spacing w:line="276" w:lineRule="auto"/>
        <w:ind w:firstLine="709"/>
        <w:jc w:val="both"/>
        <w:rPr>
          <w:rFonts w:cs="Arial"/>
          <w:bCs/>
          <w:color w:val="000000"/>
          <w:sz w:val="24"/>
        </w:rPr>
      </w:pPr>
      <w:r>
        <w:rPr>
          <w:noProof/>
          <w:lang w:val="es-CL" w:eastAsia="es-CL"/>
        </w:rPr>
        <w:drawing>
          <wp:inline distT="0" distB="0" distL="0" distR="0" wp14:anchorId="4A4577A7" wp14:editId="1C3B261E">
            <wp:extent cx="2381250" cy="2390775"/>
            <wp:effectExtent l="0" t="0" r="19050" b="9525"/>
            <wp:docPr id="4097" name="Gráfico 4097"/>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r>
        <w:rPr>
          <w:noProof/>
          <w:lang w:val="es-CL" w:eastAsia="es-CL"/>
        </w:rPr>
        <w:drawing>
          <wp:inline distT="0" distB="0" distL="0" distR="0" wp14:anchorId="793D5F42" wp14:editId="4C27869D">
            <wp:extent cx="2381250" cy="2390775"/>
            <wp:effectExtent l="0" t="0" r="19050" b="9525"/>
            <wp:docPr id="4099" name="Gráfico 4099"/>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14:paraId="0F3A81D6" w14:textId="3D753CDD" w:rsidR="003647E8" w:rsidRDefault="000A1A8E" w:rsidP="003647E8">
      <w:pPr>
        <w:pStyle w:val="Encabezado"/>
        <w:spacing w:line="276" w:lineRule="auto"/>
        <w:ind w:firstLine="709"/>
        <w:jc w:val="both"/>
        <w:rPr>
          <w:rFonts w:cs="Arial"/>
          <w:bCs/>
          <w:color w:val="000000"/>
          <w:sz w:val="24"/>
        </w:rPr>
      </w:pPr>
      <w:r w:rsidRPr="000A1A8E">
        <w:rPr>
          <w:rFonts w:cs="Arial"/>
          <w:b/>
          <w:bCs/>
          <w:color w:val="000000"/>
          <w:sz w:val="24"/>
        </w:rPr>
        <w:t>Figura 20</w:t>
      </w:r>
      <w:r w:rsidR="003647E8" w:rsidRPr="000A1A8E">
        <w:rPr>
          <w:rFonts w:cs="Arial"/>
          <w:b/>
          <w:bCs/>
          <w:color w:val="000000"/>
          <w:sz w:val="24"/>
        </w:rPr>
        <w:t>.</w:t>
      </w:r>
      <w:r>
        <w:rPr>
          <w:rFonts w:cs="Arial"/>
          <w:bCs/>
          <w:color w:val="000000"/>
          <w:sz w:val="24"/>
        </w:rPr>
        <w:t xml:space="preserve"> Boyas plásticas (%)</w:t>
      </w:r>
    </w:p>
    <w:p w14:paraId="720FF581" w14:textId="77777777" w:rsidR="003647E8" w:rsidRDefault="003647E8" w:rsidP="00E65482">
      <w:pPr>
        <w:pStyle w:val="Encabezado"/>
        <w:spacing w:line="276" w:lineRule="auto"/>
        <w:ind w:firstLine="709"/>
        <w:jc w:val="both"/>
        <w:rPr>
          <w:rFonts w:cs="Arial"/>
          <w:bCs/>
          <w:color w:val="000000"/>
          <w:sz w:val="24"/>
        </w:rPr>
      </w:pPr>
    </w:p>
    <w:p w14:paraId="694A523E" w14:textId="77777777" w:rsidR="003647E8" w:rsidRDefault="003647E8" w:rsidP="00E65482">
      <w:pPr>
        <w:pStyle w:val="Encabezado"/>
        <w:spacing w:line="276" w:lineRule="auto"/>
        <w:ind w:firstLine="709"/>
        <w:jc w:val="both"/>
        <w:rPr>
          <w:rFonts w:cs="Arial"/>
          <w:bCs/>
          <w:color w:val="000000"/>
          <w:sz w:val="24"/>
        </w:rPr>
      </w:pPr>
    </w:p>
    <w:p w14:paraId="63420271" w14:textId="77777777" w:rsidR="003647E8" w:rsidRDefault="003647E8" w:rsidP="00E65482">
      <w:pPr>
        <w:pStyle w:val="Encabezado"/>
        <w:spacing w:line="276" w:lineRule="auto"/>
        <w:ind w:firstLine="709"/>
        <w:jc w:val="both"/>
        <w:rPr>
          <w:rFonts w:cs="Arial"/>
          <w:bCs/>
          <w:color w:val="000000"/>
          <w:sz w:val="24"/>
        </w:rPr>
      </w:pPr>
    </w:p>
    <w:p w14:paraId="0D543315" w14:textId="723875E8" w:rsidR="009877D8" w:rsidRPr="00D276F2" w:rsidRDefault="00E42A9F" w:rsidP="00E31A3F">
      <w:pPr>
        <w:pStyle w:val="Ttulo3"/>
        <w:rPr>
          <w:color w:val="E36C0A" w:themeColor="accent6" w:themeShade="BF"/>
          <w:sz w:val="24"/>
          <w:szCs w:val="24"/>
        </w:rPr>
      </w:pPr>
      <w:bookmarkStart w:id="17" w:name="_Toc471999123"/>
      <w:r w:rsidRPr="00D276F2">
        <w:rPr>
          <w:color w:val="E36C0A" w:themeColor="accent6" w:themeShade="BF"/>
          <w:sz w:val="24"/>
          <w:szCs w:val="24"/>
        </w:rPr>
        <w:t xml:space="preserve">Flotadores </w:t>
      </w:r>
      <w:proofErr w:type="spellStart"/>
      <w:r w:rsidRPr="00D276F2">
        <w:rPr>
          <w:color w:val="E36C0A" w:themeColor="accent6" w:themeShade="BF"/>
          <w:sz w:val="24"/>
          <w:szCs w:val="24"/>
        </w:rPr>
        <w:t>Plumavit</w:t>
      </w:r>
      <w:bookmarkEnd w:id="17"/>
      <w:proofErr w:type="spellEnd"/>
    </w:p>
    <w:p w14:paraId="7B462B85" w14:textId="393E0B7B" w:rsidR="009877D8" w:rsidRPr="00BF1EE3" w:rsidRDefault="00BF1EE3" w:rsidP="009877D8">
      <w:pPr>
        <w:pStyle w:val="Encabezado"/>
        <w:spacing w:line="276" w:lineRule="auto"/>
        <w:ind w:firstLine="709"/>
        <w:jc w:val="both"/>
        <w:rPr>
          <w:rFonts w:cs="Arial"/>
          <w:bCs/>
          <w:color w:val="000000"/>
          <w:sz w:val="24"/>
        </w:rPr>
      </w:pPr>
      <w:r w:rsidRPr="00BF1EE3">
        <w:rPr>
          <w:rFonts w:cs="Arial"/>
          <w:bCs/>
          <w:color w:val="000000"/>
          <w:sz w:val="24"/>
        </w:rPr>
        <w:t xml:space="preserve">El </w:t>
      </w:r>
      <w:proofErr w:type="spellStart"/>
      <w:r w:rsidRPr="00BF1EE3">
        <w:rPr>
          <w:rFonts w:cs="Arial"/>
          <w:bCs/>
          <w:color w:val="000000"/>
          <w:sz w:val="24"/>
        </w:rPr>
        <w:t>poliestireno</w:t>
      </w:r>
      <w:proofErr w:type="spellEnd"/>
      <w:r w:rsidR="00437220">
        <w:rPr>
          <w:rFonts w:cs="Arial"/>
          <w:bCs/>
          <w:color w:val="000000"/>
          <w:sz w:val="24"/>
        </w:rPr>
        <w:t xml:space="preserve"> (PS)</w:t>
      </w:r>
      <w:r w:rsidRPr="00BF1EE3">
        <w:rPr>
          <w:rFonts w:cs="Arial"/>
          <w:bCs/>
          <w:color w:val="000000"/>
          <w:sz w:val="24"/>
        </w:rPr>
        <w:t>,</w:t>
      </w:r>
      <w:r>
        <w:rPr>
          <w:rFonts w:cs="Arial"/>
          <w:bCs/>
          <w:color w:val="000000"/>
          <w:sz w:val="24"/>
        </w:rPr>
        <w:t xml:space="preserve"> comúnmente llamado  </w:t>
      </w:r>
      <w:proofErr w:type="spellStart"/>
      <w:r>
        <w:rPr>
          <w:rFonts w:cs="Arial"/>
          <w:bCs/>
          <w:color w:val="000000"/>
          <w:sz w:val="24"/>
        </w:rPr>
        <w:t>Plumavit</w:t>
      </w:r>
      <w:proofErr w:type="spellEnd"/>
      <w:r>
        <w:rPr>
          <w:rFonts w:cs="Arial"/>
          <w:bCs/>
          <w:color w:val="000000"/>
          <w:sz w:val="24"/>
        </w:rPr>
        <w:t xml:space="preserve"> y de denominación </w:t>
      </w:r>
      <w:r w:rsidR="00BD22B1">
        <w:rPr>
          <w:rFonts w:cs="Arial"/>
          <w:bCs/>
          <w:color w:val="000000"/>
          <w:sz w:val="24"/>
        </w:rPr>
        <w:t xml:space="preserve">comercial </w:t>
      </w:r>
      <w:proofErr w:type="spellStart"/>
      <w:r w:rsidRPr="00BF1EE3">
        <w:rPr>
          <w:rFonts w:cs="Arial"/>
          <w:bCs/>
          <w:color w:val="000000"/>
          <w:sz w:val="24"/>
        </w:rPr>
        <w:t>Aislapol</w:t>
      </w:r>
      <w:proofErr w:type="spellEnd"/>
      <w:r w:rsidR="00BD22B1">
        <w:rPr>
          <w:rFonts w:cs="Arial"/>
          <w:bCs/>
          <w:color w:val="000000"/>
          <w:sz w:val="24"/>
        </w:rPr>
        <w:t xml:space="preserve">, </w:t>
      </w:r>
      <w:r w:rsidRPr="00BF1EE3">
        <w:rPr>
          <w:rFonts w:cs="Arial"/>
          <w:bCs/>
          <w:color w:val="000000"/>
          <w:sz w:val="24"/>
        </w:rPr>
        <w:t xml:space="preserve">no es </w:t>
      </w:r>
      <w:r w:rsidR="00BD22B1">
        <w:rPr>
          <w:rFonts w:cs="Arial"/>
          <w:bCs/>
          <w:color w:val="000000"/>
          <w:sz w:val="24"/>
        </w:rPr>
        <w:t xml:space="preserve">un material </w:t>
      </w:r>
      <w:r w:rsidRPr="00BF1EE3">
        <w:rPr>
          <w:rFonts w:cs="Arial"/>
          <w:bCs/>
          <w:color w:val="000000"/>
          <w:sz w:val="24"/>
        </w:rPr>
        <w:t xml:space="preserve">biodegradable y puede permanecer en el planeta </w:t>
      </w:r>
      <w:r w:rsidR="00BD22B1" w:rsidRPr="00BF1EE3">
        <w:rPr>
          <w:rFonts w:cs="Arial"/>
          <w:bCs/>
          <w:color w:val="000000"/>
          <w:sz w:val="24"/>
        </w:rPr>
        <w:t>alrededor</w:t>
      </w:r>
      <w:r w:rsidRPr="00BF1EE3">
        <w:rPr>
          <w:rFonts w:cs="Arial"/>
          <w:bCs/>
          <w:color w:val="000000"/>
          <w:sz w:val="24"/>
        </w:rPr>
        <w:t xml:space="preserve"> de 1.000 años, sin embargo se puede reutilizar o reciclar.</w:t>
      </w:r>
      <w:r w:rsidR="009877D8">
        <w:rPr>
          <w:rFonts w:cs="Arial"/>
          <w:bCs/>
          <w:color w:val="000000"/>
          <w:sz w:val="24"/>
        </w:rPr>
        <w:t xml:space="preserve"> </w:t>
      </w:r>
      <w:r w:rsidR="009877D8" w:rsidRPr="00BF1EE3">
        <w:rPr>
          <w:rFonts w:cs="Arial"/>
          <w:bCs/>
          <w:color w:val="000000"/>
          <w:sz w:val="24"/>
        </w:rPr>
        <w:t>En</w:t>
      </w:r>
      <w:r w:rsidR="009877D8">
        <w:rPr>
          <w:rFonts w:cs="Arial"/>
          <w:bCs/>
          <w:color w:val="000000"/>
          <w:sz w:val="24"/>
        </w:rPr>
        <w:t xml:space="preserve"> la producción de </w:t>
      </w:r>
      <w:proofErr w:type="spellStart"/>
      <w:r w:rsidR="009877D8">
        <w:rPr>
          <w:rFonts w:cs="Arial"/>
          <w:bCs/>
          <w:color w:val="000000"/>
          <w:sz w:val="24"/>
        </w:rPr>
        <w:t>plumavit</w:t>
      </w:r>
      <w:proofErr w:type="spellEnd"/>
      <w:r w:rsidR="009877D8">
        <w:rPr>
          <w:rFonts w:cs="Arial"/>
          <w:bCs/>
          <w:color w:val="000000"/>
          <w:sz w:val="24"/>
        </w:rPr>
        <w:t xml:space="preserve"> se utilizan</w:t>
      </w:r>
      <w:r w:rsidR="009877D8" w:rsidRPr="00BF1EE3">
        <w:rPr>
          <w:rFonts w:cs="Arial"/>
          <w:bCs/>
          <w:color w:val="000000"/>
          <w:sz w:val="24"/>
        </w:rPr>
        <w:t xml:space="preserve"> recursos naturales no renovables, dado que es un plástico derivado del petróleo.  La gran preocupación es </w:t>
      </w:r>
      <w:r w:rsidR="006929E5">
        <w:rPr>
          <w:rFonts w:cs="Arial"/>
          <w:bCs/>
          <w:color w:val="000000"/>
          <w:sz w:val="24"/>
        </w:rPr>
        <w:t xml:space="preserve">su producción </w:t>
      </w:r>
      <w:r w:rsidR="009877D8" w:rsidRPr="00BF1EE3">
        <w:rPr>
          <w:rFonts w:cs="Arial"/>
          <w:bCs/>
          <w:color w:val="000000"/>
          <w:sz w:val="24"/>
        </w:rPr>
        <w:t>emite clorofluor</w:t>
      </w:r>
      <w:r w:rsidR="009877D8">
        <w:rPr>
          <w:rFonts w:cs="Arial"/>
          <w:bCs/>
          <w:color w:val="000000"/>
          <w:sz w:val="24"/>
        </w:rPr>
        <w:t>ocarbonos (CFC) a la atmósfera, por lo tanto se generan gases efectos invernadero. (GEI).</w:t>
      </w:r>
    </w:p>
    <w:p w14:paraId="4A174F33" w14:textId="77777777" w:rsidR="009877D8" w:rsidRDefault="009877D8" w:rsidP="009877D8">
      <w:pPr>
        <w:pStyle w:val="Encabezado"/>
        <w:spacing w:line="276" w:lineRule="auto"/>
        <w:ind w:firstLine="709"/>
        <w:jc w:val="both"/>
        <w:rPr>
          <w:rFonts w:cs="Arial"/>
          <w:bCs/>
          <w:color w:val="000000"/>
          <w:sz w:val="24"/>
        </w:rPr>
      </w:pPr>
    </w:p>
    <w:p w14:paraId="3E0327B1" w14:textId="0E44096A" w:rsidR="00BF1EE3" w:rsidRDefault="00BF1EE3" w:rsidP="009877D8">
      <w:pPr>
        <w:pStyle w:val="Encabezado"/>
        <w:spacing w:line="276" w:lineRule="auto"/>
        <w:ind w:firstLine="709"/>
        <w:jc w:val="both"/>
        <w:rPr>
          <w:rFonts w:cs="Arial"/>
          <w:bCs/>
          <w:color w:val="000000"/>
          <w:sz w:val="24"/>
        </w:rPr>
      </w:pPr>
      <w:r w:rsidRPr="00BF1EE3">
        <w:rPr>
          <w:rFonts w:cs="Arial"/>
          <w:bCs/>
          <w:color w:val="000000"/>
          <w:sz w:val="24"/>
        </w:rPr>
        <w:lastRenderedPageBreak/>
        <w:t xml:space="preserve">El </w:t>
      </w:r>
      <w:proofErr w:type="spellStart"/>
      <w:r w:rsidRPr="00BF1EE3">
        <w:rPr>
          <w:rFonts w:cs="Arial"/>
          <w:bCs/>
          <w:color w:val="000000"/>
          <w:sz w:val="24"/>
        </w:rPr>
        <w:t>poliestireno</w:t>
      </w:r>
      <w:proofErr w:type="spellEnd"/>
      <w:r w:rsidRPr="00BF1EE3">
        <w:rPr>
          <w:rFonts w:cs="Arial"/>
          <w:bCs/>
          <w:color w:val="000000"/>
          <w:sz w:val="24"/>
        </w:rPr>
        <w:t xml:space="preserve"> tiene muchas propiedades, por lo que tiene múltiples usos</w:t>
      </w:r>
      <w:r w:rsidR="00BD22B1">
        <w:rPr>
          <w:rFonts w:cs="Arial"/>
          <w:bCs/>
          <w:color w:val="000000"/>
          <w:sz w:val="24"/>
        </w:rPr>
        <w:t>, aislación de temperaturas, aislación de productos alimenticios, absorción de ruido</w:t>
      </w:r>
    </w:p>
    <w:p w14:paraId="65EBAF95" w14:textId="77777777" w:rsidR="00BD22B1" w:rsidRPr="00BF1EE3" w:rsidRDefault="00BD22B1" w:rsidP="009877D8">
      <w:pPr>
        <w:pStyle w:val="Encabezado"/>
        <w:spacing w:line="276" w:lineRule="auto"/>
        <w:ind w:firstLine="709"/>
        <w:jc w:val="both"/>
        <w:rPr>
          <w:rFonts w:cs="Arial"/>
          <w:bCs/>
          <w:color w:val="000000"/>
          <w:sz w:val="24"/>
        </w:rPr>
      </w:pPr>
    </w:p>
    <w:p w14:paraId="37A05BBE" w14:textId="7B063FDE" w:rsidR="00437220" w:rsidRDefault="006929E5" w:rsidP="009877D8">
      <w:pPr>
        <w:pStyle w:val="Encabezado"/>
        <w:spacing w:line="276" w:lineRule="auto"/>
        <w:ind w:firstLine="709"/>
        <w:jc w:val="both"/>
        <w:rPr>
          <w:rFonts w:cs="Arial"/>
          <w:bCs/>
          <w:color w:val="000000"/>
          <w:sz w:val="24"/>
        </w:rPr>
      </w:pPr>
      <w:r>
        <w:rPr>
          <w:rFonts w:cs="Arial"/>
          <w:bCs/>
          <w:color w:val="000000"/>
          <w:sz w:val="24"/>
        </w:rPr>
        <w:t>L</w:t>
      </w:r>
      <w:r w:rsidRPr="00437220">
        <w:rPr>
          <w:rFonts w:cs="Arial"/>
          <w:bCs/>
          <w:color w:val="000000"/>
          <w:sz w:val="24"/>
        </w:rPr>
        <w:t xml:space="preserve">as boyas de </w:t>
      </w:r>
      <w:proofErr w:type="spellStart"/>
      <w:r w:rsidRPr="00437220">
        <w:rPr>
          <w:rFonts w:cs="Arial"/>
          <w:bCs/>
          <w:color w:val="000000"/>
          <w:sz w:val="24"/>
        </w:rPr>
        <w:t>poliestireno</w:t>
      </w:r>
      <w:proofErr w:type="spellEnd"/>
      <w:r w:rsidRPr="00437220">
        <w:rPr>
          <w:rFonts w:cs="Arial"/>
          <w:bCs/>
          <w:color w:val="000000"/>
          <w:sz w:val="24"/>
        </w:rPr>
        <w:t xml:space="preserve"> expandido</w:t>
      </w:r>
      <w:r>
        <w:rPr>
          <w:rFonts w:cs="Arial"/>
          <w:bCs/>
          <w:color w:val="000000"/>
          <w:sz w:val="24"/>
        </w:rPr>
        <w:t xml:space="preserve"> se utilizan e</w:t>
      </w:r>
      <w:r w:rsidR="00437220">
        <w:rPr>
          <w:rFonts w:cs="Arial"/>
          <w:bCs/>
          <w:color w:val="000000"/>
          <w:sz w:val="24"/>
        </w:rPr>
        <w:t>n la acuicultura,</w:t>
      </w:r>
      <w:r>
        <w:rPr>
          <w:rFonts w:cs="Arial"/>
          <w:bCs/>
          <w:color w:val="000000"/>
          <w:sz w:val="24"/>
        </w:rPr>
        <w:t xml:space="preserve"> debido al</w:t>
      </w:r>
      <w:r w:rsidR="00437220">
        <w:rPr>
          <w:rFonts w:cs="Arial"/>
          <w:bCs/>
          <w:color w:val="000000"/>
          <w:sz w:val="24"/>
        </w:rPr>
        <w:t xml:space="preserve"> bajo costo</w:t>
      </w:r>
      <w:r w:rsidR="00437220" w:rsidRPr="00437220">
        <w:rPr>
          <w:rFonts w:cs="Arial"/>
          <w:bCs/>
          <w:color w:val="000000"/>
          <w:sz w:val="24"/>
        </w:rPr>
        <w:t xml:space="preserve"> y disponibilidad</w:t>
      </w:r>
      <w:r w:rsidR="00EB6DA6">
        <w:rPr>
          <w:rFonts w:cs="Arial"/>
          <w:bCs/>
          <w:color w:val="000000"/>
          <w:sz w:val="24"/>
        </w:rPr>
        <w:t xml:space="preserve">. Además, son empleados </w:t>
      </w:r>
      <w:r w:rsidR="00437220" w:rsidRPr="00437220">
        <w:rPr>
          <w:rFonts w:cs="Arial"/>
          <w:bCs/>
          <w:color w:val="000000"/>
          <w:sz w:val="24"/>
        </w:rPr>
        <w:t>como elemento de flotación para soportar el p</w:t>
      </w:r>
      <w:r w:rsidR="00437220">
        <w:rPr>
          <w:rFonts w:cs="Arial"/>
          <w:bCs/>
          <w:color w:val="000000"/>
          <w:sz w:val="24"/>
        </w:rPr>
        <w:t xml:space="preserve">eso de las cuelgas de </w:t>
      </w:r>
      <w:proofErr w:type="spellStart"/>
      <w:r w:rsidR="00437220">
        <w:rPr>
          <w:rFonts w:cs="Arial"/>
          <w:bCs/>
          <w:color w:val="000000"/>
          <w:sz w:val="24"/>
        </w:rPr>
        <w:t>chorito</w:t>
      </w:r>
      <w:proofErr w:type="spellEnd"/>
      <w:r w:rsidR="00437220">
        <w:rPr>
          <w:rFonts w:cs="Arial"/>
          <w:bCs/>
          <w:color w:val="000000"/>
          <w:sz w:val="24"/>
        </w:rPr>
        <w:t>. L</w:t>
      </w:r>
      <w:r w:rsidR="00437220" w:rsidRPr="00437220">
        <w:rPr>
          <w:rFonts w:cs="Arial"/>
          <w:bCs/>
          <w:color w:val="000000"/>
          <w:sz w:val="24"/>
        </w:rPr>
        <w:t xml:space="preserve">as boyas de </w:t>
      </w:r>
      <w:proofErr w:type="spellStart"/>
      <w:r w:rsidR="00437220" w:rsidRPr="00437220">
        <w:rPr>
          <w:rFonts w:cs="Arial"/>
          <w:bCs/>
          <w:color w:val="000000"/>
          <w:sz w:val="24"/>
        </w:rPr>
        <w:t>poliestireno</w:t>
      </w:r>
      <w:proofErr w:type="spellEnd"/>
      <w:r w:rsidR="00437220">
        <w:rPr>
          <w:rFonts w:cs="Arial"/>
          <w:bCs/>
          <w:color w:val="000000"/>
          <w:sz w:val="24"/>
        </w:rPr>
        <w:t xml:space="preserve"> </w:t>
      </w:r>
      <w:r w:rsidR="009877D8">
        <w:rPr>
          <w:rFonts w:cs="Arial"/>
          <w:bCs/>
          <w:color w:val="000000"/>
          <w:sz w:val="24"/>
        </w:rPr>
        <w:t xml:space="preserve">al estar expuestos al agua comienzan a </w:t>
      </w:r>
      <w:r w:rsidR="00437220">
        <w:rPr>
          <w:rFonts w:cs="Arial"/>
          <w:bCs/>
          <w:color w:val="000000"/>
          <w:sz w:val="24"/>
        </w:rPr>
        <w:t>desprende</w:t>
      </w:r>
      <w:r w:rsidR="009877D8">
        <w:rPr>
          <w:rFonts w:cs="Arial"/>
          <w:bCs/>
          <w:color w:val="000000"/>
          <w:sz w:val="24"/>
        </w:rPr>
        <w:t>r</w:t>
      </w:r>
      <w:r w:rsidR="00437220">
        <w:rPr>
          <w:rFonts w:cs="Arial"/>
          <w:bCs/>
          <w:color w:val="000000"/>
          <w:sz w:val="24"/>
        </w:rPr>
        <w:t xml:space="preserve"> trozos de material</w:t>
      </w:r>
      <w:r w:rsidR="009877D8">
        <w:rPr>
          <w:rFonts w:cs="Arial"/>
          <w:bCs/>
          <w:color w:val="000000"/>
          <w:sz w:val="24"/>
        </w:rPr>
        <w:t xml:space="preserve">, los cuales </w:t>
      </w:r>
      <w:r w:rsidR="00437220" w:rsidRPr="00437220">
        <w:rPr>
          <w:rFonts w:cs="Arial"/>
          <w:bCs/>
          <w:color w:val="000000"/>
          <w:sz w:val="24"/>
        </w:rPr>
        <w:t>son arrastrados a la línea de costa</w:t>
      </w:r>
      <w:r w:rsidR="009877D8">
        <w:rPr>
          <w:rFonts w:cs="Arial"/>
          <w:bCs/>
          <w:color w:val="000000"/>
          <w:sz w:val="24"/>
        </w:rPr>
        <w:t xml:space="preserve"> por efecto del viento, y </w:t>
      </w:r>
      <w:r w:rsidR="00F1686E">
        <w:rPr>
          <w:rFonts w:cs="Arial"/>
          <w:bCs/>
          <w:color w:val="000000"/>
          <w:sz w:val="24"/>
        </w:rPr>
        <w:t>oleaje</w:t>
      </w:r>
      <w:r w:rsidR="00437220">
        <w:rPr>
          <w:rFonts w:cs="Arial"/>
          <w:bCs/>
          <w:color w:val="000000"/>
          <w:sz w:val="24"/>
        </w:rPr>
        <w:t xml:space="preserve">, causando </w:t>
      </w:r>
      <w:r w:rsidR="00437220" w:rsidRPr="00437220">
        <w:rPr>
          <w:rFonts w:cs="Arial"/>
          <w:bCs/>
          <w:color w:val="000000"/>
          <w:sz w:val="24"/>
        </w:rPr>
        <w:t>contaminación en las playas</w:t>
      </w:r>
      <w:r w:rsidR="009877D8">
        <w:rPr>
          <w:rFonts w:cs="Arial"/>
          <w:bCs/>
          <w:color w:val="000000"/>
          <w:sz w:val="24"/>
        </w:rPr>
        <w:t xml:space="preserve"> y afectan</w:t>
      </w:r>
      <w:r w:rsidR="00EB6DA6">
        <w:rPr>
          <w:rFonts w:cs="Arial"/>
          <w:bCs/>
          <w:color w:val="000000"/>
          <w:sz w:val="24"/>
        </w:rPr>
        <w:t>do</w:t>
      </w:r>
      <w:r w:rsidR="009877D8">
        <w:rPr>
          <w:rFonts w:cs="Arial"/>
          <w:bCs/>
          <w:color w:val="000000"/>
          <w:sz w:val="24"/>
        </w:rPr>
        <w:t xml:space="preserve"> el entorno del lugar. </w:t>
      </w:r>
    </w:p>
    <w:p w14:paraId="725B9487" w14:textId="77777777" w:rsidR="009F0276" w:rsidRDefault="009F0276" w:rsidP="009877D8">
      <w:pPr>
        <w:pStyle w:val="Encabezado"/>
        <w:spacing w:line="276" w:lineRule="auto"/>
        <w:ind w:firstLine="709"/>
        <w:jc w:val="both"/>
        <w:rPr>
          <w:rFonts w:cs="Arial"/>
          <w:bCs/>
          <w:color w:val="000000"/>
          <w:sz w:val="24"/>
        </w:rPr>
      </w:pPr>
    </w:p>
    <w:p w14:paraId="34C8A012" w14:textId="148C9C36" w:rsidR="009F0276" w:rsidRDefault="009F0276" w:rsidP="0023575F">
      <w:pPr>
        <w:shd w:val="clear" w:color="auto" w:fill="FFFFFF"/>
        <w:spacing w:after="300"/>
        <w:jc w:val="both"/>
        <w:rPr>
          <w:rFonts w:cs="Arial"/>
          <w:bCs/>
          <w:color w:val="000000"/>
          <w:sz w:val="24"/>
        </w:rPr>
      </w:pPr>
      <w:r w:rsidRPr="005E52A4">
        <w:rPr>
          <w:rFonts w:cs="Arial"/>
          <w:bCs/>
          <w:color w:val="000000"/>
          <w:sz w:val="24"/>
        </w:rPr>
        <w:t>Co</w:t>
      </w:r>
      <w:r w:rsidR="0023575F" w:rsidRPr="005E52A4">
        <w:rPr>
          <w:rFonts w:cs="Arial"/>
          <w:bCs/>
          <w:color w:val="000000"/>
          <w:sz w:val="24"/>
        </w:rPr>
        <w:t xml:space="preserve">mo se mencionó anteriormente, </w:t>
      </w:r>
      <w:r w:rsidR="005E52A4" w:rsidRPr="005E52A4">
        <w:rPr>
          <w:rFonts w:cs="Arial"/>
          <w:bCs/>
          <w:color w:val="000000"/>
          <w:sz w:val="24"/>
        </w:rPr>
        <w:t xml:space="preserve">el D.S. 320, </w:t>
      </w:r>
      <w:r w:rsidR="005E52A4">
        <w:rPr>
          <w:rFonts w:cs="Arial"/>
          <w:bCs/>
          <w:color w:val="000000"/>
          <w:sz w:val="24"/>
        </w:rPr>
        <w:t>establece que se debe u</w:t>
      </w:r>
      <w:r w:rsidR="005E52A4" w:rsidRPr="005E52A4">
        <w:rPr>
          <w:rFonts w:cs="Arial"/>
          <w:bCs/>
          <w:color w:val="000000"/>
          <w:sz w:val="24"/>
        </w:rPr>
        <w:t>tilizar elementos de flotación que no permitan ningún tipo de desprendimiento de los materiales que lo componen</w:t>
      </w:r>
      <w:r w:rsidR="005E52A4">
        <w:rPr>
          <w:rFonts w:cs="Arial"/>
          <w:bCs/>
          <w:color w:val="000000"/>
          <w:sz w:val="24"/>
        </w:rPr>
        <w:t xml:space="preserve">. </w:t>
      </w:r>
      <w:r w:rsidRPr="003647E8">
        <w:rPr>
          <w:rFonts w:cs="Arial"/>
          <w:bCs/>
          <w:color w:val="000000"/>
          <w:sz w:val="24"/>
        </w:rPr>
        <w:t xml:space="preserve">Sin embargo, muchos pequeños </w:t>
      </w:r>
      <w:proofErr w:type="spellStart"/>
      <w:r w:rsidRPr="003647E8">
        <w:rPr>
          <w:rFonts w:cs="Arial"/>
          <w:bCs/>
          <w:color w:val="000000"/>
          <w:sz w:val="24"/>
        </w:rPr>
        <w:t>mitilicultores</w:t>
      </w:r>
      <w:proofErr w:type="spellEnd"/>
      <w:r w:rsidRPr="003647E8">
        <w:rPr>
          <w:rFonts w:cs="Arial"/>
          <w:bCs/>
          <w:color w:val="000000"/>
          <w:sz w:val="24"/>
        </w:rPr>
        <w:t xml:space="preserve"> continuaron usando boyas de </w:t>
      </w:r>
      <w:proofErr w:type="spellStart"/>
      <w:r w:rsidRPr="003647E8">
        <w:rPr>
          <w:rFonts w:cs="Arial"/>
          <w:bCs/>
          <w:color w:val="000000"/>
          <w:sz w:val="24"/>
        </w:rPr>
        <w:t>plumavit</w:t>
      </w:r>
      <w:proofErr w:type="spellEnd"/>
      <w:r w:rsidRPr="003647E8">
        <w:rPr>
          <w:rFonts w:cs="Arial"/>
          <w:bCs/>
          <w:color w:val="000000"/>
          <w:sz w:val="24"/>
        </w:rPr>
        <w:t>, debido, fundame</w:t>
      </w:r>
      <w:r w:rsidR="00A6420C">
        <w:rPr>
          <w:rFonts w:cs="Arial"/>
          <w:bCs/>
          <w:color w:val="000000"/>
          <w:sz w:val="24"/>
        </w:rPr>
        <w:t xml:space="preserve">ntalmente, a un tema de costos, es por ello que aún </w:t>
      </w:r>
      <w:r w:rsidRPr="003647E8">
        <w:rPr>
          <w:rFonts w:cs="Arial"/>
          <w:bCs/>
          <w:color w:val="000000"/>
          <w:sz w:val="24"/>
        </w:rPr>
        <w:t>quedan</w:t>
      </w:r>
      <w:r w:rsidR="00A6420C">
        <w:rPr>
          <w:rFonts w:cs="Arial"/>
          <w:bCs/>
          <w:color w:val="000000"/>
          <w:sz w:val="24"/>
        </w:rPr>
        <w:t xml:space="preserve"> </w:t>
      </w:r>
      <w:r w:rsidRPr="003647E8">
        <w:rPr>
          <w:rFonts w:cs="Arial"/>
          <w:bCs/>
          <w:color w:val="000000"/>
          <w:sz w:val="24"/>
        </w:rPr>
        <w:t>productores que no han podido modernizar la totalidad de sus centros de cultivo.</w:t>
      </w:r>
    </w:p>
    <w:p w14:paraId="25BD58B9" w14:textId="4068D408" w:rsidR="008F0D87" w:rsidRDefault="008F0D87" w:rsidP="0023575F">
      <w:pPr>
        <w:pStyle w:val="Encabezado"/>
        <w:spacing w:line="276" w:lineRule="auto"/>
        <w:jc w:val="both"/>
        <w:rPr>
          <w:rFonts w:cs="Arial"/>
          <w:bCs/>
          <w:color w:val="000000"/>
          <w:sz w:val="24"/>
        </w:rPr>
      </w:pPr>
      <w:r w:rsidRPr="008F0D87">
        <w:rPr>
          <w:rFonts w:cs="Arial"/>
          <w:bCs/>
          <w:color w:val="000000"/>
          <w:sz w:val="24"/>
        </w:rPr>
        <w:t xml:space="preserve">El análisis evidenció que el 31% de empresas MYPE (SSS), regaló y mantiene en patio los flotadores de </w:t>
      </w:r>
      <w:proofErr w:type="spellStart"/>
      <w:r w:rsidRPr="008F0D87">
        <w:rPr>
          <w:rFonts w:cs="Arial"/>
          <w:bCs/>
          <w:color w:val="000000"/>
          <w:sz w:val="24"/>
        </w:rPr>
        <w:t>plumavit</w:t>
      </w:r>
      <w:proofErr w:type="spellEnd"/>
      <w:r w:rsidRPr="008F0D87">
        <w:rPr>
          <w:rFonts w:cs="Arial"/>
          <w:bCs/>
          <w:color w:val="000000"/>
          <w:sz w:val="24"/>
        </w:rPr>
        <w:t xml:space="preserve"> (5 empresas). Por su parte, los centros de cultivo Grande el 20% los regaló y vendió (2 empresas).</w:t>
      </w:r>
      <w:r>
        <w:rPr>
          <w:rFonts w:cs="Arial"/>
          <w:bCs/>
          <w:color w:val="000000"/>
          <w:sz w:val="24"/>
        </w:rPr>
        <w:t xml:space="preserve"> </w:t>
      </w:r>
      <w:r w:rsidRPr="008F0D87">
        <w:rPr>
          <w:rFonts w:cs="Arial"/>
          <w:bCs/>
          <w:color w:val="000000"/>
          <w:sz w:val="24"/>
        </w:rPr>
        <w:t>(</w:t>
      </w:r>
      <w:r w:rsidR="000A1A8E" w:rsidRPr="000A1A8E">
        <w:rPr>
          <w:rFonts w:cs="Arial"/>
          <w:bCs/>
          <w:color w:val="000000"/>
          <w:sz w:val="24"/>
        </w:rPr>
        <w:t>Figura 21</w:t>
      </w:r>
      <w:r w:rsidRPr="000A1A8E">
        <w:rPr>
          <w:rFonts w:cs="Arial"/>
          <w:bCs/>
          <w:color w:val="000000"/>
          <w:sz w:val="24"/>
        </w:rPr>
        <w:t>).</w:t>
      </w:r>
    </w:p>
    <w:p w14:paraId="06F75512" w14:textId="7C7DDC98" w:rsidR="001433BD" w:rsidRPr="008F0D87" w:rsidRDefault="001433BD" w:rsidP="0023575F">
      <w:pPr>
        <w:pStyle w:val="Encabezado"/>
        <w:spacing w:line="276" w:lineRule="auto"/>
        <w:jc w:val="both"/>
        <w:rPr>
          <w:rFonts w:cs="Arial"/>
          <w:bCs/>
          <w:color w:val="000000"/>
          <w:sz w:val="24"/>
        </w:rPr>
      </w:pPr>
      <w:r>
        <w:rPr>
          <w:rFonts w:cs="Arial"/>
          <w:bCs/>
          <w:color w:val="000000"/>
          <w:sz w:val="24"/>
        </w:rPr>
        <w:t xml:space="preserve">Destacar que 4 centros de cultivo MYPE (25%), informaron reciclar los flotadores de </w:t>
      </w:r>
      <w:proofErr w:type="spellStart"/>
      <w:r>
        <w:rPr>
          <w:rFonts w:cs="Arial"/>
          <w:bCs/>
          <w:color w:val="000000"/>
          <w:sz w:val="24"/>
        </w:rPr>
        <w:t>plumavit</w:t>
      </w:r>
      <w:proofErr w:type="spellEnd"/>
      <w:r w:rsidRPr="000A1A8E">
        <w:rPr>
          <w:rFonts w:cs="Arial"/>
          <w:bCs/>
          <w:color w:val="000000"/>
          <w:sz w:val="24"/>
        </w:rPr>
        <w:t>. (</w:t>
      </w:r>
      <w:r w:rsidR="000A1A8E" w:rsidRPr="000A1A8E">
        <w:rPr>
          <w:rFonts w:cs="Arial"/>
          <w:bCs/>
          <w:color w:val="000000"/>
          <w:sz w:val="24"/>
        </w:rPr>
        <w:t>Figura 21</w:t>
      </w:r>
      <w:r w:rsidRPr="000A1A8E">
        <w:rPr>
          <w:rFonts w:cs="Arial"/>
          <w:bCs/>
          <w:color w:val="000000"/>
          <w:sz w:val="24"/>
        </w:rPr>
        <w:t>).</w:t>
      </w:r>
    </w:p>
    <w:p w14:paraId="3E5DEFE3" w14:textId="77777777" w:rsidR="009F0276" w:rsidRDefault="009F0276" w:rsidP="009877D8">
      <w:pPr>
        <w:pStyle w:val="Encabezado"/>
        <w:spacing w:line="276" w:lineRule="auto"/>
        <w:ind w:firstLine="709"/>
        <w:jc w:val="both"/>
        <w:rPr>
          <w:rFonts w:cs="Arial"/>
          <w:bCs/>
          <w:color w:val="000000"/>
          <w:sz w:val="24"/>
        </w:rPr>
      </w:pPr>
    </w:p>
    <w:p w14:paraId="7099966B" w14:textId="63A36A06" w:rsidR="00437220" w:rsidRPr="00437220" w:rsidRDefault="00F1686E" w:rsidP="008F0D87">
      <w:pPr>
        <w:pStyle w:val="Encabezado"/>
        <w:spacing w:line="276" w:lineRule="auto"/>
        <w:ind w:firstLine="709"/>
        <w:jc w:val="both"/>
        <w:rPr>
          <w:rFonts w:cs="Arial"/>
          <w:bCs/>
          <w:color w:val="000000"/>
          <w:sz w:val="24"/>
        </w:rPr>
      </w:pPr>
      <w:r>
        <w:rPr>
          <w:noProof/>
          <w:lang w:val="es-CL" w:eastAsia="es-CL"/>
        </w:rPr>
        <w:lastRenderedPageBreak/>
        <w:drawing>
          <wp:inline distT="0" distB="0" distL="0" distR="0" wp14:anchorId="25DF447E" wp14:editId="7A9FB37B">
            <wp:extent cx="2331642" cy="2419350"/>
            <wp:effectExtent l="0" t="0" r="12065" b="19050"/>
            <wp:docPr id="111" name="Gráfico 1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r>
        <w:rPr>
          <w:noProof/>
          <w:lang w:val="es-CL" w:eastAsia="es-CL"/>
        </w:rPr>
        <w:drawing>
          <wp:inline distT="0" distB="0" distL="0" distR="0" wp14:anchorId="75D44F66" wp14:editId="5BB57330">
            <wp:extent cx="2257425" cy="2419350"/>
            <wp:effectExtent l="0" t="0" r="9525" b="19050"/>
            <wp:docPr id="114" name="Gráfico 114"/>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14:paraId="118CE049" w14:textId="1C76DD7E" w:rsidR="00437220" w:rsidRDefault="000A1A8E" w:rsidP="00BF1EE3">
      <w:pPr>
        <w:pStyle w:val="Encabezado"/>
        <w:ind w:firstLine="709"/>
        <w:jc w:val="both"/>
        <w:rPr>
          <w:rFonts w:cs="Arial"/>
          <w:bCs/>
          <w:color w:val="000000"/>
          <w:sz w:val="24"/>
        </w:rPr>
      </w:pPr>
      <w:r w:rsidRPr="000A1A8E">
        <w:rPr>
          <w:rFonts w:cs="Arial"/>
          <w:b/>
          <w:bCs/>
          <w:color w:val="000000"/>
          <w:sz w:val="24"/>
        </w:rPr>
        <w:t xml:space="preserve">Figura. </w:t>
      </w:r>
      <w:r>
        <w:rPr>
          <w:rFonts w:cs="Arial"/>
          <w:b/>
          <w:bCs/>
          <w:color w:val="000000"/>
          <w:sz w:val="24"/>
        </w:rPr>
        <w:t>21</w:t>
      </w:r>
      <w:r w:rsidR="00DB624B">
        <w:rPr>
          <w:rFonts w:cs="Arial"/>
          <w:b/>
          <w:bCs/>
          <w:color w:val="000000"/>
          <w:sz w:val="24"/>
        </w:rPr>
        <w:t>:</w:t>
      </w:r>
      <w:r w:rsidR="00F1686E">
        <w:rPr>
          <w:rFonts w:cs="Arial"/>
          <w:bCs/>
          <w:color w:val="000000"/>
          <w:sz w:val="24"/>
        </w:rPr>
        <w:t xml:space="preserve"> </w:t>
      </w:r>
      <w:r w:rsidR="00DB624B">
        <w:rPr>
          <w:rFonts w:cs="Arial"/>
          <w:bCs/>
          <w:color w:val="000000"/>
          <w:sz w:val="24"/>
        </w:rPr>
        <w:t xml:space="preserve">Flotadores de </w:t>
      </w:r>
      <w:proofErr w:type="spellStart"/>
      <w:r w:rsidR="00DB624B">
        <w:rPr>
          <w:rFonts w:cs="Arial"/>
          <w:bCs/>
          <w:color w:val="000000"/>
          <w:sz w:val="24"/>
        </w:rPr>
        <w:t>plumavit</w:t>
      </w:r>
      <w:proofErr w:type="spellEnd"/>
      <w:r>
        <w:rPr>
          <w:rFonts w:cs="Arial"/>
          <w:bCs/>
          <w:color w:val="000000"/>
          <w:sz w:val="24"/>
        </w:rPr>
        <w:t xml:space="preserve"> (%)</w:t>
      </w:r>
    </w:p>
    <w:p w14:paraId="2D7E5DF6" w14:textId="4C93F824" w:rsidR="00F1686E" w:rsidRDefault="00F1686E" w:rsidP="00E65482">
      <w:pPr>
        <w:pStyle w:val="Encabezado"/>
        <w:spacing w:line="276" w:lineRule="auto"/>
        <w:ind w:firstLine="709"/>
        <w:jc w:val="both"/>
        <w:rPr>
          <w:rFonts w:cs="Arial"/>
          <w:bCs/>
          <w:color w:val="000000"/>
          <w:sz w:val="24"/>
        </w:rPr>
      </w:pPr>
    </w:p>
    <w:p w14:paraId="47379357" w14:textId="77777777" w:rsidR="00E42A9F" w:rsidRDefault="00E42A9F" w:rsidP="00E65482">
      <w:pPr>
        <w:pStyle w:val="Encabezado"/>
        <w:spacing w:line="276" w:lineRule="auto"/>
        <w:ind w:firstLine="709"/>
        <w:jc w:val="both"/>
        <w:rPr>
          <w:rFonts w:cs="Arial"/>
          <w:bCs/>
          <w:color w:val="000000"/>
          <w:sz w:val="24"/>
        </w:rPr>
      </w:pPr>
    </w:p>
    <w:p w14:paraId="3A1C38B0" w14:textId="77777777" w:rsidR="00E42A9F" w:rsidRDefault="00E42A9F" w:rsidP="00E65482">
      <w:pPr>
        <w:pStyle w:val="Encabezado"/>
        <w:spacing w:line="276" w:lineRule="auto"/>
        <w:ind w:firstLine="709"/>
        <w:jc w:val="both"/>
        <w:rPr>
          <w:rFonts w:cs="Arial"/>
          <w:bCs/>
          <w:color w:val="000000"/>
          <w:sz w:val="24"/>
        </w:rPr>
      </w:pPr>
    </w:p>
    <w:p w14:paraId="67B787BC" w14:textId="77777777" w:rsidR="00E42A9F" w:rsidRDefault="00E42A9F" w:rsidP="00E65482">
      <w:pPr>
        <w:pStyle w:val="Encabezado"/>
        <w:spacing w:line="276" w:lineRule="auto"/>
        <w:ind w:firstLine="709"/>
        <w:jc w:val="both"/>
        <w:rPr>
          <w:rFonts w:cs="Arial"/>
          <w:bCs/>
          <w:color w:val="000000"/>
          <w:sz w:val="24"/>
        </w:rPr>
      </w:pPr>
    </w:p>
    <w:p w14:paraId="039C771D" w14:textId="3B850842" w:rsidR="001433BD" w:rsidRPr="00D276F2" w:rsidRDefault="001433BD" w:rsidP="00E31A3F">
      <w:pPr>
        <w:pStyle w:val="Ttulo3"/>
        <w:rPr>
          <w:color w:val="E36C0A" w:themeColor="accent6" w:themeShade="BF"/>
          <w:sz w:val="24"/>
          <w:szCs w:val="24"/>
        </w:rPr>
      </w:pPr>
      <w:bookmarkStart w:id="18" w:name="_Toc471999124"/>
      <w:r w:rsidRPr="00D276F2">
        <w:rPr>
          <w:color w:val="E36C0A" w:themeColor="accent6" w:themeShade="BF"/>
          <w:sz w:val="24"/>
          <w:szCs w:val="24"/>
        </w:rPr>
        <w:t>Desprendimiento de Materia Prima (MMPP) en cosecha y manejo de cuelgas de engorda.</w:t>
      </w:r>
      <w:bookmarkEnd w:id="18"/>
    </w:p>
    <w:p w14:paraId="799A9C4C" w14:textId="77777777" w:rsidR="001433BD" w:rsidRDefault="001433BD" w:rsidP="001433BD">
      <w:pPr>
        <w:pStyle w:val="Encabezado"/>
        <w:spacing w:line="276" w:lineRule="auto"/>
        <w:ind w:firstLine="709"/>
        <w:jc w:val="both"/>
        <w:rPr>
          <w:rFonts w:cs="Arial"/>
          <w:bCs/>
          <w:color w:val="F79646" w:themeColor="accent6"/>
          <w:sz w:val="24"/>
          <w:u w:val="single"/>
        </w:rPr>
      </w:pPr>
    </w:p>
    <w:p w14:paraId="3B6B0506" w14:textId="4469822E" w:rsidR="001433BD" w:rsidRPr="009C5812" w:rsidRDefault="001433BD" w:rsidP="001433BD">
      <w:pPr>
        <w:pStyle w:val="Encabezado"/>
        <w:spacing w:line="276" w:lineRule="auto"/>
        <w:ind w:firstLine="709"/>
        <w:jc w:val="both"/>
        <w:rPr>
          <w:rFonts w:cs="Arial"/>
          <w:bCs/>
          <w:color w:val="000000"/>
          <w:sz w:val="24"/>
        </w:rPr>
      </w:pPr>
      <w:r w:rsidRPr="009C5812">
        <w:rPr>
          <w:rFonts w:cs="Arial"/>
          <w:bCs/>
          <w:color w:val="000000"/>
          <w:sz w:val="24"/>
        </w:rPr>
        <w:t xml:space="preserve">Durante la cosecha, al levantar las cuelgas se </w:t>
      </w:r>
      <w:r w:rsidR="00036C5F" w:rsidRPr="009C5812">
        <w:rPr>
          <w:rFonts w:cs="Arial"/>
          <w:bCs/>
          <w:color w:val="000000"/>
          <w:sz w:val="24"/>
        </w:rPr>
        <w:t xml:space="preserve">produce el </w:t>
      </w:r>
      <w:r w:rsidR="006A6EB4" w:rsidRPr="009C5812">
        <w:rPr>
          <w:rFonts w:cs="Arial"/>
          <w:bCs/>
          <w:color w:val="000000"/>
          <w:sz w:val="24"/>
        </w:rPr>
        <w:t>desprendiendo</w:t>
      </w:r>
      <w:r w:rsidR="00036C5F" w:rsidRPr="009C5812">
        <w:rPr>
          <w:rFonts w:cs="Arial"/>
          <w:bCs/>
          <w:color w:val="000000"/>
          <w:sz w:val="24"/>
        </w:rPr>
        <w:t xml:space="preserve"> de</w:t>
      </w:r>
      <w:r w:rsidRPr="009C5812">
        <w:rPr>
          <w:rFonts w:cs="Arial"/>
          <w:bCs/>
          <w:color w:val="000000"/>
          <w:sz w:val="24"/>
        </w:rPr>
        <w:t xml:space="preserve"> individuos, los cuales pueden ser recolectados a través de diferentes sistema</w:t>
      </w:r>
      <w:r w:rsidR="006A6EB4" w:rsidRPr="009C5812">
        <w:rPr>
          <w:rFonts w:cs="Arial"/>
          <w:bCs/>
          <w:color w:val="000000"/>
          <w:sz w:val="24"/>
        </w:rPr>
        <w:t>s</w:t>
      </w:r>
      <w:r w:rsidRPr="009C5812">
        <w:rPr>
          <w:rFonts w:cs="Arial"/>
          <w:bCs/>
          <w:color w:val="000000"/>
          <w:sz w:val="24"/>
        </w:rPr>
        <w:t xml:space="preserve"> de recuperación, de esta forma se vita perder producto y que los individuos </w:t>
      </w:r>
      <w:r w:rsidR="006A6EB4" w:rsidRPr="009C5812">
        <w:rPr>
          <w:rFonts w:cs="Arial"/>
          <w:bCs/>
          <w:color w:val="000000"/>
          <w:sz w:val="24"/>
        </w:rPr>
        <w:t>se acumulen en</w:t>
      </w:r>
      <w:r w:rsidRPr="009C5812">
        <w:rPr>
          <w:rFonts w:cs="Arial"/>
          <w:bCs/>
          <w:color w:val="000000"/>
          <w:sz w:val="24"/>
        </w:rPr>
        <w:t xml:space="preserve"> el fondo marino</w:t>
      </w:r>
      <w:r w:rsidR="006A6EB4" w:rsidRPr="009C5812">
        <w:rPr>
          <w:rFonts w:cs="Arial"/>
          <w:bCs/>
          <w:color w:val="000000"/>
          <w:sz w:val="24"/>
        </w:rPr>
        <w:t xml:space="preserve">. </w:t>
      </w:r>
      <w:r w:rsidR="00036C5F" w:rsidRPr="009C5812">
        <w:rPr>
          <w:rFonts w:cs="Arial"/>
          <w:bCs/>
          <w:color w:val="000000"/>
          <w:sz w:val="24"/>
        </w:rPr>
        <w:t xml:space="preserve">El 69% de empresas MYPE (9 empresas), y un 70% de centros Grande (7 centros), informan que no poseer un sistema de recuperación o recolección de MMPP desprendida durante la </w:t>
      </w:r>
      <w:r w:rsidR="00036C5F" w:rsidRPr="000A1A8E">
        <w:rPr>
          <w:rFonts w:cs="Arial"/>
          <w:bCs/>
          <w:color w:val="000000"/>
          <w:sz w:val="24"/>
        </w:rPr>
        <w:t xml:space="preserve">cosecha. </w:t>
      </w:r>
      <w:r w:rsidR="000A1A8E" w:rsidRPr="000A1A8E">
        <w:rPr>
          <w:rFonts w:cs="Arial"/>
          <w:bCs/>
          <w:color w:val="000000"/>
          <w:sz w:val="24"/>
        </w:rPr>
        <w:t>(Figura 22</w:t>
      </w:r>
      <w:r w:rsidR="00036C5F" w:rsidRPr="000A1A8E">
        <w:rPr>
          <w:rFonts w:cs="Arial"/>
          <w:bCs/>
          <w:color w:val="000000"/>
          <w:sz w:val="24"/>
        </w:rPr>
        <w:t>).</w:t>
      </w:r>
    </w:p>
    <w:p w14:paraId="7F68575A" w14:textId="1EE7538E" w:rsidR="001433BD" w:rsidRPr="009C5812" w:rsidRDefault="009C5812" w:rsidP="001433BD">
      <w:pPr>
        <w:pStyle w:val="Encabezado"/>
        <w:spacing w:line="276" w:lineRule="auto"/>
        <w:ind w:firstLine="709"/>
        <w:jc w:val="both"/>
        <w:rPr>
          <w:rFonts w:cs="Arial"/>
          <w:bCs/>
          <w:color w:val="000000"/>
          <w:sz w:val="24"/>
        </w:rPr>
      </w:pPr>
      <w:r w:rsidRPr="009C5812">
        <w:rPr>
          <w:rFonts w:cs="Arial"/>
          <w:bCs/>
          <w:color w:val="000000"/>
          <w:sz w:val="24"/>
        </w:rPr>
        <w:t xml:space="preserve">Por otro lado, el 54% (7 centros) y el 60% (6 centros) de centros MYPE y Grande respectivamente, indican que realizan manejo de cuelgas con desprendimiento de individuos. </w:t>
      </w:r>
      <w:r w:rsidR="000A1A8E" w:rsidRPr="000A1A8E">
        <w:rPr>
          <w:rFonts w:cs="Arial"/>
          <w:bCs/>
          <w:color w:val="000000"/>
          <w:sz w:val="24"/>
        </w:rPr>
        <w:t>(Figura 22</w:t>
      </w:r>
      <w:r w:rsidRPr="000A1A8E">
        <w:rPr>
          <w:rFonts w:cs="Arial"/>
          <w:bCs/>
          <w:color w:val="000000"/>
          <w:sz w:val="24"/>
        </w:rPr>
        <w:t>).</w:t>
      </w:r>
    </w:p>
    <w:p w14:paraId="06DF224C" w14:textId="77777777" w:rsidR="00E42A9F" w:rsidRDefault="00E42A9F" w:rsidP="00E65482">
      <w:pPr>
        <w:pStyle w:val="Encabezado"/>
        <w:spacing w:line="276" w:lineRule="auto"/>
        <w:ind w:firstLine="709"/>
        <w:jc w:val="both"/>
        <w:rPr>
          <w:rFonts w:cs="Arial"/>
          <w:bCs/>
          <w:color w:val="000000"/>
          <w:sz w:val="24"/>
        </w:rPr>
      </w:pPr>
    </w:p>
    <w:p w14:paraId="39337FC6" w14:textId="2FB19ABC" w:rsidR="00E42A9F" w:rsidRDefault="00D06BE9" w:rsidP="00E65482">
      <w:pPr>
        <w:pStyle w:val="Encabezado"/>
        <w:spacing w:line="276" w:lineRule="auto"/>
        <w:ind w:firstLine="709"/>
        <w:jc w:val="both"/>
        <w:rPr>
          <w:rFonts w:cs="Arial"/>
          <w:bCs/>
          <w:color w:val="000000"/>
          <w:sz w:val="24"/>
        </w:rPr>
      </w:pPr>
      <w:r>
        <w:rPr>
          <w:noProof/>
          <w:lang w:val="es-CL" w:eastAsia="es-CL"/>
        </w:rPr>
        <w:lastRenderedPageBreak/>
        <w:drawing>
          <wp:inline distT="0" distB="0" distL="0" distR="0" wp14:anchorId="4B89EF4B" wp14:editId="3BB727CC">
            <wp:extent cx="2304288" cy="2648102"/>
            <wp:effectExtent l="0" t="0" r="20320" b="19050"/>
            <wp:docPr id="126" name="Gráfico 126"/>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r>
        <w:rPr>
          <w:noProof/>
          <w:lang w:val="es-CL" w:eastAsia="es-CL"/>
        </w:rPr>
        <w:drawing>
          <wp:inline distT="0" distB="0" distL="0" distR="0" wp14:anchorId="7E026841" wp14:editId="7C7E9DB0">
            <wp:extent cx="2355495" cy="2640787"/>
            <wp:effectExtent l="0" t="0" r="26035" b="26670"/>
            <wp:docPr id="127" name="Gráfico 127"/>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14:paraId="07B99152" w14:textId="21B13899" w:rsidR="00E42A9F" w:rsidRDefault="00350C00" w:rsidP="00E65482">
      <w:pPr>
        <w:pStyle w:val="Encabezado"/>
        <w:spacing w:line="276" w:lineRule="auto"/>
        <w:ind w:firstLine="709"/>
        <w:jc w:val="both"/>
        <w:rPr>
          <w:rFonts w:cs="Arial"/>
          <w:bCs/>
          <w:color w:val="000000"/>
          <w:sz w:val="24"/>
        </w:rPr>
      </w:pPr>
      <w:r w:rsidRPr="000A1A8E">
        <w:rPr>
          <w:rFonts w:cs="Arial"/>
          <w:b/>
          <w:bCs/>
          <w:color w:val="000000"/>
          <w:sz w:val="24"/>
        </w:rPr>
        <w:t xml:space="preserve">Figura. </w:t>
      </w:r>
      <w:r w:rsidR="000A1A8E">
        <w:rPr>
          <w:rFonts w:cs="Arial"/>
          <w:b/>
          <w:bCs/>
          <w:color w:val="000000"/>
          <w:sz w:val="24"/>
        </w:rPr>
        <w:t>22</w:t>
      </w:r>
      <w:r>
        <w:rPr>
          <w:rFonts w:cs="Arial"/>
          <w:b/>
          <w:bCs/>
          <w:color w:val="000000"/>
          <w:sz w:val="24"/>
        </w:rPr>
        <w:t>:</w:t>
      </w:r>
      <w:r>
        <w:rPr>
          <w:rFonts w:cs="Arial"/>
          <w:bCs/>
          <w:color w:val="000000"/>
          <w:sz w:val="24"/>
        </w:rPr>
        <w:t xml:space="preserve"> </w:t>
      </w:r>
      <w:r w:rsidRPr="00350C00">
        <w:rPr>
          <w:rFonts w:cs="Arial"/>
          <w:bCs/>
          <w:color w:val="000000"/>
          <w:sz w:val="24"/>
        </w:rPr>
        <w:t>Desprendimiento de Materia Prima (MMPP) en cosecha y manejo de cuelga</w:t>
      </w:r>
      <w:r>
        <w:rPr>
          <w:rFonts w:cs="Arial"/>
          <w:bCs/>
          <w:color w:val="000000"/>
          <w:sz w:val="24"/>
        </w:rPr>
        <w:t>s de engorda (%).</w:t>
      </w:r>
    </w:p>
    <w:p w14:paraId="7508A7B7" w14:textId="77777777" w:rsidR="00E42A9F" w:rsidRDefault="00E42A9F" w:rsidP="00E65482">
      <w:pPr>
        <w:pStyle w:val="Encabezado"/>
        <w:spacing w:line="276" w:lineRule="auto"/>
        <w:ind w:firstLine="709"/>
        <w:jc w:val="both"/>
        <w:rPr>
          <w:rFonts w:cs="Arial"/>
          <w:bCs/>
          <w:color w:val="000000"/>
          <w:sz w:val="24"/>
        </w:rPr>
      </w:pPr>
    </w:p>
    <w:p w14:paraId="1ACB655F" w14:textId="77777777" w:rsidR="00442310" w:rsidRDefault="00442310" w:rsidP="00442310">
      <w:pPr>
        <w:pStyle w:val="Encabezado"/>
        <w:rPr>
          <w:highlight w:val="yellow"/>
        </w:rPr>
      </w:pPr>
    </w:p>
    <w:p w14:paraId="6249BEA1" w14:textId="77777777" w:rsidR="00B96E3F" w:rsidRDefault="00B96E3F" w:rsidP="00E35AA3">
      <w:pPr>
        <w:pStyle w:val="Encabezado"/>
      </w:pPr>
    </w:p>
    <w:p w14:paraId="2701856E" w14:textId="19112444" w:rsidR="001848D6" w:rsidRPr="004B184E" w:rsidRDefault="00160A84" w:rsidP="00E31A3F">
      <w:pPr>
        <w:pStyle w:val="Ttulo2"/>
        <w:rPr>
          <w:b w:val="0"/>
          <w:sz w:val="32"/>
          <w:szCs w:val="32"/>
          <w:lang w:eastAsia="es-CL"/>
        </w:rPr>
      </w:pPr>
      <w:bookmarkStart w:id="19" w:name="_Toc471999125"/>
      <w:r w:rsidRPr="004B184E">
        <w:rPr>
          <w:b w:val="0"/>
          <w:sz w:val="32"/>
          <w:szCs w:val="32"/>
          <w:lang w:eastAsia="es-CL"/>
        </w:rPr>
        <w:t>Residuos Peligrosos</w:t>
      </w:r>
      <w:bookmarkEnd w:id="19"/>
    </w:p>
    <w:p w14:paraId="04FADAFF" w14:textId="77777777" w:rsidR="001848D6" w:rsidRPr="00152EEA" w:rsidRDefault="001848D6" w:rsidP="00E35AA3">
      <w:pPr>
        <w:pStyle w:val="Encabezado"/>
        <w:rPr>
          <w:sz w:val="36"/>
        </w:rPr>
      </w:pPr>
    </w:p>
    <w:p w14:paraId="13D5343B" w14:textId="61611EAF" w:rsidR="00404256" w:rsidRDefault="00D0102E" w:rsidP="004633B8">
      <w:pPr>
        <w:pStyle w:val="Encabezado"/>
        <w:spacing w:line="276" w:lineRule="auto"/>
        <w:ind w:firstLine="709"/>
        <w:jc w:val="both"/>
        <w:rPr>
          <w:rFonts w:cs="Arial"/>
          <w:bCs/>
          <w:color w:val="000000"/>
          <w:sz w:val="24"/>
        </w:rPr>
      </w:pPr>
      <w:r w:rsidRPr="00152EEA">
        <w:rPr>
          <w:rFonts w:cs="Arial"/>
          <w:bCs/>
          <w:color w:val="000000"/>
          <w:sz w:val="24"/>
        </w:rPr>
        <w:t>El D.S. Nº 148/20</w:t>
      </w:r>
      <w:r w:rsidR="00F14872" w:rsidRPr="00152EEA">
        <w:rPr>
          <w:rFonts w:cs="Arial"/>
          <w:bCs/>
          <w:color w:val="000000"/>
          <w:sz w:val="24"/>
        </w:rPr>
        <w:t>03, del Ministerio de Salud,</w:t>
      </w:r>
      <w:r w:rsidRPr="00152EEA">
        <w:rPr>
          <w:rFonts w:cs="Arial"/>
          <w:bCs/>
          <w:color w:val="000000"/>
          <w:sz w:val="24"/>
        </w:rPr>
        <w:t xml:space="preserve"> </w:t>
      </w:r>
      <w:r w:rsidR="007976EF" w:rsidRPr="00152EEA">
        <w:rPr>
          <w:rFonts w:cs="Arial"/>
          <w:bCs/>
          <w:color w:val="000000"/>
          <w:sz w:val="24"/>
        </w:rPr>
        <w:t>“E</w:t>
      </w:r>
      <w:r w:rsidRPr="00152EEA">
        <w:rPr>
          <w:rFonts w:cs="Arial"/>
          <w:bCs/>
          <w:color w:val="000000"/>
          <w:sz w:val="24"/>
        </w:rPr>
        <w:t>stablece Reglamento Sanitario sobre Manejo de Residuos Peligrosos</w:t>
      </w:r>
      <w:r w:rsidR="007976EF" w:rsidRPr="00152EEA">
        <w:rPr>
          <w:rFonts w:cs="Arial"/>
          <w:bCs/>
          <w:color w:val="000000"/>
          <w:sz w:val="24"/>
        </w:rPr>
        <w:t>”,</w:t>
      </w:r>
      <w:r w:rsidR="00801671" w:rsidRPr="00152EEA">
        <w:rPr>
          <w:rFonts w:cs="Arial"/>
          <w:bCs/>
          <w:color w:val="000000"/>
          <w:sz w:val="24"/>
        </w:rPr>
        <w:t xml:space="preserve"> señala que </w:t>
      </w:r>
      <w:r w:rsidR="007976EF" w:rsidRPr="00152EEA">
        <w:rPr>
          <w:rFonts w:cs="Arial"/>
          <w:bCs/>
          <w:color w:val="000000"/>
          <w:sz w:val="24"/>
        </w:rPr>
        <w:t>residuo</w:t>
      </w:r>
      <w:r w:rsidR="00F14872" w:rsidRPr="00152EEA">
        <w:rPr>
          <w:rFonts w:cs="Arial"/>
          <w:bCs/>
          <w:color w:val="000000"/>
          <w:sz w:val="24"/>
        </w:rPr>
        <w:t>s</w:t>
      </w:r>
      <w:r w:rsidR="007976EF" w:rsidRPr="00152EEA">
        <w:rPr>
          <w:rFonts w:cs="Arial"/>
          <w:bCs/>
          <w:color w:val="000000"/>
          <w:sz w:val="24"/>
        </w:rPr>
        <w:t xml:space="preserve"> peligroso</w:t>
      </w:r>
      <w:r w:rsidR="00F14872" w:rsidRPr="00152EEA">
        <w:rPr>
          <w:rFonts w:cs="Arial"/>
          <w:bCs/>
          <w:color w:val="000000"/>
          <w:sz w:val="24"/>
        </w:rPr>
        <w:t>s</w:t>
      </w:r>
      <w:r w:rsidR="007976EF" w:rsidRPr="00152EEA">
        <w:rPr>
          <w:rFonts w:cs="Arial"/>
          <w:bCs/>
          <w:color w:val="000000"/>
          <w:sz w:val="24"/>
        </w:rPr>
        <w:t xml:space="preserve"> </w:t>
      </w:r>
      <w:r w:rsidR="00801671" w:rsidRPr="00152EEA">
        <w:rPr>
          <w:rFonts w:cs="Arial"/>
          <w:bCs/>
          <w:color w:val="000000"/>
          <w:sz w:val="24"/>
        </w:rPr>
        <w:t>son aquellos que</w:t>
      </w:r>
      <w:r w:rsidR="007976EF" w:rsidRPr="00152EEA">
        <w:rPr>
          <w:rFonts w:cs="Arial"/>
          <w:bCs/>
          <w:color w:val="000000"/>
          <w:sz w:val="24"/>
        </w:rPr>
        <w:t xml:space="preserve"> presenta</w:t>
      </w:r>
      <w:r w:rsidR="00801671" w:rsidRPr="00152EEA">
        <w:rPr>
          <w:rFonts w:cs="Arial"/>
          <w:bCs/>
          <w:color w:val="000000"/>
          <w:sz w:val="24"/>
        </w:rPr>
        <w:t>n</w:t>
      </w:r>
      <w:r w:rsidR="007976EF" w:rsidRPr="00152EEA">
        <w:rPr>
          <w:rFonts w:cs="Arial"/>
          <w:bCs/>
          <w:color w:val="000000"/>
          <w:sz w:val="24"/>
        </w:rPr>
        <w:t xml:space="preserve"> riesgo para la salud pública y/o efectos adversos al medio ambiente, ya se</w:t>
      </w:r>
      <w:r w:rsidR="00F14872" w:rsidRPr="00152EEA">
        <w:rPr>
          <w:rFonts w:cs="Arial"/>
          <w:bCs/>
          <w:color w:val="000000"/>
          <w:sz w:val="24"/>
        </w:rPr>
        <w:t>a</w:t>
      </w:r>
      <w:r w:rsidR="007976EF" w:rsidRPr="00152EEA">
        <w:rPr>
          <w:rFonts w:cs="Arial"/>
          <w:bCs/>
          <w:color w:val="000000"/>
          <w:sz w:val="24"/>
        </w:rPr>
        <w:t xml:space="preserve"> directamente o previsto como consecuencia de presentar algunas de las características de toxicidades aguda, crónica y extrínseca; inflamabilidad, reactividad y </w:t>
      </w:r>
      <w:proofErr w:type="spellStart"/>
      <w:r w:rsidR="007976EF" w:rsidRPr="00152EEA">
        <w:rPr>
          <w:rFonts w:cs="Arial"/>
          <w:bCs/>
          <w:color w:val="000000"/>
          <w:sz w:val="24"/>
        </w:rPr>
        <w:t>corrosividad</w:t>
      </w:r>
      <w:proofErr w:type="spellEnd"/>
      <w:r w:rsidR="007976EF" w:rsidRPr="00152EEA">
        <w:rPr>
          <w:rFonts w:cs="Arial"/>
          <w:bCs/>
          <w:color w:val="000000"/>
          <w:sz w:val="24"/>
        </w:rPr>
        <w:t>. Bastará la presencia de una de estas características en un residuo para que sea calificado como residuo peligroso.</w:t>
      </w:r>
    </w:p>
    <w:p w14:paraId="340E140E" w14:textId="77777777" w:rsidR="00C4789E" w:rsidRDefault="00C4789E" w:rsidP="004633B8">
      <w:pPr>
        <w:pStyle w:val="Encabezado"/>
        <w:spacing w:line="276" w:lineRule="auto"/>
        <w:ind w:firstLine="709"/>
        <w:jc w:val="both"/>
        <w:rPr>
          <w:rFonts w:cs="Arial"/>
          <w:bCs/>
          <w:color w:val="000000"/>
          <w:sz w:val="24"/>
        </w:rPr>
      </w:pPr>
    </w:p>
    <w:p w14:paraId="5365BE52" w14:textId="0E6D801F" w:rsidR="004E59B1" w:rsidRPr="004633B8" w:rsidRDefault="00C4789E" w:rsidP="00C4789E">
      <w:pPr>
        <w:pStyle w:val="Encabezado"/>
        <w:spacing w:line="276" w:lineRule="auto"/>
        <w:ind w:firstLine="709"/>
        <w:jc w:val="both"/>
        <w:rPr>
          <w:rFonts w:cs="Arial"/>
          <w:bCs/>
          <w:color w:val="000000"/>
          <w:sz w:val="24"/>
        </w:rPr>
      </w:pPr>
      <w:r w:rsidRPr="00A123E5">
        <w:rPr>
          <w:rFonts w:cs="Arial"/>
          <w:bCs/>
          <w:color w:val="000000"/>
          <w:sz w:val="24"/>
        </w:rPr>
        <w:t xml:space="preserve">El volumen total de residuos </w:t>
      </w:r>
      <w:r>
        <w:rPr>
          <w:rFonts w:cs="Arial"/>
          <w:bCs/>
          <w:color w:val="000000"/>
          <w:sz w:val="24"/>
        </w:rPr>
        <w:t xml:space="preserve">peligrosos </w:t>
      </w:r>
      <w:r w:rsidRPr="00A123E5">
        <w:rPr>
          <w:rFonts w:cs="Arial"/>
          <w:bCs/>
          <w:color w:val="000000"/>
          <w:sz w:val="24"/>
        </w:rPr>
        <w:t>generados</w:t>
      </w:r>
      <w:r>
        <w:rPr>
          <w:rFonts w:cs="Arial"/>
          <w:bCs/>
          <w:color w:val="000000"/>
          <w:sz w:val="24"/>
        </w:rPr>
        <w:t xml:space="preserve"> anualmente</w:t>
      </w:r>
      <w:r w:rsidRPr="00A123E5">
        <w:rPr>
          <w:rFonts w:cs="Arial"/>
          <w:bCs/>
          <w:color w:val="000000"/>
          <w:sz w:val="24"/>
        </w:rPr>
        <w:t xml:space="preserve"> por las empresas </w:t>
      </w:r>
      <w:r>
        <w:rPr>
          <w:rFonts w:cs="Arial"/>
          <w:bCs/>
          <w:color w:val="000000"/>
          <w:sz w:val="24"/>
        </w:rPr>
        <w:t>encuestadas</w:t>
      </w:r>
      <w:r w:rsidRPr="00A123E5">
        <w:rPr>
          <w:rFonts w:cs="Arial"/>
          <w:bCs/>
          <w:color w:val="000000"/>
          <w:sz w:val="24"/>
        </w:rPr>
        <w:t xml:space="preserve"> es </w:t>
      </w:r>
      <w:r>
        <w:rPr>
          <w:rFonts w:cs="Arial"/>
          <w:bCs/>
          <w:color w:val="000000"/>
          <w:sz w:val="24"/>
        </w:rPr>
        <w:t>15,2</w:t>
      </w:r>
      <w:r w:rsidRPr="00A123E5">
        <w:rPr>
          <w:rFonts w:cs="Arial"/>
          <w:bCs/>
          <w:color w:val="000000"/>
          <w:sz w:val="24"/>
        </w:rPr>
        <w:t xml:space="preserve"> (Ton). </w:t>
      </w:r>
      <w:r>
        <w:rPr>
          <w:rFonts w:cs="Arial"/>
          <w:bCs/>
          <w:color w:val="000000"/>
          <w:sz w:val="24"/>
        </w:rPr>
        <w:t xml:space="preserve">El promedio de residuos peligrosos generados por los centros de cultivos MYPE es 0,713 (Ton) y en el segmento Grande 2,3 (Ton). El análisis de los residuos peligrosos generados por tonelada de </w:t>
      </w:r>
      <w:r w:rsidRPr="000A1A8E">
        <w:rPr>
          <w:rFonts w:cs="Arial"/>
          <w:bCs/>
          <w:color w:val="000000"/>
          <w:sz w:val="24"/>
        </w:rPr>
        <w:t>Materia Prima cosechada es 0,001 (Ton/Ton) en ambas categorías.</w:t>
      </w:r>
      <w:r w:rsidR="004E59B1" w:rsidRPr="000A1A8E">
        <w:rPr>
          <w:rFonts w:cs="Arial"/>
          <w:bCs/>
          <w:color w:val="000000"/>
          <w:sz w:val="24"/>
        </w:rPr>
        <w:t xml:space="preserve"> (Figura 23).</w:t>
      </w:r>
    </w:p>
    <w:p w14:paraId="014334F2" w14:textId="77777777" w:rsidR="004E59B1" w:rsidRDefault="004E59B1" w:rsidP="004E59B1">
      <w:pPr>
        <w:pStyle w:val="Encabezado"/>
        <w:spacing w:line="276" w:lineRule="auto"/>
        <w:jc w:val="both"/>
        <w:rPr>
          <w:rFonts w:cs="Arial"/>
          <w:bCs/>
          <w:color w:val="000000"/>
          <w:sz w:val="24"/>
        </w:rPr>
      </w:pPr>
    </w:p>
    <w:p w14:paraId="0A52E3A3" w14:textId="19D8E0FB" w:rsidR="004E59B1" w:rsidRDefault="00BF1115" w:rsidP="00C4789E">
      <w:pPr>
        <w:pStyle w:val="Encabezado"/>
        <w:spacing w:line="276" w:lineRule="auto"/>
        <w:jc w:val="both"/>
        <w:rPr>
          <w:rFonts w:cs="Arial"/>
          <w:bCs/>
          <w:color w:val="000000"/>
          <w:sz w:val="24"/>
        </w:rPr>
      </w:pPr>
      <w:r>
        <w:rPr>
          <w:noProof/>
          <w:lang w:val="es-CL" w:eastAsia="es-CL"/>
        </w:rPr>
        <w:drawing>
          <wp:inline distT="0" distB="0" distL="0" distR="0" wp14:anchorId="7D338564" wp14:editId="3EDEF5D9">
            <wp:extent cx="1543049" cy="2495549"/>
            <wp:effectExtent l="0" t="0" r="19685" b="19685"/>
            <wp:docPr id="4118" name="Gráfico 4118"/>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r>
        <w:rPr>
          <w:noProof/>
          <w:lang w:val="es-CL" w:eastAsia="es-CL"/>
        </w:rPr>
        <w:drawing>
          <wp:inline distT="0" distB="0" distL="0" distR="0" wp14:anchorId="2D526C6A" wp14:editId="16ABB2A2">
            <wp:extent cx="1543050" cy="2495549"/>
            <wp:effectExtent l="0" t="0" r="19050" b="19685"/>
            <wp:docPr id="4119" name="Gráfico 4119"/>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r w:rsidRPr="00BF1115">
        <w:rPr>
          <w:noProof/>
          <w:sz w:val="16"/>
          <w:szCs w:val="16"/>
          <w:lang w:val="es-CL" w:eastAsia="es-CL"/>
        </w:rPr>
        <w:drawing>
          <wp:inline distT="0" distB="0" distL="0" distR="0" wp14:anchorId="385BC8BE" wp14:editId="53F09F3B">
            <wp:extent cx="1543050" cy="2495549"/>
            <wp:effectExtent l="0" t="0" r="19050" b="19685"/>
            <wp:docPr id="4120" name="Gráfico 4120"/>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14:paraId="12048B6E" w14:textId="28F38EC7" w:rsidR="004E59B1" w:rsidRDefault="004E59B1" w:rsidP="00C4789E">
      <w:pPr>
        <w:pStyle w:val="Encabezado"/>
        <w:spacing w:line="276" w:lineRule="auto"/>
        <w:jc w:val="both"/>
        <w:rPr>
          <w:rFonts w:cs="Arial"/>
          <w:bCs/>
          <w:color w:val="000000"/>
          <w:sz w:val="24"/>
        </w:rPr>
      </w:pPr>
      <w:r>
        <w:rPr>
          <w:rFonts w:cs="Arial"/>
          <w:b/>
          <w:bCs/>
          <w:color w:val="000000"/>
          <w:sz w:val="24"/>
        </w:rPr>
        <w:t>F</w:t>
      </w:r>
      <w:r w:rsidRPr="007F6A01">
        <w:rPr>
          <w:rFonts w:cs="Arial"/>
          <w:b/>
          <w:bCs/>
          <w:color w:val="000000"/>
          <w:sz w:val="24"/>
        </w:rPr>
        <w:t xml:space="preserve">igura </w:t>
      </w:r>
      <w:r>
        <w:rPr>
          <w:rFonts w:cs="Arial"/>
          <w:b/>
          <w:bCs/>
          <w:color w:val="000000"/>
          <w:sz w:val="24"/>
        </w:rPr>
        <w:t>23</w:t>
      </w:r>
      <w:r w:rsidRPr="007F6A01">
        <w:rPr>
          <w:rFonts w:cs="Arial"/>
          <w:b/>
          <w:bCs/>
          <w:color w:val="000000"/>
          <w:sz w:val="24"/>
        </w:rPr>
        <w:t>.</w:t>
      </w:r>
      <w:r>
        <w:rPr>
          <w:rFonts w:cs="Arial"/>
          <w:b/>
          <w:bCs/>
          <w:color w:val="000000"/>
          <w:sz w:val="24"/>
        </w:rPr>
        <w:t xml:space="preserve"> </w:t>
      </w:r>
      <w:r>
        <w:rPr>
          <w:rFonts w:cs="Arial"/>
          <w:bCs/>
          <w:color w:val="000000"/>
          <w:sz w:val="24"/>
        </w:rPr>
        <w:t>Volumen</w:t>
      </w:r>
      <w:r w:rsidRPr="00322592">
        <w:rPr>
          <w:rFonts w:cs="Arial"/>
          <w:bCs/>
          <w:color w:val="000000"/>
          <w:sz w:val="24"/>
        </w:rPr>
        <w:t xml:space="preserve"> de</w:t>
      </w:r>
      <w:r>
        <w:rPr>
          <w:rFonts w:cs="Arial"/>
          <w:b/>
          <w:bCs/>
          <w:color w:val="000000"/>
          <w:sz w:val="24"/>
        </w:rPr>
        <w:t xml:space="preserve"> </w:t>
      </w:r>
      <w:r w:rsidRPr="004633B8">
        <w:rPr>
          <w:rFonts w:cs="Arial"/>
          <w:bCs/>
          <w:color w:val="000000"/>
          <w:sz w:val="24"/>
        </w:rPr>
        <w:t>r</w:t>
      </w:r>
      <w:r>
        <w:rPr>
          <w:rFonts w:cs="Arial"/>
          <w:bCs/>
          <w:color w:val="000000"/>
          <w:sz w:val="24"/>
        </w:rPr>
        <w:t>esiduos Peligrosos (Kg).</w:t>
      </w:r>
    </w:p>
    <w:p w14:paraId="1B053504" w14:textId="77777777" w:rsidR="009C3E67" w:rsidRDefault="009C3E67" w:rsidP="004E59B1">
      <w:pPr>
        <w:pStyle w:val="Encabezado"/>
        <w:spacing w:line="276" w:lineRule="auto"/>
        <w:ind w:firstLine="709"/>
        <w:jc w:val="both"/>
        <w:rPr>
          <w:rFonts w:cs="Arial"/>
          <w:bCs/>
          <w:color w:val="000000"/>
          <w:sz w:val="24"/>
        </w:rPr>
      </w:pPr>
    </w:p>
    <w:p w14:paraId="05E02E78" w14:textId="332D280F" w:rsidR="009C3E67" w:rsidRDefault="009C3E67" w:rsidP="009C3E67">
      <w:pPr>
        <w:pStyle w:val="Encabezado"/>
        <w:spacing w:line="276" w:lineRule="auto"/>
        <w:ind w:firstLine="709"/>
        <w:jc w:val="both"/>
        <w:rPr>
          <w:rFonts w:cs="Arial"/>
          <w:bCs/>
          <w:color w:val="000000"/>
          <w:sz w:val="24"/>
        </w:rPr>
      </w:pPr>
      <w:r w:rsidRPr="0034318A">
        <w:rPr>
          <w:rFonts w:cs="Arial"/>
          <w:bCs/>
          <w:color w:val="000000"/>
          <w:sz w:val="24"/>
        </w:rPr>
        <w:t xml:space="preserve">Las empresas </w:t>
      </w:r>
      <w:r>
        <w:rPr>
          <w:rFonts w:cs="Arial"/>
          <w:bCs/>
          <w:color w:val="000000"/>
          <w:sz w:val="24"/>
        </w:rPr>
        <w:t xml:space="preserve">diagnosticadas </w:t>
      </w:r>
      <w:r w:rsidRPr="0034318A">
        <w:rPr>
          <w:rFonts w:cs="Arial"/>
          <w:bCs/>
          <w:color w:val="000000"/>
          <w:sz w:val="24"/>
        </w:rPr>
        <w:t xml:space="preserve">identificaron los componentes de sus </w:t>
      </w:r>
      <w:r w:rsidR="00304CC5">
        <w:rPr>
          <w:rFonts w:cs="Arial"/>
          <w:bCs/>
          <w:color w:val="000000"/>
          <w:sz w:val="24"/>
        </w:rPr>
        <w:t>residuos peligrosos</w:t>
      </w:r>
      <w:r w:rsidRPr="0034318A">
        <w:rPr>
          <w:rFonts w:cs="Arial"/>
          <w:bCs/>
          <w:color w:val="000000"/>
          <w:sz w:val="24"/>
        </w:rPr>
        <w:t xml:space="preserve">. El residuo identificado y mencionado mayor número de veces por las </w:t>
      </w:r>
      <w:r w:rsidR="00304CC5">
        <w:rPr>
          <w:rFonts w:cs="Arial"/>
          <w:bCs/>
          <w:color w:val="000000"/>
          <w:sz w:val="24"/>
        </w:rPr>
        <w:t>centros de cultivo MYPE y Grande</w:t>
      </w:r>
      <w:r w:rsidRPr="0034318A">
        <w:rPr>
          <w:rFonts w:cs="Arial"/>
          <w:bCs/>
          <w:color w:val="000000"/>
          <w:sz w:val="24"/>
        </w:rPr>
        <w:t xml:space="preserve"> </w:t>
      </w:r>
      <w:r>
        <w:rPr>
          <w:rFonts w:cs="Arial"/>
          <w:bCs/>
          <w:color w:val="000000"/>
          <w:sz w:val="24"/>
        </w:rPr>
        <w:t xml:space="preserve">son: </w:t>
      </w:r>
      <w:r w:rsidR="00304CC5">
        <w:rPr>
          <w:rFonts w:cs="Arial"/>
          <w:bCs/>
          <w:color w:val="000000"/>
          <w:sz w:val="24"/>
        </w:rPr>
        <w:t>aceites (93</w:t>
      </w:r>
      <w:r w:rsidRPr="0034318A">
        <w:rPr>
          <w:rFonts w:cs="Arial"/>
          <w:bCs/>
          <w:color w:val="000000"/>
          <w:sz w:val="24"/>
        </w:rPr>
        <w:t xml:space="preserve">%), seguido de </w:t>
      </w:r>
      <w:r w:rsidR="00304CC5">
        <w:rPr>
          <w:rFonts w:cs="Arial"/>
          <w:bCs/>
          <w:color w:val="000000"/>
          <w:sz w:val="24"/>
        </w:rPr>
        <w:t xml:space="preserve">baterías (33%), filtro (21%), </w:t>
      </w:r>
      <w:proofErr w:type="spellStart"/>
      <w:r w:rsidR="00304CC5">
        <w:rPr>
          <w:rFonts w:cs="Arial"/>
          <w:bCs/>
          <w:color w:val="000000"/>
          <w:sz w:val="24"/>
        </w:rPr>
        <w:t>toner</w:t>
      </w:r>
      <w:proofErr w:type="spellEnd"/>
      <w:r w:rsidR="00304CC5">
        <w:rPr>
          <w:rFonts w:cs="Arial"/>
          <w:bCs/>
          <w:color w:val="000000"/>
          <w:sz w:val="24"/>
        </w:rPr>
        <w:t xml:space="preserve"> (1</w:t>
      </w:r>
      <w:r>
        <w:rPr>
          <w:rFonts w:cs="Arial"/>
          <w:bCs/>
          <w:color w:val="000000"/>
          <w:sz w:val="24"/>
        </w:rPr>
        <w:t xml:space="preserve">4%), </w:t>
      </w:r>
      <w:r w:rsidR="00304CC5">
        <w:rPr>
          <w:rFonts w:cs="Arial"/>
          <w:bCs/>
          <w:color w:val="000000"/>
          <w:sz w:val="24"/>
        </w:rPr>
        <w:t>pilas y bengalas (7%).</w:t>
      </w:r>
      <w:r w:rsidRPr="0034318A">
        <w:rPr>
          <w:rFonts w:cs="Arial"/>
          <w:bCs/>
          <w:color w:val="000000"/>
          <w:sz w:val="24"/>
        </w:rPr>
        <w:t xml:space="preserve"> </w:t>
      </w:r>
      <w:r w:rsidRPr="000A1A8E">
        <w:rPr>
          <w:rFonts w:cs="Arial"/>
          <w:bCs/>
          <w:color w:val="000000"/>
          <w:sz w:val="24"/>
        </w:rPr>
        <w:t>(</w:t>
      </w:r>
      <w:r w:rsidR="000A1A8E" w:rsidRPr="000A1A8E">
        <w:rPr>
          <w:rFonts w:cs="Arial"/>
          <w:bCs/>
          <w:color w:val="000000"/>
          <w:sz w:val="24"/>
        </w:rPr>
        <w:t>Figura 24</w:t>
      </w:r>
      <w:r w:rsidRPr="000A1A8E">
        <w:rPr>
          <w:rFonts w:cs="Arial"/>
          <w:bCs/>
          <w:color w:val="000000"/>
          <w:sz w:val="24"/>
        </w:rPr>
        <w:t>).</w:t>
      </w:r>
    </w:p>
    <w:p w14:paraId="31CFA455" w14:textId="77777777" w:rsidR="009C3E67" w:rsidRDefault="009C3E67" w:rsidP="004E59B1">
      <w:pPr>
        <w:pStyle w:val="Encabezado"/>
        <w:spacing w:line="276" w:lineRule="auto"/>
        <w:ind w:firstLine="709"/>
        <w:jc w:val="both"/>
        <w:rPr>
          <w:rFonts w:cs="Arial"/>
          <w:bCs/>
          <w:color w:val="000000"/>
          <w:sz w:val="24"/>
        </w:rPr>
      </w:pPr>
    </w:p>
    <w:p w14:paraId="07308EF0" w14:textId="6695E3CA" w:rsidR="009C3E67" w:rsidRDefault="009C3E67" w:rsidP="004E59B1">
      <w:pPr>
        <w:pStyle w:val="Encabezado"/>
        <w:spacing w:line="276" w:lineRule="auto"/>
        <w:ind w:firstLine="709"/>
        <w:jc w:val="both"/>
        <w:rPr>
          <w:rFonts w:cs="Arial"/>
          <w:bCs/>
          <w:color w:val="000000"/>
          <w:sz w:val="24"/>
        </w:rPr>
      </w:pPr>
      <w:r w:rsidRPr="009C3E67">
        <w:rPr>
          <w:rFonts w:cs="Arial"/>
          <w:bCs/>
          <w:noProof/>
          <w:color w:val="000000"/>
          <w:sz w:val="24"/>
          <w:lang w:val="es-CL" w:eastAsia="es-CL"/>
        </w:rPr>
        <w:drawing>
          <wp:inline distT="0" distB="0" distL="0" distR="0" wp14:anchorId="1F50BD30" wp14:editId="77769720">
            <wp:extent cx="4752975" cy="2752725"/>
            <wp:effectExtent l="0" t="0" r="9525" b="9525"/>
            <wp:docPr id="410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spect="1" noChangeArrowheads="1"/>
                    </pic:cNvPicPr>
                  </pic:nvPicPr>
                  <pic:blipFill rotWithShape="1">
                    <a:blip r:embed="rId64" cstate="print">
                      <a:extLst>
                        <a:ext uri="{28A0092B-C50C-407E-A947-70E740481C1C}">
                          <a14:useLocalDpi xmlns:a14="http://schemas.microsoft.com/office/drawing/2010/main" val="0"/>
                        </a:ext>
                      </a:extLst>
                    </a:blip>
                    <a:srcRect l="848" t="9221" r="14432" b="12405"/>
                    <a:stretch/>
                  </pic:blipFill>
                  <pic:spPr bwMode="auto">
                    <a:xfrm>
                      <a:off x="0" y="0"/>
                      <a:ext cx="4754589" cy="2753660"/>
                    </a:xfrm>
                    <a:prstGeom prst="rect">
                      <a:avLst/>
                    </a:prstGeom>
                    <a:noFill/>
                    <a:ln>
                      <a:noFill/>
                    </a:ln>
                    <a:effectLst/>
                    <a:extLst>
                      <a:ext uri="{53640926-AAD7-44D8-BBD7-CCE9431645EC}">
                        <a14:shadowObscured xmlns:a14="http://schemas.microsoft.com/office/drawing/2010/main"/>
                      </a:ext>
                    </a:extLst>
                  </pic:spPr>
                </pic:pic>
              </a:graphicData>
            </a:graphic>
          </wp:inline>
        </w:drawing>
      </w:r>
    </w:p>
    <w:p w14:paraId="6CE8448F" w14:textId="5EA231E2" w:rsidR="009C3E67" w:rsidRDefault="000A1A8E" w:rsidP="00465FDE">
      <w:pPr>
        <w:spacing w:after="0"/>
        <w:rPr>
          <w:rFonts w:cs="Arial"/>
          <w:bCs/>
          <w:color w:val="000000"/>
          <w:sz w:val="24"/>
        </w:rPr>
      </w:pPr>
      <w:r w:rsidRPr="000A1A8E">
        <w:rPr>
          <w:rFonts w:cs="Arial"/>
          <w:b/>
          <w:bCs/>
          <w:color w:val="000000"/>
          <w:sz w:val="24"/>
        </w:rPr>
        <w:t>Figura 24</w:t>
      </w:r>
      <w:r w:rsidR="00304CC5" w:rsidRPr="000A1A8E">
        <w:rPr>
          <w:rFonts w:cs="Arial"/>
          <w:b/>
          <w:bCs/>
          <w:color w:val="000000"/>
          <w:sz w:val="24"/>
        </w:rPr>
        <w:t>.</w:t>
      </w:r>
      <w:r w:rsidR="00304CC5">
        <w:rPr>
          <w:rFonts w:cs="Arial"/>
          <w:bCs/>
          <w:color w:val="000000"/>
          <w:sz w:val="24"/>
        </w:rPr>
        <w:t xml:space="preserve"> Elementos que componen los residuos peligrosos de los centros diagnosticados.</w:t>
      </w:r>
    </w:p>
    <w:p w14:paraId="259B04B5" w14:textId="77777777" w:rsidR="009C3E67" w:rsidRPr="00152EEA" w:rsidRDefault="009C3E67" w:rsidP="004E59B1">
      <w:pPr>
        <w:pStyle w:val="Encabezado"/>
        <w:spacing w:line="276" w:lineRule="auto"/>
        <w:ind w:firstLine="709"/>
        <w:jc w:val="both"/>
        <w:rPr>
          <w:rFonts w:cs="Arial"/>
          <w:bCs/>
          <w:color w:val="000000"/>
          <w:sz w:val="24"/>
        </w:rPr>
      </w:pPr>
    </w:p>
    <w:p w14:paraId="08E519B7" w14:textId="0F60A251" w:rsidR="007F4940" w:rsidRDefault="00304CC5" w:rsidP="0023575F">
      <w:pPr>
        <w:pStyle w:val="Encabezado"/>
        <w:spacing w:line="276" w:lineRule="auto"/>
        <w:jc w:val="both"/>
        <w:rPr>
          <w:rFonts w:cs="Arial"/>
          <w:bCs/>
          <w:color w:val="000000"/>
          <w:sz w:val="24"/>
        </w:rPr>
      </w:pPr>
      <w:r>
        <w:rPr>
          <w:rFonts w:cs="Arial"/>
          <w:bCs/>
          <w:color w:val="000000"/>
          <w:sz w:val="24"/>
        </w:rPr>
        <w:lastRenderedPageBreak/>
        <w:t>El destino final de los residuos peligros</w:t>
      </w:r>
      <w:r w:rsidR="007F4940">
        <w:rPr>
          <w:rFonts w:cs="Arial"/>
          <w:bCs/>
          <w:color w:val="000000"/>
          <w:sz w:val="24"/>
        </w:rPr>
        <w:t xml:space="preserve"> en el caso de las empresas MYPE, el 54% no informa, seguido del 15% que informa utilizarlos como lubricantes y acopiarlos en baldes, finalmente el 8% los combustiona y pinta estacas.</w:t>
      </w:r>
      <w:r w:rsidR="000A1A8E">
        <w:rPr>
          <w:rFonts w:cs="Arial"/>
          <w:bCs/>
          <w:color w:val="000000"/>
          <w:sz w:val="24"/>
        </w:rPr>
        <w:t xml:space="preserve"> (Figura 25).</w:t>
      </w:r>
      <w:r w:rsidR="007F4940">
        <w:rPr>
          <w:rFonts w:cs="Arial"/>
          <w:bCs/>
          <w:color w:val="000000"/>
          <w:sz w:val="24"/>
        </w:rPr>
        <w:t xml:space="preserve"> </w:t>
      </w:r>
      <w:r w:rsidR="00465FDE">
        <w:rPr>
          <w:rFonts w:cs="Arial"/>
          <w:bCs/>
          <w:color w:val="000000"/>
          <w:sz w:val="24"/>
        </w:rPr>
        <w:t>Cabe s</w:t>
      </w:r>
      <w:r w:rsidR="007F4940">
        <w:rPr>
          <w:rFonts w:cs="Arial"/>
          <w:bCs/>
          <w:color w:val="000000"/>
          <w:sz w:val="24"/>
        </w:rPr>
        <w:t xml:space="preserve">eñalar que volúmenes de residuos peligrosos generados por </w:t>
      </w:r>
      <w:r w:rsidR="00AF3BCA">
        <w:rPr>
          <w:rFonts w:cs="Arial"/>
          <w:bCs/>
          <w:color w:val="000000"/>
          <w:sz w:val="24"/>
        </w:rPr>
        <w:t xml:space="preserve">los centros de cultivo </w:t>
      </w:r>
      <w:r w:rsidR="007F4940">
        <w:rPr>
          <w:rFonts w:cs="Arial"/>
          <w:bCs/>
          <w:color w:val="000000"/>
          <w:sz w:val="24"/>
        </w:rPr>
        <w:t>MYPE son menores e</w:t>
      </w:r>
      <w:r w:rsidR="00465FDE">
        <w:rPr>
          <w:rFonts w:cs="Arial"/>
          <w:bCs/>
          <w:color w:val="000000"/>
          <w:sz w:val="24"/>
        </w:rPr>
        <w:t>n</w:t>
      </w:r>
      <w:r w:rsidR="007F4940">
        <w:rPr>
          <w:rFonts w:cs="Arial"/>
          <w:bCs/>
          <w:color w:val="000000"/>
          <w:sz w:val="24"/>
        </w:rPr>
        <w:t xml:space="preserve"> comparaci</w:t>
      </w:r>
      <w:r w:rsidR="00465FDE">
        <w:rPr>
          <w:rFonts w:cs="Arial"/>
          <w:bCs/>
          <w:color w:val="000000"/>
          <w:sz w:val="24"/>
        </w:rPr>
        <w:t xml:space="preserve">ón a los </w:t>
      </w:r>
      <w:r w:rsidR="00AF3BCA">
        <w:rPr>
          <w:rFonts w:cs="Arial"/>
          <w:bCs/>
          <w:color w:val="000000"/>
          <w:sz w:val="24"/>
        </w:rPr>
        <w:t xml:space="preserve">generados por los </w:t>
      </w:r>
      <w:r w:rsidR="00465FDE">
        <w:rPr>
          <w:rFonts w:cs="Arial"/>
          <w:bCs/>
          <w:color w:val="000000"/>
          <w:sz w:val="24"/>
        </w:rPr>
        <w:t>centros Grande</w:t>
      </w:r>
      <w:r w:rsidR="00AF3BCA">
        <w:rPr>
          <w:rFonts w:cs="Arial"/>
          <w:bCs/>
          <w:color w:val="000000"/>
          <w:sz w:val="24"/>
        </w:rPr>
        <w:t>,</w:t>
      </w:r>
      <w:r w:rsidR="00465FDE">
        <w:rPr>
          <w:rFonts w:cs="Arial"/>
          <w:bCs/>
          <w:color w:val="000000"/>
          <w:sz w:val="24"/>
        </w:rPr>
        <w:t xml:space="preserve"> como se indicó anteriormente.</w:t>
      </w:r>
    </w:p>
    <w:p w14:paraId="369D64F2" w14:textId="58183B53" w:rsidR="001A4E98" w:rsidRPr="00152EEA" w:rsidRDefault="007F4940" w:rsidP="00404256">
      <w:pPr>
        <w:pStyle w:val="Encabezado"/>
        <w:jc w:val="both"/>
        <w:rPr>
          <w:rFonts w:cs="Arial"/>
          <w:bCs/>
          <w:color w:val="000000"/>
          <w:sz w:val="24"/>
        </w:rPr>
      </w:pPr>
      <w:r>
        <w:rPr>
          <w:rFonts w:cs="Arial"/>
          <w:bCs/>
          <w:color w:val="000000"/>
          <w:sz w:val="24"/>
        </w:rPr>
        <w:t xml:space="preserve">. </w:t>
      </w:r>
    </w:p>
    <w:p w14:paraId="0EBE2774" w14:textId="77777777" w:rsidR="00F32652" w:rsidRDefault="00F32652" w:rsidP="007F4940">
      <w:pPr>
        <w:spacing w:after="0"/>
      </w:pPr>
      <w:r>
        <w:rPr>
          <w:noProof/>
          <w:lang w:val="es-CL" w:eastAsia="es-CL"/>
        </w:rPr>
        <w:drawing>
          <wp:inline distT="0" distB="0" distL="0" distR="0" wp14:anchorId="2FFC4EDB" wp14:editId="7D69E67F">
            <wp:extent cx="4762500" cy="2800350"/>
            <wp:effectExtent l="0" t="0" r="0" b="0"/>
            <wp:docPr id="4103" name="Chart 2">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94549CF-FE2B-468D-A543-23D237E504A2}"/>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 name="Chart 2">
                      <a:extLst>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94549CF-FE2B-468D-A543-23D237E504A2}"/>
                        </a:ext>
                      </a:extLst>
                    </pic:cNvPr>
                    <pic:cNvPicPr>
                      <a:picLocks noGrp="1" noRot="1" noChangeAspect="1" noMove="1" noResize="1" noEditPoints="1" noAdjustHandles="1" noChangeArrowheads="1" noChangeShapeType="1"/>
                    </pic:cNvPicPr>
                  </pic:nvPicPr>
                  <pic:blipFill>
                    <a:blip r:embed="rId65"/>
                    <a:stretch>
                      <a:fillRect/>
                    </a:stretch>
                  </pic:blipFill>
                  <pic:spPr>
                    <a:xfrm>
                      <a:off x="0" y="0"/>
                      <a:ext cx="4762500" cy="2800350"/>
                    </a:xfrm>
                    <a:prstGeom prst="rect">
                      <a:avLst/>
                    </a:prstGeom>
                  </pic:spPr>
                </pic:pic>
              </a:graphicData>
            </a:graphic>
          </wp:inline>
        </w:drawing>
      </w:r>
    </w:p>
    <w:p w14:paraId="491B2AF1" w14:textId="64BC7784" w:rsidR="007F4940" w:rsidRDefault="000A1A8E" w:rsidP="007F4940">
      <w:pPr>
        <w:spacing w:after="0"/>
        <w:rPr>
          <w:rFonts w:cs="Arial"/>
          <w:bCs/>
          <w:color w:val="000000"/>
          <w:sz w:val="24"/>
        </w:rPr>
      </w:pPr>
      <w:r>
        <w:rPr>
          <w:rFonts w:cs="Arial"/>
          <w:b/>
          <w:bCs/>
          <w:color w:val="000000"/>
          <w:sz w:val="24"/>
        </w:rPr>
        <w:t>Figura 25</w:t>
      </w:r>
      <w:r w:rsidR="007F4940" w:rsidRPr="000A1A8E">
        <w:rPr>
          <w:rFonts w:cs="Arial"/>
          <w:b/>
          <w:bCs/>
          <w:color w:val="000000"/>
          <w:sz w:val="24"/>
        </w:rPr>
        <w:t>.</w:t>
      </w:r>
      <w:r w:rsidR="007F4940">
        <w:rPr>
          <w:rFonts w:cs="Arial"/>
          <w:bCs/>
          <w:color w:val="000000"/>
          <w:sz w:val="24"/>
        </w:rPr>
        <w:t xml:space="preserve"> </w:t>
      </w:r>
      <w:r w:rsidR="00DF3A35">
        <w:rPr>
          <w:rFonts w:cs="Arial"/>
          <w:bCs/>
          <w:color w:val="000000"/>
          <w:sz w:val="24"/>
        </w:rPr>
        <w:t xml:space="preserve">Destino final de residuos peligrosos </w:t>
      </w:r>
      <w:r w:rsidR="007F4940">
        <w:rPr>
          <w:rFonts w:cs="Arial"/>
          <w:bCs/>
          <w:color w:val="000000"/>
          <w:sz w:val="24"/>
        </w:rPr>
        <w:t xml:space="preserve">de los centros </w:t>
      </w:r>
      <w:r w:rsidR="00DF3A35">
        <w:rPr>
          <w:rFonts w:cs="Arial"/>
          <w:bCs/>
          <w:color w:val="000000"/>
          <w:sz w:val="24"/>
        </w:rPr>
        <w:t>MYPE (%).</w:t>
      </w:r>
    </w:p>
    <w:p w14:paraId="1ED11530" w14:textId="77777777" w:rsidR="00AF3BCA" w:rsidRDefault="00AF3BCA" w:rsidP="001A4E98">
      <w:pPr>
        <w:pStyle w:val="Encabezado"/>
        <w:jc w:val="both"/>
        <w:rPr>
          <w:rFonts w:cs="Arial"/>
          <w:bCs/>
          <w:color w:val="000000"/>
          <w:sz w:val="24"/>
        </w:rPr>
      </w:pPr>
    </w:p>
    <w:p w14:paraId="5626841D" w14:textId="77777777" w:rsidR="00AF3BCA" w:rsidRDefault="00AF3BCA" w:rsidP="001A4E98">
      <w:pPr>
        <w:pStyle w:val="Encabezado"/>
        <w:jc w:val="both"/>
        <w:rPr>
          <w:rFonts w:cs="Arial"/>
          <w:bCs/>
          <w:color w:val="000000"/>
          <w:sz w:val="24"/>
        </w:rPr>
      </w:pPr>
    </w:p>
    <w:p w14:paraId="074ED150" w14:textId="4E8921FF" w:rsidR="0044205B" w:rsidRDefault="00F32367" w:rsidP="0023575F">
      <w:pPr>
        <w:pStyle w:val="Encabezado"/>
        <w:spacing w:line="276" w:lineRule="auto"/>
        <w:jc w:val="both"/>
        <w:rPr>
          <w:rFonts w:cs="Arial"/>
          <w:bCs/>
          <w:color w:val="000000"/>
          <w:sz w:val="24"/>
        </w:rPr>
      </w:pPr>
      <w:r>
        <w:rPr>
          <w:rFonts w:cs="Arial"/>
          <w:bCs/>
          <w:color w:val="000000"/>
          <w:sz w:val="24"/>
        </w:rPr>
        <w:t xml:space="preserve">Al consultar a las empresas </w:t>
      </w:r>
      <w:r w:rsidR="0044205B">
        <w:rPr>
          <w:rFonts w:cs="Arial"/>
          <w:bCs/>
          <w:color w:val="000000"/>
          <w:sz w:val="24"/>
        </w:rPr>
        <w:t xml:space="preserve">de categoría </w:t>
      </w:r>
      <w:r>
        <w:rPr>
          <w:rFonts w:cs="Arial"/>
          <w:bCs/>
          <w:color w:val="000000"/>
          <w:sz w:val="24"/>
        </w:rPr>
        <w:t>Grande por el destino final de sus residuos peligrosos, el mayor porcentaje al igual que las emp</w:t>
      </w:r>
      <w:r w:rsidR="0044205B">
        <w:rPr>
          <w:rFonts w:cs="Arial"/>
          <w:bCs/>
          <w:color w:val="000000"/>
          <w:sz w:val="24"/>
        </w:rPr>
        <w:t>resas MYPE, no informa (27%). Los que informan</w:t>
      </w:r>
      <w:r>
        <w:rPr>
          <w:rFonts w:cs="Arial"/>
          <w:bCs/>
          <w:color w:val="000000"/>
          <w:sz w:val="24"/>
        </w:rPr>
        <w:t>, señala</w:t>
      </w:r>
      <w:r w:rsidR="0044205B">
        <w:rPr>
          <w:rFonts w:cs="Arial"/>
          <w:bCs/>
          <w:color w:val="000000"/>
          <w:sz w:val="24"/>
        </w:rPr>
        <w:t>n</w:t>
      </w:r>
      <w:r>
        <w:rPr>
          <w:rFonts w:cs="Arial"/>
          <w:bCs/>
          <w:color w:val="000000"/>
          <w:sz w:val="24"/>
        </w:rPr>
        <w:t xml:space="preserve"> </w:t>
      </w:r>
      <w:r w:rsidR="0044205B">
        <w:rPr>
          <w:rFonts w:cs="Arial"/>
          <w:bCs/>
          <w:color w:val="000000"/>
          <w:sz w:val="24"/>
        </w:rPr>
        <w:t xml:space="preserve">hacerlo en </w:t>
      </w:r>
      <w:proofErr w:type="spellStart"/>
      <w:r w:rsidR="0044205B">
        <w:rPr>
          <w:rFonts w:cs="Arial"/>
          <w:bCs/>
          <w:color w:val="000000"/>
          <w:sz w:val="24"/>
        </w:rPr>
        <w:t>Hidronor</w:t>
      </w:r>
      <w:proofErr w:type="spellEnd"/>
      <w:r w:rsidR="0044205B">
        <w:rPr>
          <w:rFonts w:cs="Arial"/>
          <w:bCs/>
          <w:color w:val="000000"/>
          <w:sz w:val="24"/>
        </w:rPr>
        <w:t xml:space="preserve"> Chile S.A.(18%), seguido del 9% de empresas de servicios de transporte como </w:t>
      </w:r>
      <w:r w:rsidR="0044205B" w:rsidRPr="006978F1">
        <w:rPr>
          <w:rFonts w:cs="Arial"/>
          <w:bCs/>
          <w:color w:val="000000"/>
          <w:sz w:val="24"/>
        </w:rPr>
        <w:t xml:space="preserve">Vía Limpia  </w:t>
      </w:r>
      <w:proofErr w:type="spellStart"/>
      <w:r w:rsidR="0044205B" w:rsidRPr="006978F1">
        <w:rPr>
          <w:rFonts w:cs="Arial"/>
          <w:bCs/>
          <w:color w:val="000000"/>
          <w:sz w:val="24"/>
        </w:rPr>
        <w:t>SpA</w:t>
      </w:r>
      <w:proofErr w:type="spellEnd"/>
      <w:r w:rsidR="0044205B" w:rsidRPr="006978F1">
        <w:rPr>
          <w:rFonts w:cs="Arial"/>
          <w:bCs/>
          <w:color w:val="000000"/>
          <w:sz w:val="24"/>
        </w:rPr>
        <w:t xml:space="preserve"> y </w:t>
      </w:r>
      <w:proofErr w:type="spellStart"/>
      <w:r w:rsidR="0044205B" w:rsidRPr="006978F1">
        <w:rPr>
          <w:rFonts w:cs="Arial"/>
          <w:bCs/>
          <w:color w:val="000000"/>
          <w:sz w:val="24"/>
        </w:rPr>
        <w:t>Resoil</w:t>
      </w:r>
      <w:proofErr w:type="spellEnd"/>
      <w:r w:rsidR="0044205B" w:rsidRPr="006978F1">
        <w:rPr>
          <w:rFonts w:cs="Arial"/>
          <w:bCs/>
          <w:color w:val="000000"/>
          <w:sz w:val="24"/>
        </w:rPr>
        <w:t xml:space="preserve"> Chile </w:t>
      </w:r>
      <w:proofErr w:type="spellStart"/>
      <w:r w:rsidR="0044205B" w:rsidRPr="006978F1">
        <w:rPr>
          <w:rFonts w:cs="Arial"/>
          <w:bCs/>
          <w:color w:val="000000"/>
          <w:sz w:val="24"/>
        </w:rPr>
        <w:t>Ltda</w:t>
      </w:r>
      <w:proofErr w:type="spellEnd"/>
      <w:r w:rsidR="0044205B" w:rsidRPr="006978F1">
        <w:rPr>
          <w:rFonts w:cs="Arial"/>
          <w:bCs/>
          <w:color w:val="000000"/>
          <w:sz w:val="24"/>
        </w:rPr>
        <w:t xml:space="preserve"> y</w:t>
      </w:r>
      <w:r w:rsidR="0044205B">
        <w:rPr>
          <w:rFonts w:cs="Arial"/>
          <w:bCs/>
          <w:color w:val="000000"/>
          <w:sz w:val="24"/>
        </w:rPr>
        <w:t xml:space="preserve"> STU Gestión sustentable, empresa de transporte y destino final de </w:t>
      </w:r>
      <w:r w:rsidR="0044205B" w:rsidRPr="000A1A8E">
        <w:rPr>
          <w:rFonts w:cs="Arial"/>
          <w:bCs/>
          <w:color w:val="000000"/>
          <w:sz w:val="24"/>
        </w:rPr>
        <w:t xml:space="preserve">residuos peligrosos, Copec, </w:t>
      </w:r>
      <w:proofErr w:type="spellStart"/>
      <w:r w:rsidR="0044205B" w:rsidRPr="000A1A8E">
        <w:rPr>
          <w:rFonts w:cs="Arial"/>
          <w:bCs/>
          <w:color w:val="000000"/>
          <w:sz w:val="24"/>
        </w:rPr>
        <w:t>Ecobio</w:t>
      </w:r>
      <w:proofErr w:type="spellEnd"/>
      <w:r w:rsidR="0044205B" w:rsidRPr="000A1A8E">
        <w:rPr>
          <w:rFonts w:cs="Arial"/>
          <w:bCs/>
          <w:color w:val="000000"/>
          <w:sz w:val="24"/>
        </w:rPr>
        <w:t xml:space="preserve"> y empresa ambiente del Sur. </w:t>
      </w:r>
      <w:r w:rsidR="000A1A8E" w:rsidRPr="000A1A8E">
        <w:rPr>
          <w:rFonts w:cs="Arial"/>
          <w:bCs/>
          <w:color w:val="000000"/>
          <w:sz w:val="24"/>
        </w:rPr>
        <w:t>(Figura 26</w:t>
      </w:r>
      <w:r w:rsidR="0044205B" w:rsidRPr="000A1A8E">
        <w:rPr>
          <w:rFonts w:cs="Arial"/>
          <w:bCs/>
          <w:color w:val="000000"/>
          <w:sz w:val="24"/>
        </w:rPr>
        <w:t>)</w:t>
      </w:r>
      <w:r w:rsidR="00083CB1" w:rsidRPr="000A1A8E">
        <w:rPr>
          <w:rFonts w:cs="Arial"/>
          <w:bCs/>
          <w:color w:val="000000"/>
          <w:sz w:val="24"/>
        </w:rPr>
        <w:t>. Destacar</w:t>
      </w:r>
      <w:r w:rsidR="00083CB1">
        <w:rPr>
          <w:rFonts w:cs="Arial"/>
          <w:bCs/>
          <w:color w:val="000000"/>
          <w:sz w:val="24"/>
        </w:rPr>
        <w:t xml:space="preserve"> que las empresas de categoría Grande, utilizan servicios externos autorizados para el retiro y destino final de los residuos peligrosos, los cuales hacen entrega de un certificado de disposición final.</w:t>
      </w:r>
    </w:p>
    <w:p w14:paraId="75C098AB" w14:textId="77777777" w:rsidR="0044205B" w:rsidRDefault="0044205B" w:rsidP="001A4E98">
      <w:pPr>
        <w:pStyle w:val="Encabezado"/>
        <w:jc w:val="both"/>
        <w:rPr>
          <w:rFonts w:cs="Arial"/>
          <w:bCs/>
          <w:color w:val="000000"/>
          <w:sz w:val="24"/>
        </w:rPr>
      </w:pPr>
    </w:p>
    <w:p w14:paraId="78ADBCB6" w14:textId="77777777" w:rsidR="0044205B" w:rsidRDefault="0044205B" w:rsidP="001A4E98">
      <w:pPr>
        <w:pStyle w:val="Encabezado"/>
        <w:jc w:val="both"/>
        <w:rPr>
          <w:rFonts w:cs="Arial"/>
          <w:bCs/>
          <w:color w:val="000000"/>
          <w:sz w:val="24"/>
        </w:rPr>
      </w:pPr>
    </w:p>
    <w:p w14:paraId="0FED863A" w14:textId="77777777" w:rsidR="00AF3BCA" w:rsidRDefault="00F32652" w:rsidP="00AF3BCA">
      <w:pPr>
        <w:spacing w:after="0"/>
        <w:rPr>
          <w:rFonts w:cs="Arial"/>
          <w:b/>
          <w:bCs/>
          <w:color w:val="000000"/>
          <w:sz w:val="24"/>
        </w:rPr>
      </w:pPr>
      <w:r>
        <w:rPr>
          <w:noProof/>
          <w:lang w:val="es-CL" w:eastAsia="es-CL"/>
        </w:rPr>
        <w:drawing>
          <wp:inline distT="0" distB="0" distL="0" distR="0" wp14:anchorId="6628344E" wp14:editId="2F6B81BC">
            <wp:extent cx="4772025" cy="2800350"/>
            <wp:effectExtent l="0" t="0" r="9525" b="0"/>
            <wp:docPr id="4104" name="Chart 4">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85C673F-68CA-457B-8D80-2951C45346A4}"/>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4" name="Chart 4">
                      <a:extLst>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85C673F-68CA-457B-8D80-2951C45346A4}"/>
                        </a:ext>
                      </a:extLst>
                    </pic:cNvPr>
                    <pic:cNvPicPr>
                      <a:picLocks noGrp="1" noRot="1" noChangeAspect="1" noMove="1" noResize="1" noEditPoints="1" noAdjustHandles="1" noChangeArrowheads="1" noChangeShapeType="1"/>
                    </pic:cNvPicPr>
                  </pic:nvPicPr>
                  <pic:blipFill>
                    <a:blip r:embed="rId66"/>
                    <a:stretch>
                      <a:fillRect/>
                    </a:stretch>
                  </pic:blipFill>
                  <pic:spPr>
                    <a:xfrm>
                      <a:off x="0" y="0"/>
                      <a:ext cx="4772025" cy="2800350"/>
                    </a:xfrm>
                    <a:prstGeom prst="rect">
                      <a:avLst/>
                    </a:prstGeom>
                  </pic:spPr>
                </pic:pic>
              </a:graphicData>
            </a:graphic>
          </wp:inline>
        </w:drawing>
      </w:r>
    </w:p>
    <w:p w14:paraId="76033101" w14:textId="54832311" w:rsidR="0023575F" w:rsidRDefault="000A1A8E" w:rsidP="0023575F">
      <w:pPr>
        <w:spacing w:after="0"/>
        <w:rPr>
          <w:rFonts w:cs="Arial"/>
          <w:bCs/>
          <w:color w:val="000000"/>
          <w:sz w:val="24"/>
        </w:rPr>
      </w:pPr>
      <w:r w:rsidRPr="000A1A8E">
        <w:rPr>
          <w:rFonts w:cs="Arial"/>
          <w:b/>
          <w:bCs/>
          <w:color w:val="000000"/>
          <w:sz w:val="24"/>
        </w:rPr>
        <w:t>Figura 26</w:t>
      </w:r>
      <w:r w:rsidR="00DF3A35" w:rsidRPr="000A1A8E">
        <w:rPr>
          <w:rFonts w:cs="Arial"/>
          <w:b/>
          <w:bCs/>
          <w:color w:val="000000"/>
          <w:sz w:val="24"/>
        </w:rPr>
        <w:t>.</w:t>
      </w:r>
      <w:r w:rsidR="00DF3A35">
        <w:rPr>
          <w:rFonts w:cs="Arial"/>
          <w:bCs/>
          <w:color w:val="000000"/>
          <w:sz w:val="24"/>
        </w:rPr>
        <w:t xml:space="preserve"> Destino final de residuos peligrosos de los centros Grande (%).</w:t>
      </w:r>
    </w:p>
    <w:p w14:paraId="5B6E0043" w14:textId="737BF00B" w:rsidR="00082B2B" w:rsidRDefault="00082B2B" w:rsidP="0023575F">
      <w:pPr>
        <w:spacing w:after="0"/>
        <w:rPr>
          <w:rFonts w:cs="Arial"/>
          <w:bCs/>
          <w:color w:val="000000"/>
          <w:sz w:val="24"/>
        </w:rPr>
      </w:pPr>
      <w:r>
        <w:rPr>
          <w:rFonts w:cs="Arial"/>
          <w:bCs/>
          <w:color w:val="000000"/>
          <w:sz w:val="24"/>
        </w:rPr>
        <w:t xml:space="preserve"> </w:t>
      </w:r>
    </w:p>
    <w:p w14:paraId="50EBCC6E" w14:textId="77777777" w:rsidR="00C50A17" w:rsidRDefault="00C50A17" w:rsidP="00B34693">
      <w:pPr>
        <w:pStyle w:val="Encabezado"/>
        <w:jc w:val="both"/>
        <w:rPr>
          <w:lang w:val="es-CL" w:eastAsia="es-CL"/>
        </w:rPr>
      </w:pPr>
    </w:p>
    <w:p w14:paraId="010E6BBC" w14:textId="77777777" w:rsidR="00C50A17" w:rsidRDefault="00C50A17" w:rsidP="00B34693">
      <w:pPr>
        <w:pStyle w:val="Encabezado"/>
        <w:jc w:val="both"/>
        <w:rPr>
          <w:lang w:val="es-CL" w:eastAsia="es-CL"/>
        </w:rPr>
      </w:pPr>
    </w:p>
    <w:p w14:paraId="4F450B7B" w14:textId="1FD63B91" w:rsidR="00A261F2" w:rsidRPr="004B184E" w:rsidRDefault="00E82B11" w:rsidP="00E31A3F">
      <w:pPr>
        <w:pStyle w:val="Ttulo2"/>
        <w:rPr>
          <w:b w:val="0"/>
          <w:sz w:val="32"/>
          <w:szCs w:val="32"/>
          <w:lang w:eastAsia="es-CL"/>
        </w:rPr>
      </w:pPr>
      <w:bookmarkStart w:id="20" w:name="_Toc471999126"/>
      <w:r w:rsidRPr="004B184E">
        <w:rPr>
          <w:b w:val="0"/>
          <w:sz w:val="32"/>
          <w:szCs w:val="32"/>
          <w:lang w:eastAsia="es-CL"/>
        </w:rPr>
        <w:t>U</w:t>
      </w:r>
      <w:r w:rsidR="00A261F2" w:rsidRPr="004B184E">
        <w:rPr>
          <w:b w:val="0"/>
          <w:sz w:val="32"/>
          <w:szCs w:val="32"/>
          <w:lang w:eastAsia="es-CL"/>
        </w:rPr>
        <w:t>so de energía y eficiencia energética</w:t>
      </w:r>
      <w:bookmarkEnd w:id="20"/>
    </w:p>
    <w:p w14:paraId="70144680" w14:textId="77777777" w:rsidR="00685F07" w:rsidRDefault="00685F07" w:rsidP="00B34693">
      <w:pPr>
        <w:pStyle w:val="Encabezado"/>
        <w:jc w:val="both"/>
        <w:rPr>
          <w:sz w:val="24"/>
          <w:szCs w:val="24"/>
          <w:lang w:val="es-CL" w:eastAsia="es-CL"/>
        </w:rPr>
      </w:pPr>
    </w:p>
    <w:p w14:paraId="5E2F49D2" w14:textId="77777777" w:rsidR="00322592" w:rsidRDefault="00685F07" w:rsidP="00F629B4">
      <w:pPr>
        <w:pStyle w:val="Encabezado"/>
        <w:numPr>
          <w:ilvl w:val="0"/>
          <w:numId w:val="20"/>
        </w:numPr>
        <w:tabs>
          <w:tab w:val="clear" w:pos="4252"/>
          <w:tab w:val="center" w:pos="567"/>
        </w:tabs>
        <w:spacing w:line="276" w:lineRule="auto"/>
        <w:ind w:left="0" w:firstLine="360"/>
        <w:jc w:val="both"/>
        <w:rPr>
          <w:rFonts w:cs="Arial"/>
          <w:bCs/>
          <w:color w:val="000000"/>
          <w:sz w:val="24"/>
        </w:rPr>
      </w:pPr>
      <w:r w:rsidRPr="00685F07">
        <w:rPr>
          <w:i/>
          <w:sz w:val="24"/>
          <w:szCs w:val="24"/>
          <w:u w:val="single"/>
          <w:lang w:val="es-CL" w:eastAsia="es-CL"/>
        </w:rPr>
        <w:t>Uso de energía</w:t>
      </w:r>
      <w:r>
        <w:rPr>
          <w:i/>
          <w:sz w:val="24"/>
          <w:szCs w:val="24"/>
          <w:u w:val="single"/>
          <w:lang w:val="es-CL" w:eastAsia="es-CL"/>
        </w:rPr>
        <w:t>:</w:t>
      </w:r>
      <w:r w:rsidRPr="00685F07">
        <w:rPr>
          <w:sz w:val="24"/>
          <w:szCs w:val="24"/>
          <w:lang w:val="es-CL" w:eastAsia="es-CL"/>
        </w:rPr>
        <w:t xml:space="preserve"> </w:t>
      </w:r>
      <w:r>
        <w:rPr>
          <w:rFonts w:cs="Arial"/>
          <w:bCs/>
          <w:color w:val="000000"/>
          <w:sz w:val="24"/>
        </w:rPr>
        <w:t>l</w:t>
      </w:r>
      <w:r w:rsidR="00AF79CB" w:rsidRPr="00AF79CB">
        <w:rPr>
          <w:rFonts w:cs="Arial"/>
          <w:bCs/>
          <w:color w:val="000000"/>
          <w:sz w:val="24"/>
        </w:rPr>
        <w:t>a energía se define como la capacidad</w:t>
      </w:r>
      <w:r w:rsidR="00AF79CB" w:rsidRPr="00AF79CB">
        <w:t xml:space="preserve"> </w:t>
      </w:r>
      <w:r w:rsidR="00AF79CB" w:rsidRPr="00AF79CB">
        <w:rPr>
          <w:rFonts w:cs="Arial"/>
          <w:bCs/>
          <w:color w:val="000000"/>
          <w:sz w:val="24"/>
        </w:rPr>
        <w:t>que tiene la materia de producir trabajo en f</w:t>
      </w:r>
      <w:r w:rsidR="00322592">
        <w:rPr>
          <w:rFonts w:cs="Arial"/>
          <w:bCs/>
          <w:color w:val="000000"/>
          <w:sz w:val="24"/>
        </w:rPr>
        <w:t>orma de movimiento, luz, calor,</w:t>
      </w:r>
      <w:r w:rsidR="00AF79CB">
        <w:rPr>
          <w:rFonts w:cs="Arial"/>
          <w:bCs/>
          <w:color w:val="000000"/>
          <w:sz w:val="24"/>
        </w:rPr>
        <w:t xml:space="preserve"> es decir la capacidad de </w:t>
      </w:r>
      <w:r w:rsidR="00AF79CB" w:rsidRPr="00AF79CB">
        <w:rPr>
          <w:rFonts w:cs="Arial"/>
          <w:bCs/>
          <w:color w:val="000000"/>
          <w:sz w:val="24"/>
        </w:rPr>
        <w:t xml:space="preserve">poner en movimiento una máquina. </w:t>
      </w:r>
    </w:p>
    <w:p w14:paraId="10A631EB" w14:textId="3C1D01FA" w:rsidR="00F87FD9" w:rsidRDefault="00322592" w:rsidP="00F629B4">
      <w:pPr>
        <w:pStyle w:val="Encabezado"/>
        <w:tabs>
          <w:tab w:val="clear" w:pos="4252"/>
          <w:tab w:val="center" w:pos="0"/>
          <w:tab w:val="left" w:pos="567"/>
        </w:tabs>
        <w:spacing w:line="276" w:lineRule="auto"/>
        <w:ind w:firstLine="360"/>
        <w:jc w:val="both"/>
        <w:rPr>
          <w:rFonts w:cs="Arial"/>
          <w:bCs/>
          <w:color w:val="000000"/>
          <w:sz w:val="24"/>
        </w:rPr>
      </w:pPr>
      <w:r w:rsidRPr="00152EEA">
        <w:rPr>
          <w:rFonts w:cs="Arial"/>
          <w:bCs/>
          <w:color w:val="000000"/>
          <w:sz w:val="24"/>
        </w:rPr>
        <w:t xml:space="preserve">El análisis </w:t>
      </w:r>
      <w:r w:rsidR="00AF79CB" w:rsidRPr="00152EEA">
        <w:rPr>
          <w:rFonts w:cs="Arial"/>
          <w:bCs/>
          <w:color w:val="000000"/>
          <w:sz w:val="24"/>
        </w:rPr>
        <w:t>de</w:t>
      </w:r>
      <w:r w:rsidR="004633B8">
        <w:rPr>
          <w:rFonts w:cs="Arial"/>
          <w:bCs/>
          <w:color w:val="000000"/>
          <w:sz w:val="24"/>
        </w:rPr>
        <w:t xml:space="preserve"> energía necesaria por tonelada de </w:t>
      </w:r>
      <w:r w:rsidR="00C61F40">
        <w:rPr>
          <w:rFonts w:cs="Arial"/>
          <w:bCs/>
          <w:color w:val="000000"/>
          <w:sz w:val="24"/>
        </w:rPr>
        <w:t>Materia Prima</w:t>
      </w:r>
      <w:r w:rsidR="00F87FD9">
        <w:rPr>
          <w:rFonts w:cs="Arial"/>
          <w:bCs/>
          <w:color w:val="000000"/>
          <w:sz w:val="24"/>
        </w:rPr>
        <w:t xml:space="preserve"> en centros de cultivo MYPE</w:t>
      </w:r>
      <w:r w:rsidR="007673AF">
        <w:rPr>
          <w:rFonts w:cs="Arial"/>
          <w:bCs/>
          <w:color w:val="000000"/>
          <w:sz w:val="24"/>
        </w:rPr>
        <w:t>,</w:t>
      </w:r>
      <w:r w:rsidR="00AF79CB" w:rsidRPr="00152EEA">
        <w:rPr>
          <w:rFonts w:cs="Arial"/>
          <w:bCs/>
          <w:color w:val="000000"/>
          <w:sz w:val="24"/>
        </w:rPr>
        <w:t xml:space="preserve"> </w:t>
      </w:r>
      <w:r w:rsidRPr="00152EEA">
        <w:rPr>
          <w:rFonts w:cs="Arial"/>
          <w:bCs/>
          <w:color w:val="000000"/>
          <w:sz w:val="24"/>
        </w:rPr>
        <w:t>evide</w:t>
      </w:r>
      <w:r w:rsidR="004633B8">
        <w:rPr>
          <w:rFonts w:cs="Arial"/>
          <w:bCs/>
          <w:color w:val="000000"/>
          <w:sz w:val="24"/>
        </w:rPr>
        <w:t xml:space="preserve">ncia que </w:t>
      </w:r>
      <w:r w:rsidR="00F87FD9">
        <w:rPr>
          <w:rFonts w:cs="Arial"/>
          <w:bCs/>
          <w:color w:val="000000"/>
          <w:sz w:val="24"/>
        </w:rPr>
        <w:t xml:space="preserve">la electricidad </w:t>
      </w:r>
      <w:r w:rsidR="004633B8">
        <w:rPr>
          <w:rFonts w:cs="Arial"/>
          <w:bCs/>
          <w:color w:val="000000"/>
          <w:sz w:val="24"/>
        </w:rPr>
        <w:t>utiliza</w:t>
      </w:r>
      <w:r w:rsidR="007673AF">
        <w:rPr>
          <w:rFonts w:cs="Arial"/>
          <w:bCs/>
          <w:color w:val="000000"/>
          <w:sz w:val="24"/>
        </w:rPr>
        <w:t>da</w:t>
      </w:r>
      <w:r w:rsidRPr="00152EEA">
        <w:rPr>
          <w:rFonts w:cs="Arial"/>
          <w:bCs/>
          <w:color w:val="000000"/>
          <w:sz w:val="24"/>
        </w:rPr>
        <w:t xml:space="preserve"> </w:t>
      </w:r>
      <w:r w:rsidR="007673AF">
        <w:rPr>
          <w:rFonts w:cs="Arial"/>
          <w:bCs/>
          <w:color w:val="000000"/>
          <w:sz w:val="24"/>
        </w:rPr>
        <w:t xml:space="preserve">es </w:t>
      </w:r>
      <w:r w:rsidR="00F87FD9">
        <w:rPr>
          <w:rFonts w:cs="Arial"/>
          <w:bCs/>
          <w:color w:val="000000"/>
          <w:sz w:val="24"/>
        </w:rPr>
        <w:t xml:space="preserve">3,2 </w:t>
      </w:r>
      <w:r w:rsidR="004C1AFB" w:rsidRPr="00152EEA">
        <w:rPr>
          <w:rFonts w:cs="Arial"/>
          <w:bCs/>
          <w:color w:val="000000"/>
          <w:sz w:val="24"/>
        </w:rPr>
        <w:t>(MJ/Ton)</w:t>
      </w:r>
      <w:r w:rsidRPr="00152EEA">
        <w:rPr>
          <w:rFonts w:cs="Arial"/>
          <w:bCs/>
          <w:color w:val="000000"/>
          <w:sz w:val="24"/>
        </w:rPr>
        <w:t xml:space="preserve">, </w:t>
      </w:r>
      <w:r w:rsidR="008456EB" w:rsidRPr="00152EEA">
        <w:rPr>
          <w:rFonts w:cs="Arial"/>
          <w:bCs/>
          <w:color w:val="000000"/>
          <w:sz w:val="24"/>
        </w:rPr>
        <w:t xml:space="preserve">seguido de </w:t>
      </w:r>
      <w:r w:rsidR="00F87FD9">
        <w:rPr>
          <w:rFonts w:cs="Arial"/>
          <w:bCs/>
          <w:color w:val="000000"/>
          <w:sz w:val="24"/>
        </w:rPr>
        <w:t>3,9</w:t>
      </w:r>
      <w:r w:rsidR="004C1AFB" w:rsidRPr="00152EEA">
        <w:rPr>
          <w:rFonts w:cs="Arial"/>
          <w:bCs/>
          <w:color w:val="000000"/>
          <w:sz w:val="24"/>
        </w:rPr>
        <w:t xml:space="preserve"> (MJ/Ton) de electricidad </w:t>
      </w:r>
      <w:r w:rsidR="008456EB" w:rsidRPr="00152EEA">
        <w:rPr>
          <w:rFonts w:cs="Arial"/>
          <w:bCs/>
          <w:color w:val="000000"/>
          <w:sz w:val="24"/>
        </w:rPr>
        <w:t xml:space="preserve"> </w:t>
      </w:r>
      <w:r w:rsidR="004C1AFB" w:rsidRPr="00152EEA">
        <w:rPr>
          <w:rFonts w:cs="Arial"/>
          <w:bCs/>
          <w:color w:val="000000"/>
          <w:sz w:val="24"/>
        </w:rPr>
        <w:t xml:space="preserve">y </w:t>
      </w:r>
      <w:r w:rsidR="00F87FD9">
        <w:rPr>
          <w:rFonts w:cs="Arial"/>
          <w:bCs/>
          <w:color w:val="000000"/>
          <w:sz w:val="24"/>
        </w:rPr>
        <w:t xml:space="preserve">83,5 </w:t>
      </w:r>
      <w:r w:rsidR="00F87FD9" w:rsidRPr="00152EEA">
        <w:rPr>
          <w:rFonts w:cs="Arial"/>
          <w:bCs/>
          <w:color w:val="000000"/>
          <w:sz w:val="24"/>
        </w:rPr>
        <w:t>(MJ/Ton</w:t>
      </w:r>
      <w:r w:rsidR="00F87FD9">
        <w:rPr>
          <w:rFonts w:cs="Arial"/>
          <w:bCs/>
          <w:color w:val="000000"/>
          <w:sz w:val="24"/>
        </w:rPr>
        <w:t xml:space="preserve"> de diesel</w:t>
      </w:r>
      <w:r w:rsidR="004C1AFB" w:rsidRPr="00152EEA">
        <w:rPr>
          <w:rFonts w:cs="Arial"/>
          <w:bCs/>
          <w:color w:val="000000"/>
          <w:sz w:val="24"/>
        </w:rPr>
        <w:t xml:space="preserve">, finalmente </w:t>
      </w:r>
      <w:r w:rsidR="00F87FD9">
        <w:rPr>
          <w:rFonts w:cs="Arial"/>
          <w:bCs/>
          <w:color w:val="000000"/>
          <w:sz w:val="24"/>
        </w:rPr>
        <w:t>167,9 (MJ/Ton) de bencina</w:t>
      </w:r>
      <w:r w:rsidR="00F87FD9" w:rsidRPr="000A1A8E">
        <w:rPr>
          <w:rFonts w:cs="Arial"/>
          <w:bCs/>
          <w:color w:val="000000"/>
          <w:sz w:val="24"/>
        </w:rPr>
        <w:t>.</w:t>
      </w:r>
      <w:r w:rsidR="007673AF" w:rsidRPr="000A1A8E">
        <w:rPr>
          <w:rFonts w:cs="Arial"/>
          <w:bCs/>
          <w:color w:val="000000"/>
          <w:sz w:val="24"/>
        </w:rPr>
        <w:t xml:space="preserve"> </w:t>
      </w:r>
      <w:r w:rsidR="000A1A8E" w:rsidRPr="000A1A8E">
        <w:rPr>
          <w:rFonts w:cs="Arial"/>
          <w:bCs/>
          <w:color w:val="000000"/>
          <w:sz w:val="24"/>
        </w:rPr>
        <w:t>(Figura 27</w:t>
      </w:r>
      <w:r w:rsidR="007673AF" w:rsidRPr="000A1A8E">
        <w:rPr>
          <w:rFonts w:cs="Arial"/>
          <w:bCs/>
          <w:color w:val="000000"/>
          <w:sz w:val="24"/>
        </w:rPr>
        <w:t>).</w:t>
      </w:r>
    </w:p>
    <w:p w14:paraId="08804F9F" w14:textId="77777777" w:rsidR="007673AF" w:rsidRDefault="007673AF" w:rsidP="007673AF">
      <w:pPr>
        <w:pStyle w:val="Encabezado"/>
        <w:tabs>
          <w:tab w:val="clear" w:pos="4252"/>
          <w:tab w:val="center" w:pos="0"/>
          <w:tab w:val="left" w:pos="567"/>
        </w:tabs>
        <w:spacing w:line="276" w:lineRule="auto"/>
        <w:ind w:firstLine="360"/>
        <w:jc w:val="both"/>
        <w:rPr>
          <w:rFonts w:cs="Arial"/>
          <w:bCs/>
          <w:color w:val="000000"/>
          <w:sz w:val="24"/>
        </w:rPr>
      </w:pPr>
    </w:p>
    <w:p w14:paraId="2B5D0B79" w14:textId="4F6E4276" w:rsidR="007673AF" w:rsidRDefault="00F87FD9" w:rsidP="007673AF">
      <w:pPr>
        <w:pStyle w:val="Encabezado"/>
        <w:tabs>
          <w:tab w:val="clear" w:pos="4252"/>
          <w:tab w:val="center" w:pos="0"/>
          <w:tab w:val="left" w:pos="567"/>
        </w:tabs>
        <w:spacing w:line="276" w:lineRule="auto"/>
        <w:ind w:firstLine="360"/>
        <w:jc w:val="both"/>
        <w:rPr>
          <w:rFonts w:cs="Arial"/>
          <w:bCs/>
          <w:color w:val="000000"/>
          <w:sz w:val="24"/>
        </w:rPr>
      </w:pPr>
      <w:r>
        <w:rPr>
          <w:rFonts w:cs="Arial"/>
          <w:bCs/>
          <w:color w:val="000000"/>
          <w:sz w:val="24"/>
        </w:rPr>
        <w:t>Por su parte, e</w:t>
      </w:r>
      <w:r w:rsidRPr="00152EEA">
        <w:rPr>
          <w:rFonts w:cs="Arial"/>
          <w:bCs/>
          <w:color w:val="000000"/>
          <w:sz w:val="24"/>
        </w:rPr>
        <w:t>l análisis de</w:t>
      </w:r>
      <w:r>
        <w:rPr>
          <w:rFonts w:cs="Arial"/>
          <w:bCs/>
          <w:color w:val="000000"/>
          <w:sz w:val="24"/>
        </w:rPr>
        <w:t xml:space="preserve"> energía necesaria por tonelada de Materia Prima en centros de cultivo Grande</w:t>
      </w:r>
      <w:r w:rsidR="007673AF">
        <w:rPr>
          <w:rFonts w:cs="Arial"/>
          <w:bCs/>
          <w:color w:val="000000"/>
          <w:sz w:val="24"/>
        </w:rPr>
        <w:t xml:space="preserve">, </w:t>
      </w:r>
      <w:r>
        <w:rPr>
          <w:rFonts w:cs="Arial"/>
          <w:bCs/>
          <w:color w:val="000000"/>
          <w:sz w:val="24"/>
        </w:rPr>
        <w:t xml:space="preserve"> </w:t>
      </w:r>
      <w:r w:rsidR="007673AF" w:rsidRPr="00152EEA">
        <w:rPr>
          <w:rFonts w:cs="Arial"/>
          <w:bCs/>
          <w:color w:val="000000"/>
          <w:sz w:val="24"/>
        </w:rPr>
        <w:t>evide</w:t>
      </w:r>
      <w:r w:rsidR="007673AF">
        <w:rPr>
          <w:rFonts w:cs="Arial"/>
          <w:bCs/>
          <w:color w:val="000000"/>
          <w:sz w:val="24"/>
        </w:rPr>
        <w:t>ncia que la electricidad utilizada</w:t>
      </w:r>
      <w:r w:rsidR="007673AF" w:rsidRPr="00152EEA">
        <w:rPr>
          <w:rFonts w:cs="Arial"/>
          <w:bCs/>
          <w:color w:val="000000"/>
          <w:sz w:val="24"/>
        </w:rPr>
        <w:t xml:space="preserve"> </w:t>
      </w:r>
      <w:r w:rsidR="007673AF">
        <w:rPr>
          <w:rFonts w:cs="Arial"/>
          <w:bCs/>
          <w:color w:val="000000"/>
          <w:sz w:val="24"/>
        </w:rPr>
        <w:t xml:space="preserve">es 4,9 </w:t>
      </w:r>
      <w:r w:rsidR="007673AF" w:rsidRPr="00152EEA">
        <w:rPr>
          <w:rFonts w:cs="Arial"/>
          <w:bCs/>
          <w:color w:val="000000"/>
          <w:sz w:val="24"/>
        </w:rPr>
        <w:t xml:space="preserve">(MJ/Ton), seguido de </w:t>
      </w:r>
      <w:r w:rsidR="00C6659F">
        <w:rPr>
          <w:rFonts w:cs="Arial"/>
          <w:bCs/>
          <w:color w:val="000000"/>
          <w:sz w:val="24"/>
        </w:rPr>
        <w:t>113,</w:t>
      </w:r>
      <w:r w:rsidR="007673AF">
        <w:rPr>
          <w:rFonts w:cs="Arial"/>
          <w:bCs/>
          <w:color w:val="000000"/>
          <w:sz w:val="24"/>
        </w:rPr>
        <w:t>8</w:t>
      </w:r>
      <w:r w:rsidR="007673AF" w:rsidRPr="00152EEA">
        <w:rPr>
          <w:rFonts w:cs="Arial"/>
          <w:bCs/>
          <w:color w:val="000000"/>
          <w:sz w:val="24"/>
        </w:rPr>
        <w:t xml:space="preserve"> (MJ/Ton) </w:t>
      </w:r>
      <w:r w:rsidR="007673AF">
        <w:rPr>
          <w:rFonts w:cs="Arial"/>
          <w:bCs/>
          <w:color w:val="000000"/>
          <w:sz w:val="24"/>
        </w:rPr>
        <w:t>bencina</w:t>
      </w:r>
      <w:r w:rsidR="007673AF" w:rsidRPr="00152EEA">
        <w:rPr>
          <w:rFonts w:cs="Arial"/>
          <w:bCs/>
          <w:color w:val="000000"/>
          <w:sz w:val="24"/>
        </w:rPr>
        <w:t xml:space="preserve">  y </w:t>
      </w:r>
      <w:r w:rsidR="007673AF">
        <w:rPr>
          <w:rFonts w:cs="Arial"/>
          <w:bCs/>
          <w:color w:val="000000"/>
          <w:sz w:val="24"/>
        </w:rPr>
        <w:t xml:space="preserve">199,5 </w:t>
      </w:r>
      <w:r w:rsidR="007673AF" w:rsidRPr="00152EEA">
        <w:rPr>
          <w:rFonts w:cs="Arial"/>
          <w:bCs/>
          <w:color w:val="000000"/>
          <w:sz w:val="24"/>
        </w:rPr>
        <w:t>(MJ/Ton</w:t>
      </w:r>
      <w:r w:rsidR="007673AF">
        <w:rPr>
          <w:rFonts w:cs="Arial"/>
          <w:bCs/>
          <w:color w:val="000000"/>
          <w:sz w:val="24"/>
        </w:rPr>
        <w:t xml:space="preserve"> de diesel</w:t>
      </w:r>
      <w:r w:rsidR="007673AF" w:rsidRPr="00152EEA">
        <w:rPr>
          <w:rFonts w:cs="Arial"/>
          <w:bCs/>
          <w:color w:val="000000"/>
          <w:sz w:val="24"/>
        </w:rPr>
        <w:t xml:space="preserve">, finalmente </w:t>
      </w:r>
      <w:r w:rsidR="00507AAE">
        <w:rPr>
          <w:rFonts w:cs="Arial"/>
          <w:bCs/>
          <w:color w:val="000000"/>
          <w:sz w:val="24"/>
        </w:rPr>
        <w:t>443,9 (MJ/Ton) de</w:t>
      </w:r>
      <w:r w:rsidR="00AF6BB0">
        <w:rPr>
          <w:rFonts w:cs="Arial"/>
          <w:bCs/>
          <w:color w:val="000000"/>
          <w:sz w:val="24"/>
        </w:rPr>
        <w:t xml:space="preserve"> gas</w:t>
      </w:r>
      <w:r w:rsidR="00C6659F">
        <w:rPr>
          <w:rFonts w:cs="Arial"/>
          <w:bCs/>
          <w:color w:val="000000"/>
          <w:sz w:val="24"/>
        </w:rPr>
        <w:t xml:space="preserve">, por lo tanto el menor consumo energético </w:t>
      </w:r>
      <w:r w:rsidR="00507AAE">
        <w:rPr>
          <w:rFonts w:cs="Arial"/>
          <w:bCs/>
          <w:color w:val="000000"/>
          <w:sz w:val="24"/>
        </w:rPr>
        <w:t>por tonelada de Materia Prima</w:t>
      </w:r>
      <w:r w:rsidR="00B102C7">
        <w:rPr>
          <w:rFonts w:cs="Arial"/>
          <w:bCs/>
          <w:color w:val="000000"/>
          <w:sz w:val="24"/>
        </w:rPr>
        <w:t xml:space="preserve"> en ambas </w:t>
      </w:r>
      <w:r w:rsidR="00B102C7">
        <w:rPr>
          <w:rFonts w:cs="Arial"/>
          <w:bCs/>
          <w:color w:val="000000"/>
          <w:sz w:val="24"/>
        </w:rPr>
        <w:lastRenderedPageBreak/>
        <w:t xml:space="preserve">categorías es la electricidad, pero el mayor consumo energético en el caso de los </w:t>
      </w:r>
      <w:r w:rsidR="00507AAE">
        <w:rPr>
          <w:rFonts w:cs="Arial"/>
          <w:bCs/>
          <w:color w:val="000000"/>
          <w:sz w:val="24"/>
        </w:rPr>
        <w:t>centros de cultivo MYPE</w:t>
      </w:r>
      <w:r w:rsidR="00C6659F">
        <w:rPr>
          <w:rFonts w:cs="Arial"/>
          <w:bCs/>
          <w:color w:val="000000"/>
          <w:sz w:val="24"/>
        </w:rPr>
        <w:t xml:space="preserve"> </w:t>
      </w:r>
      <w:r w:rsidR="00507AAE">
        <w:rPr>
          <w:rFonts w:cs="Arial"/>
          <w:bCs/>
          <w:color w:val="000000"/>
          <w:sz w:val="24"/>
        </w:rPr>
        <w:t>es</w:t>
      </w:r>
      <w:r w:rsidR="00B102C7">
        <w:rPr>
          <w:rFonts w:cs="Arial"/>
          <w:bCs/>
          <w:color w:val="000000"/>
          <w:sz w:val="24"/>
        </w:rPr>
        <w:t xml:space="preserve"> la bencina y para los centros Grande, el </w:t>
      </w:r>
      <w:r w:rsidR="00B102C7" w:rsidRPr="000A1A8E">
        <w:rPr>
          <w:rFonts w:cs="Arial"/>
          <w:bCs/>
          <w:color w:val="000000"/>
          <w:sz w:val="24"/>
        </w:rPr>
        <w:t>gas.</w:t>
      </w:r>
      <w:r w:rsidR="00507AAE" w:rsidRPr="000A1A8E">
        <w:rPr>
          <w:rFonts w:cs="Arial"/>
          <w:bCs/>
          <w:color w:val="000000"/>
          <w:sz w:val="24"/>
        </w:rPr>
        <w:t xml:space="preserve"> </w:t>
      </w:r>
      <w:r w:rsidR="00B102C7" w:rsidRPr="000A1A8E">
        <w:rPr>
          <w:rFonts w:cs="Arial"/>
          <w:bCs/>
          <w:color w:val="000000"/>
          <w:sz w:val="24"/>
        </w:rPr>
        <w:t>(Figura 2</w:t>
      </w:r>
      <w:r w:rsidR="000A1A8E">
        <w:rPr>
          <w:rFonts w:cs="Arial"/>
          <w:bCs/>
          <w:color w:val="000000"/>
          <w:sz w:val="24"/>
        </w:rPr>
        <w:t>7</w:t>
      </w:r>
      <w:r w:rsidR="00B102C7" w:rsidRPr="000A1A8E">
        <w:rPr>
          <w:rFonts w:cs="Arial"/>
          <w:bCs/>
          <w:color w:val="000000"/>
          <w:sz w:val="24"/>
        </w:rPr>
        <w:t>).</w:t>
      </w:r>
    </w:p>
    <w:p w14:paraId="6D8A5F86" w14:textId="5A5BC01E" w:rsidR="00F87FD9" w:rsidRDefault="00F87FD9" w:rsidP="00F629B4">
      <w:pPr>
        <w:pStyle w:val="Encabezado"/>
        <w:tabs>
          <w:tab w:val="clear" w:pos="4252"/>
          <w:tab w:val="center" w:pos="0"/>
          <w:tab w:val="left" w:pos="567"/>
        </w:tabs>
        <w:spacing w:line="276" w:lineRule="auto"/>
        <w:ind w:firstLine="360"/>
        <w:jc w:val="both"/>
        <w:rPr>
          <w:rFonts w:cs="Arial"/>
          <w:bCs/>
          <w:color w:val="000000"/>
          <w:sz w:val="24"/>
        </w:rPr>
      </w:pPr>
    </w:p>
    <w:p w14:paraId="707F9A0D" w14:textId="77777777" w:rsidR="00F87FD9" w:rsidRDefault="00F87FD9" w:rsidP="00F629B4">
      <w:pPr>
        <w:pStyle w:val="Encabezado"/>
        <w:tabs>
          <w:tab w:val="clear" w:pos="4252"/>
          <w:tab w:val="center" w:pos="0"/>
          <w:tab w:val="left" w:pos="567"/>
        </w:tabs>
        <w:spacing w:line="276" w:lineRule="auto"/>
        <w:ind w:firstLine="360"/>
        <w:jc w:val="both"/>
        <w:rPr>
          <w:rFonts w:cs="Arial"/>
          <w:bCs/>
          <w:color w:val="000000"/>
          <w:sz w:val="24"/>
        </w:rPr>
      </w:pPr>
    </w:p>
    <w:p w14:paraId="00A89011" w14:textId="6F25F987" w:rsidR="00AF79CB" w:rsidRDefault="0092090F" w:rsidP="0092090F">
      <w:pPr>
        <w:pStyle w:val="Encabezado"/>
        <w:tabs>
          <w:tab w:val="clear" w:pos="4252"/>
          <w:tab w:val="center" w:pos="0"/>
          <w:tab w:val="left" w:pos="567"/>
        </w:tabs>
        <w:spacing w:line="276" w:lineRule="auto"/>
        <w:ind w:firstLine="360"/>
        <w:jc w:val="both"/>
        <w:rPr>
          <w:rFonts w:cs="Arial"/>
          <w:bCs/>
          <w:color w:val="000000"/>
          <w:sz w:val="24"/>
        </w:rPr>
      </w:pPr>
      <w:r>
        <w:rPr>
          <w:noProof/>
          <w:lang w:val="es-CL" w:eastAsia="es-CL"/>
        </w:rPr>
        <w:drawing>
          <wp:inline distT="0" distB="0" distL="0" distR="0" wp14:anchorId="76561263" wp14:editId="2A7603A0">
            <wp:extent cx="2666996" cy="2678639"/>
            <wp:effectExtent l="0" t="0" r="19685" b="26670"/>
            <wp:docPr id="5147" name="Gráfico 514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FFAFE533-35F9-4184-B3F8-CDAB97ECBF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r>
        <w:rPr>
          <w:noProof/>
          <w:lang w:val="es-CL" w:eastAsia="es-CL"/>
        </w:rPr>
        <w:drawing>
          <wp:inline distT="0" distB="0" distL="0" distR="0" wp14:anchorId="783CAA17" wp14:editId="0C75E8F2">
            <wp:extent cx="2666997" cy="2678639"/>
            <wp:effectExtent l="0" t="0" r="19685" b="26670"/>
            <wp:docPr id="5148" name="Gráfico 514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13A8D2AD-8DE1-4520-9BCD-D8C08C8E9F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14:paraId="2BD1ECC8" w14:textId="14B57A21" w:rsidR="00BD4224" w:rsidRDefault="00BD4224" w:rsidP="00BD4224">
      <w:pPr>
        <w:pStyle w:val="Encabezado"/>
        <w:rPr>
          <w:rFonts w:cs="Arial"/>
          <w:bCs/>
          <w:color w:val="000000"/>
          <w:sz w:val="24"/>
        </w:rPr>
      </w:pPr>
      <w:r>
        <w:rPr>
          <w:rFonts w:cs="Arial"/>
          <w:b/>
          <w:bCs/>
          <w:color w:val="000000"/>
          <w:sz w:val="24"/>
        </w:rPr>
        <w:t>F</w:t>
      </w:r>
      <w:r w:rsidRPr="007F6A01">
        <w:rPr>
          <w:rFonts w:cs="Arial"/>
          <w:b/>
          <w:bCs/>
          <w:color w:val="000000"/>
          <w:sz w:val="24"/>
        </w:rPr>
        <w:t xml:space="preserve">igura </w:t>
      </w:r>
      <w:r w:rsidR="000A1A8E">
        <w:rPr>
          <w:rFonts w:cs="Arial"/>
          <w:b/>
          <w:bCs/>
          <w:color w:val="000000"/>
          <w:sz w:val="24"/>
        </w:rPr>
        <w:t>27</w:t>
      </w:r>
      <w:r w:rsidRPr="007F6A01">
        <w:rPr>
          <w:rFonts w:cs="Arial"/>
          <w:b/>
          <w:bCs/>
          <w:color w:val="000000"/>
          <w:sz w:val="24"/>
        </w:rPr>
        <w:t>.</w:t>
      </w:r>
      <w:r>
        <w:rPr>
          <w:rFonts w:cs="Arial"/>
          <w:b/>
          <w:bCs/>
          <w:color w:val="000000"/>
          <w:sz w:val="24"/>
        </w:rPr>
        <w:t xml:space="preserve"> </w:t>
      </w:r>
      <w:r w:rsidRPr="00BD4224">
        <w:rPr>
          <w:rFonts w:cs="Arial"/>
          <w:bCs/>
          <w:color w:val="000000"/>
          <w:sz w:val="24"/>
        </w:rPr>
        <w:t>Energía utilizada para elaborar una tonelada de producto final</w:t>
      </w:r>
      <w:r w:rsidR="00685F07">
        <w:rPr>
          <w:rFonts w:cs="Arial"/>
          <w:bCs/>
          <w:color w:val="000000"/>
          <w:sz w:val="24"/>
        </w:rPr>
        <w:t>.</w:t>
      </w:r>
    </w:p>
    <w:p w14:paraId="5DAB8888" w14:textId="77777777" w:rsidR="00AF79CB" w:rsidRDefault="00AF79CB" w:rsidP="00A261F2">
      <w:pPr>
        <w:pStyle w:val="Encabezado"/>
        <w:spacing w:line="276" w:lineRule="auto"/>
        <w:jc w:val="both"/>
        <w:rPr>
          <w:rFonts w:cs="Arial"/>
          <w:bCs/>
          <w:color w:val="000000"/>
          <w:sz w:val="24"/>
        </w:rPr>
      </w:pPr>
    </w:p>
    <w:p w14:paraId="18A1B7A1" w14:textId="77777777" w:rsidR="00AF79CB" w:rsidRDefault="00AF79CB" w:rsidP="00A261F2">
      <w:pPr>
        <w:pStyle w:val="Encabezado"/>
        <w:spacing w:line="276" w:lineRule="auto"/>
        <w:jc w:val="both"/>
        <w:rPr>
          <w:rFonts w:cs="Arial"/>
          <w:bCs/>
          <w:color w:val="000000"/>
          <w:sz w:val="24"/>
        </w:rPr>
      </w:pPr>
    </w:p>
    <w:p w14:paraId="35CC8AD0" w14:textId="77777777" w:rsidR="00AF79CB" w:rsidRDefault="00AF79CB" w:rsidP="00A261F2">
      <w:pPr>
        <w:pStyle w:val="Encabezado"/>
        <w:spacing w:line="276" w:lineRule="auto"/>
        <w:jc w:val="both"/>
        <w:rPr>
          <w:rFonts w:cs="Arial"/>
          <w:bCs/>
          <w:color w:val="000000"/>
          <w:sz w:val="24"/>
        </w:rPr>
      </w:pPr>
    </w:p>
    <w:p w14:paraId="02F62442" w14:textId="77777777" w:rsidR="00AF79CB" w:rsidRDefault="00AF79CB" w:rsidP="00A261F2">
      <w:pPr>
        <w:pStyle w:val="Encabezado"/>
        <w:spacing w:line="276" w:lineRule="auto"/>
        <w:jc w:val="both"/>
        <w:rPr>
          <w:rFonts w:cs="Arial"/>
          <w:bCs/>
          <w:color w:val="000000"/>
          <w:sz w:val="24"/>
        </w:rPr>
      </w:pPr>
    </w:p>
    <w:p w14:paraId="07C01DF9" w14:textId="1ACA5D92" w:rsidR="00A261F2" w:rsidRPr="00152EEA" w:rsidRDefault="00685F07" w:rsidP="00F629B4">
      <w:pPr>
        <w:pStyle w:val="Encabezado"/>
        <w:numPr>
          <w:ilvl w:val="0"/>
          <w:numId w:val="20"/>
        </w:numPr>
        <w:tabs>
          <w:tab w:val="clear" w:pos="4252"/>
          <w:tab w:val="center" w:pos="709"/>
        </w:tabs>
        <w:spacing w:line="276" w:lineRule="auto"/>
        <w:ind w:left="0" w:firstLine="360"/>
        <w:jc w:val="both"/>
      </w:pPr>
      <w:r w:rsidRPr="000D3B74">
        <w:rPr>
          <w:i/>
          <w:sz w:val="24"/>
          <w:szCs w:val="24"/>
          <w:u w:val="single"/>
          <w:lang w:val="es-CL" w:eastAsia="es-CL"/>
        </w:rPr>
        <w:t>Eficiencia energética:</w:t>
      </w:r>
      <w:r w:rsidRPr="000D3B74">
        <w:rPr>
          <w:sz w:val="24"/>
          <w:szCs w:val="24"/>
          <w:lang w:val="es-CL" w:eastAsia="es-CL"/>
        </w:rPr>
        <w:t xml:space="preserve"> </w:t>
      </w:r>
      <w:r w:rsidRPr="000D3B74">
        <w:rPr>
          <w:rFonts w:cs="Arial"/>
          <w:bCs/>
          <w:color w:val="000000"/>
          <w:sz w:val="24"/>
        </w:rPr>
        <w:t>l</w:t>
      </w:r>
      <w:r w:rsidR="00A261F2" w:rsidRPr="000D3B74">
        <w:rPr>
          <w:rFonts w:cs="Arial"/>
          <w:bCs/>
          <w:color w:val="000000"/>
          <w:sz w:val="24"/>
        </w:rPr>
        <w:t xml:space="preserve">a eficiencia energética (EE) </w:t>
      </w:r>
      <w:r w:rsidR="0077304D" w:rsidRPr="000D3B74">
        <w:rPr>
          <w:rFonts w:cs="Arial"/>
          <w:bCs/>
          <w:color w:val="000000"/>
          <w:sz w:val="24"/>
        </w:rPr>
        <w:t>es una</w:t>
      </w:r>
      <w:r w:rsidR="00A261F2" w:rsidRPr="000D3B74">
        <w:rPr>
          <w:rFonts w:cs="Arial"/>
          <w:bCs/>
          <w:color w:val="000000"/>
          <w:sz w:val="24"/>
        </w:rPr>
        <w:t xml:space="preserve"> práctica que tiene como objet</w:t>
      </w:r>
      <w:r w:rsidR="0077304D" w:rsidRPr="000D3B74">
        <w:rPr>
          <w:rFonts w:cs="Arial"/>
          <w:bCs/>
          <w:color w:val="000000"/>
          <w:sz w:val="24"/>
        </w:rPr>
        <w:t>o reducir el consumo de energía</w:t>
      </w:r>
      <w:r w:rsidR="006B1A85" w:rsidRPr="000D3B74">
        <w:rPr>
          <w:rFonts w:cs="Arial"/>
          <w:bCs/>
          <w:color w:val="000000"/>
          <w:sz w:val="24"/>
        </w:rPr>
        <w:t xml:space="preserve"> para </w:t>
      </w:r>
      <w:r w:rsidR="00A261F2" w:rsidRPr="000D3B74">
        <w:rPr>
          <w:rFonts w:cs="Arial"/>
          <w:bCs/>
          <w:color w:val="000000"/>
          <w:sz w:val="24"/>
        </w:rPr>
        <w:t>opt</w:t>
      </w:r>
      <w:r w:rsidR="006B1A85" w:rsidRPr="000D3B74">
        <w:rPr>
          <w:rFonts w:cs="Arial"/>
          <w:bCs/>
          <w:color w:val="000000"/>
          <w:sz w:val="24"/>
        </w:rPr>
        <w:t xml:space="preserve">imizar los procesos productivos, </w:t>
      </w:r>
      <w:r w:rsidR="00A261F2" w:rsidRPr="000D3B74">
        <w:rPr>
          <w:rFonts w:cs="Arial"/>
          <w:bCs/>
          <w:color w:val="000000"/>
          <w:sz w:val="24"/>
        </w:rPr>
        <w:t xml:space="preserve">utilizando lo mismo o menos para </w:t>
      </w:r>
      <w:r w:rsidR="006B1A85" w:rsidRPr="000D3B74">
        <w:rPr>
          <w:rFonts w:cs="Arial"/>
          <w:bCs/>
          <w:color w:val="000000"/>
          <w:sz w:val="24"/>
        </w:rPr>
        <w:t>la producción de</w:t>
      </w:r>
      <w:r w:rsidR="00A261F2" w:rsidRPr="000D3B74">
        <w:rPr>
          <w:rFonts w:cs="Arial"/>
          <w:bCs/>
          <w:color w:val="000000"/>
          <w:sz w:val="24"/>
        </w:rPr>
        <w:t xml:space="preserve"> más bienes y servicios.</w:t>
      </w:r>
      <w:r w:rsidR="00A261F2" w:rsidRPr="00152EEA">
        <w:t xml:space="preserve"> </w:t>
      </w:r>
    </w:p>
    <w:p w14:paraId="305DF359" w14:textId="77777777" w:rsidR="000D3B74" w:rsidRDefault="000D3B74" w:rsidP="004633B8">
      <w:pPr>
        <w:pStyle w:val="Encabezado"/>
        <w:spacing w:line="276" w:lineRule="auto"/>
        <w:ind w:firstLine="851"/>
        <w:jc w:val="both"/>
        <w:rPr>
          <w:rFonts w:cs="Arial"/>
          <w:bCs/>
          <w:color w:val="000000"/>
          <w:sz w:val="24"/>
        </w:rPr>
      </w:pPr>
    </w:p>
    <w:p w14:paraId="704A8177" w14:textId="3465878D" w:rsidR="00A261F2" w:rsidRPr="00152EEA" w:rsidRDefault="00A261F2" w:rsidP="004633B8">
      <w:pPr>
        <w:pStyle w:val="Encabezado"/>
        <w:spacing w:line="276" w:lineRule="auto"/>
        <w:ind w:firstLine="851"/>
        <w:jc w:val="both"/>
        <w:rPr>
          <w:rFonts w:cs="Arial"/>
          <w:bCs/>
          <w:color w:val="000000"/>
          <w:sz w:val="24"/>
        </w:rPr>
      </w:pPr>
      <w:r w:rsidRPr="00152EEA">
        <w:rPr>
          <w:rFonts w:cs="Arial"/>
          <w:bCs/>
          <w:color w:val="000000"/>
          <w:sz w:val="24"/>
        </w:rPr>
        <w:t>El uso eficiente de energía</w:t>
      </w:r>
      <w:r w:rsidR="00B863D0" w:rsidRPr="00152EEA">
        <w:rPr>
          <w:rFonts w:cs="Arial"/>
          <w:bCs/>
          <w:color w:val="000000"/>
          <w:sz w:val="24"/>
        </w:rPr>
        <w:t xml:space="preserve"> implica </w:t>
      </w:r>
      <w:r w:rsidRPr="00152EEA">
        <w:rPr>
          <w:rFonts w:cs="Arial"/>
          <w:bCs/>
          <w:color w:val="000000"/>
          <w:sz w:val="24"/>
        </w:rPr>
        <w:t>reducir la cantidad de energía eléctrica y de combustibles que utilizamos, pero conservando la calidad y el acceso a bienes y servicios. Usualmente dicha reducción en el consumo de energía se asocia a un cambio tecnológico, ya sea por la creación de nuevas tecnologías que incrementen el rendimiento de los artefactos o por nuevos diseños de máquinas y espacios habitables,</w:t>
      </w:r>
      <w:r w:rsidR="006B1A85" w:rsidRPr="00152EEA">
        <w:rPr>
          <w:rFonts w:cs="Arial"/>
          <w:bCs/>
          <w:color w:val="000000"/>
          <w:sz w:val="24"/>
        </w:rPr>
        <w:t xml:space="preserve"> disminuyendo la pérdida </w:t>
      </w:r>
      <w:r w:rsidRPr="00152EEA">
        <w:rPr>
          <w:rFonts w:cs="Arial"/>
          <w:bCs/>
          <w:color w:val="000000"/>
          <w:sz w:val="24"/>
        </w:rPr>
        <w:t xml:space="preserve">de energía por calor. No obstante, no siempre es así, ya que la reducción en el consumo de energía </w:t>
      </w:r>
      <w:r w:rsidRPr="00152EEA">
        <w:rPr>
          <w:rFonts w:cs="Arial"/>
          <w:bCs/>
          <w:color w:val="000000"/>
          <w:sz w:val="24"/>
        </w:rPr>
        <w:lastRenderedPageBreak/>
        <w:t xml:space="preserve">puede estar vinculada a una mejor gestión o cambios en los hábitos y actitudes. </w:t>
      </w:r>
    </w:p>
    <w:p w14:paraId="73A55E54" w14:textId="77777777" w:rsidR="00A261F2" w:rsidRPr="00152EEA" w:rsidRDefault="00A261F2" w:rsidP="00A261F2">
      <w:pPr>
        <w:pStyle w:val="Encabezado"/>
        <w:spacing w:line="276" w:lineRule="auto"/>
        <w:jc w:val="both"/>
        <w:rPr>
          <w:rFonts w:cs="Arial"/>
          <w:bCs/>
          <w:color w:val="000000"/>
          <w:sz w:val="24"/>
        </w:rPr>
      </w:pPr>
    </w:p>
    <w:p w14:paraId="53C6ADEC" w14:textId="511404FE" w:rsidR="00A261F2" w:rsidRDefault="00D858A8" w:rsidP="006978F1">
      <w:pPr>
        <w:pStyle w:val="Encabezado"/>
        <w:spacing w:line="276" w:lineRule="auto"/>
        <w:ind w:firstLine="709"/>
        <w:jc w:val="both"/>
        <w:rPr>
          <w:rFonts w:cs="Arial"/>
          <w:bCs/>
          <w:color w:val="000000"/>
          <w:sz w:val="24"/>
        </w:rPr>
      </w:pPr>
      <w:r w:rsidRPr="00152EEA">
        <w:rPr>
          <w:rFonts w:cs="Arial"/>
          <w:bCs/>
          <w:color w:val="000000"/>
          <w:sz w:val="24"/>
        </w:rPr>
        <w:t>E</w:t>
      </w:r>
      <w:r w:rsidR="00A261F2" w:rsidRPr="00152EEA">
        <w:rPr>
          <w:rFonts w:cs="Arial"/>
          <w:bCs/>
          <w:color w:val="000000"/>
          <w:sz w:val="24"/>
        </w:rPr>
        <w:t xml:space="preserve">ficiencia energética </w:t>
      </w:r>
      <w:r w:rsidRPr="00152EEA">
        <w:rPr>
          <w:rFonts w:cs="Arial"/>
          <w:bCs/>
          <w:color w:val="000000"/>
          <w:sz w:val="24"/>
        </w:rPr>
        <w:t xml:space="preserve">no se debe confundir </w:t>
      </w:r>
      <w:r w:rsidR="00A261F2" w:rsidRPr="00152EEA">
        <w:rPr>
          <w:rFonts w:cs="Arial"/>
          <w:bCs/>
          <w:color w:val="000000"/>
          <w:sz w:val="24"/>
        </w:rPr>
        <w:t xml:space="preserve">con la Energía Renovable (ER), </w:t>
      </w:r>
      <w:r w:rsidR="006B1A85" w:rsidRPr="00152EEA">
        <w:rPr>
          <w:rFonts w:cs="Arial"/>
          <w:bCs/>
          <w:color w:val="000000"/>
          <w:sz w:val="24"/>
        </w:rPr>
        <w:t>ya que</w:t>
      </w:r>
      <w:r w:rsidR="00A261F2" w:rsidRPr="00152EEA">
        <w:rPr>
          <w:rFonts w:cs="Arial"/>
          <w:bCs/>
          <w:color w:val="000000"/>
          <w:sz w:val="24"/>
        </w:rPr>
        <w:t xml:space="preserve"> es un tipo de fuente de energía, mientras que la eficiencia energética es un análisis de todo el sistema, que podrá presentar como medidas de reducción de consumo de energ</w:t>
      </w:r>
      <w:r w:rsidRPr="00152EEA">
        <w:rPr>
          <w:rFonts w:cs="Arial"/>
          <w:bCs/>
          <w:color w:val="000000"/>
          <w:sz w:val="24"/>
        </w:rPr>
        <w:t xml:space="preserve">ía, </w:t>
      </w:r>
      <w:r w:rsidR="006B1A85" w:rsidRPr="00152EEA">
        <w:rPr>
          <w:rFonts w:cs="Arial"/>
          <w:bCs/>
          <w:color w:val="000000"/>
          <w:sz w:val="24"/>
        </w:rPr>
        <w:t>uso de energía renovable</w:t>
      </w:r>
      <w:r w:rsidR="00A261F2" w:rsidRPr="00152EEA">
        <w:rPr>
          <w:rFonts w:cs="Arial"/>
          <w:bCs/>
          <w:color w:val="000000"/>
          <w:sz w:val="24"/>
        </w:rPr>
        <w:t>.</w:t>
      </w:r>
      <w:r w:rsidR="004243BD" w:rsidRPr="00152EEA">
        <w:rPr>
          <w:rFonts w:cs="Arial"/>
          <w:bCs/>
          <w:color w:val="000000"/>
          <w:sz w:val="24"/>
        </w:rPr>
        <w:t xml:space="preserve"> </w:t>
      </w:r>
      <w:r w:rsidR="00B863D0" w:rsidRPr="00152EEA">
        <w:rPr>
          <w:rFonts w:cs="Arial"/>
          <w:bCs/>
          <w:color w:val="000000"/>
          <w:sz w:val="24"/>
        </w:rPr>
        <w:t>Los principales beneficios de la eficiencia energética están relacionados con ahorro de dinero,</w:t>
      </w:r>
      <w:r w:rsidR="00B863D0" w:rsidRPr="00152EEA">
        <w:t xml:space="preserve"> </w:t>
      </w:r>
      <w:r w:rsidR="00B863D0" w:rsidRPr="00152EEA">
        <w:rPr>
          <w:rFonts w:cs="Arial"/>
          <w:bCs/>
          <w:color w:val="000000"/>
          <w:sz w:val="24"/>
        </w:rPr>
        <w:t>promover sostenibilidad económica, política y ambiental.</w:t>
      </w:r>
    </w:p>
    <w:p w14:paraId="08106742" w14:textId="77777777" w:rsidR="006978F1" w:rsidRPr="00152EEA" w:rsidRDefault="006978F1" w:rsidP="006978F1">
      <w:pPr>
        <w:pStyle w:val="Encabezado"/>
        <w:spacing w:line="276" w:lineRule="auto"/>
        <w:ind w:firstLine="709"/>
        <w:jc w:val="both"/>
        <w:rPr>
          <w:rFonts w:cs="Arial"/>
          <w:bCs/>
          <w:color w:val="000000"/>
          <w:sz w:val="24"/>
        </w:rPr>
      </w:pPr>
    </w:p>
    <w:p w14:paraId="524ABD4E" w14:textId="20369B11" w:rsidR="004229CE" w:rsidRDefault="00B26684" w:rsidP="004633B8">
      <w:pPr>
        <w:pStyle w:val="Encabezado"/>
        <w:spacing w:line="276" w:lineRule="auto"/>
        <w:ind w:firstLine="709"/>
        <w:jc w:val="both"/>
        <w:rPr>
          <w:rFonts w:cs="Arial"/>
          <w:bCs/>
          <w:color w:val="000000"/>
          <w:sz w:val="24"/>
        </w:rPr>
      </w:pPr>
      <w:r w:rsidRPr="00152EEA">
        <w:rPr>
          <w:rFonts w:cs="Arial"/>
          <w:bCs/>
          <w:color w:val="000000"/>
          <w:sz w:val="24"/>
        </w:rPr>
        <w:t>Se</w:t>
      </w:r>
      <w:r w:rsidR="00B34693" w:rsidRPr="00152EEA">
        <w:rPr>
          <w:rFonts w:cs="Arial"/>
          <w:bCs/>
          <w:color w:val="000000"/>
          <w:sz w:val="24"/>
        </w:rPr>
        <w:t xml:space="preserve"> identifica </w:t>
      </w:r>
      <w:r w:rsidRPr="00152EEA">
        <w:rPr>
          <w:rFonts w:cs="Arial"/>
          <w:bCs/>
          <w:color w:val="000000"/>
          <w:sz w:val="24"/>
        </w:rPr>
        <w:t xml:space="preserve">que en las empresas hay </w:t>
      </w:r>
      <w:r w:rsidR="00B34693" w:rsidRPr="00152EEA">
        <w:rPr>
          <w:rFonts w:cs="Arial"/>
          <w:bCs/>
          <w:color w:val="000000"/>
          <w:sz w:val="24"/>
        </w:rPr>
        <w:t>bajo nivel de innovación en acciones d</w:t>
      </w:r>
      <w:r w:rsidR="004243BD" w:rsidRPr="00152EEA">
        <w:rPr>
          <w:rFonts w:cs="Arial"/>
          <w:bCs/>
          <w:color w:val="000000"/>
          <w:sz w:val="24"/>
        </w:rPr>
        <w:t>e eficiencia energética, el</w:t>
      </w:r>
      <w:r w:rsidR="00B34693" w:rsidRPr="00152EEA">
        <w:rPr>
          <w:rFonts w:cs="Arial"/>
          <w:bCs/>
          <w:color w:val="000000"/>
          <w:sz w:val="24"/>
        </w:rPr>
        <w:t xml:space="preserve"> </w:t>
      </w:r>
      <w:r w:rsidR="004229CE">
        <w:rPr>
          <w:rFonts w:cs="Arial"/>
          <w:bCs/>
          <w:color w:val="000000"/>
          <w:sz w:val="24"/>
        </w:rPr>
        <w:t>15</w:t>
      </w:r>
      <w:r w:rsidR="004243BD" w:rsidRPr="00152EEA">
        <w:rPr>
          <w:rFonts w:cs="Arial"/>
          <w:bCs/>
          <w:color w:val="000000"/>
          <w:sz w:val="24"/>
        </w:rPr>
        <w:t xml:space="preserve">% de </w:t>
      </w:r>
      <w:r w:rsidR="004229CE">
        <w:rPr>
          <w:rFonts w:cs="Arial"/>
          <w:bCs/>
          <w:color w:val="000000"/>
          <w:sz w:val="24"/>
        </w:rPr>
        <w:t xml:space="preserve">un total de 13 </w:t>
      </w:r>
      <w:r w:rsidR="004243BD" w:rsidRPr="00152EEA">
        <w:rPr>
          <w:rFonts w:cs="Arial"/>
          <w:bCs/>
          <w:color w:val="000000"/>
          <w:sz w:val="24"/>
        </w:rPr>
        <w:t xml:space="preserve">entrevistados </w:t>
      </w:r>
      <w:r w:rsidR="004229CE">
        <w:rPr>
          <w:rFonts w:cs="Arial"/>
          <w:bCs/>
          <w:color w:val="000000"/>
          <w:sz w:val="24"/>
        </w:rPr>
        <w:t xml:space="preserve">MYPE (2 empresas) y el 20% de 10 centros de cultivo Grande (2 empresas), </w:t>
      </w:r>
      <w:r w:rsidR="004243BD" w:rsidRPr="00152EEA">
        <w:rPr>
          <w:rFonts w:cs="Arial"/>
          <w:bCs/>
          <w:color w:val="000000"/>
          <w:sz w:val="24"/>
        </w:rPr>
        <w:t>informa</w:t>
      </w:r>
      <w:r w:rsidR="00B34693" w:rsidRPr="00152EEA">
        <w:rPr>
          <w:rFonts w:cs="Arial"/>
          <w:bCs/>
          <w:color w:val="000000"/>
          <w:sz w:val="24"/>
        </w:rPr>
        <w:t xml:space="preserve"> haberlo realizado</w:t>
      </w:r>
      <w:r w:rsidR="004229CE">
        <w:rPr>
          <w:rFonts w:cs="Arial"/>
          <w:bCs/>
          <w:color w:val="000000"/>
          <w:sz w:val="24"/>
        </w:rPr>
        <w:t xml:space="preserve">, pero sólo una empresa </w:t>
      </w:r>
      <w:r w:rsidR="001D09FA">
        <w:rPr>
          <w:rFonts w:cs="Arial"/>
          <w:bCs/>
          <w:color w:val="000000"/>
          <w:sz w:val="24"/>
        </w:rPr>
        <w:t xml:space="preserve">MYPE </w:t>
      </w:r>
      <w:r w:rsidR="004229CE">
        <w:rPr>
          <w:rFonts w:cs="Arial"/>
          <w:bCs/>
          <w:color w:val="000000"/>
          <w:sz w:val="24"/>
        </w:rPr>
        <w:t xml:space="preserve">indica haber disminuido </w:t>
      </w:r>
      <w:r w:rsidR="00B34693" w:rsidRPr="00152EEA">
        <w:rPr>
          <w:rFonts w:cs="Arial"/>
          <w:bCs/>
          <w:color w:val="000000"/>
          <w:sz w:val="24"/>
        </w:rPr>
        <w:t xml:space="preserve"> </w:t>
      </w:r>
      <w:r w:rsidR="004229CE">
        <w:rPr>
          <w:rFonts w:cs="Arial"/>
          <w:bCs/>
          <w:color w:val="000000"/>
          <w:sz w:val="24"/>
        </w:rPr>
        <w:t>con ello el</w:t>
      </w:r>
      <w:r w:rsidR="00B34693" w:rsidRPr="00152EEA">
        <w:rPr>
          <w:rFonts w:cs="Arial"/>
          <w:bCs/>
          <w:color w:val="000000"/>
          <w:sz w:val="24"/>
        </w:rPr>
        <w:t xml:space="preserve"> consumo de electricidad</w:t>
      </w:r>
      <w:r w:rsidR="004229CE">
        <w:rPr>
          <w:rFonts w:cs="Arial"/>
          <w:bCs/>
          <w:color w:val="000000"/>
          <w:sz w:val="24"/>
        </w:rPr>
        <w:t xml:space="preserve"> y </w:t>
      </w:r>
      <w:r w:rsidR="001D09FA">
        <w:rPr>
          <w:rFonts w:cs="Arial"/>
          <w:bCs/>
          <w:color w:val="000000"/>
          <w:sz w:val="24"/>
        </w:rPr>
        <w:t>ambas empresas de cu</w:t>
      </w:r>
      <w:r w:rsidR="004229CE">
        <w:rPr>
          <w:rFonts w:cs="Arial"/>
          <w:bCs/>
          <w:color w:val="000000"/>
          <w:sz w:val="24"/>
        </w:rPr>
        <w:t xml:space="preserve">ltivo Grande </w:t>
      </w:r>
      <w:r w:rsidR="001D09FA">
        <w:rPr>
          <w:rFonts w:cs="Arial"/>
          <w:bCs/>
          <w:color w:val="000000"/>
          <w:sz w:val="24"/>
        </w:rPr>
        <w:t>mencionar</w:t>
      </w:r>
      <w:r w:rsidR="004D0AD9">
        <w:rPr>
          <w:rFonts w:cs="Arial"/>
          <w:bCs/>
          <w:color w:val="000000"/>
          <w:sz w:val="24"/>
        </w:rPr>
        <w:t>on disminuir</w:t>
      </w:r>
      <w:r w:rsidR="001D09FA">
        <w:rPr>
          <w:rFonts w:cs="Arial"/>
          <w:bCs/>
          <w:color w:val="000000"/>
          <w:sz w:val="24"/>
        </w:rPr>
        <w:t xml:space="preserve"> el consumo.</w:t>
      </w:r>
      <w:r w:rsidR="000A1A8E" w:rsidRPr="000A1A8E">
        <w:rPr>
          <w:rFonts w:cs="Arial"/>
          <w:bCs/>
          <w:color w:val="000000"/>
          <w:sz w:val="24"/>
        </w:rPr>
        <w:t xml:space="preserve"> </w:t>
      </w:r>
      <w:r w:rsidR="000A1A8E">
        <w:rPr>
          <w:rFonts w:cs="Arial"/>
          <w:bCs/>
          <w:color w:val="000000"/>
          <w:sz w:val="24"/>
        </w:rPr>
        <w:t>(</w:t>
      </w:r>
      <w:r w:rsidR="000A1A8E" w:rsidRPr="000A1A8E">
        <w:rPr>
          <w:rFonts w:cs="Arial"/>
          <w:bCs/>
          <w:color w:val="000000"/>
          <w:sz w:val="24"/>
        </w:rPr>
        <w:t>Figura 28).</w:t>
      </w:r>
    </w:p>
    <w:p w14:paraId="63B70245" w14:textId="77777777" w:rsidR="004229CE" w:rsidRDefault="004229CE" w:rsidP="004633B8">
      <w:pPr>
        <w:pStyle w:val="Encabezado"/>
        <w:spacing w:line="276" w:lineRule="auto"/>
        <w:ind w:firstLine="709"/>
        <w:jc w:val="both"/>
        <w:rPr>
          <w:rFonts w:cs="Arial"/>
          <w:bCs/>
          <w:color w:val="000000"/>
          <w:sz w:val="24"/>
        </w:rPr>
      </w:pPr>
    </w:p>
    <w:p w14:paraId="7EDEF7B7" w14:textId="77777777" w:rsidR="004229CE" w:rsidRDefault="004229CE" w:rsidP="004633B8">
      <w:pPr>
        <w:pStyle w:val="Encabezado"/>
        <w:spacing w:line="276" w:lineRule="auto"/>
        <w:ind w:firstLine="709"/>
        <w:jc w:val="both"/>
        <w:rPr>
          <w:rFonts w:cs="Arial"/>
          <w:bCs/>
          <w:color w:val="000000"/>
          <w:sz w:val="24"/>
        </w:rPr>
      </w:pPr>
    </w:p>
    <w:p w14:paraId="3A2A975D" w14:textId="5201C87F" w:rsidR="00B34693" w:rsidRPr="00071804" w:rsidRDefault="00B34693" w:rsidP="004633B8">
      <w:pPr>
        <w:pStyle w:val="Encabezado"/>
        <w:spacing w:line="276" w:lineRule="auto"/>
        <w:ind w:firstLine="709"/>
        <w:jc w:val="both"/>
        <w:rPr>
          <w:rFonts w:cs="Arial"/>
          <w:bCs/>
          <w:color w:val="000000"/>
          <w:sz w:val="24"/>
        </w:rPr>
      </w:pPr>
      <w:r w:rsidRPr="00152EEA">
        <w:rPr>
          <w:rFonts w:cs="Arial"/>
          <w:bCs/>
          <w:color w:val="000000"/>
          <w:sz w:val="24"/>
        </w:rPr>
        <w:t xml:space="preserve"> La principal innovación se relaciona con el uso de sistemas de iluminación de bajo consumo</w:t>
      </w:r>
      <w:r w:rsidR="00313B13" w:rsidRPr="00152EEA">
        <w:rPr>
          <w:rFonts w:cs="Arial"/>
          <w:bCs/>
          <w:color w:val="000000"/>
          <w:sz w:val="24"/>
        </w:rPr>
        <w:t xml:space="preserve"> como las luces </w:t>
      </w:r>
      <w:r w:rsidR="004D0AD9">
        <w:rPr>
          <w:rFonts w:cs="Arial"/>
          <w:bCs/>
          <w:color w:val="000000"/>
          <w:sz w:val="24"/>
        </w:rPr>
        <w:t>de bajo consumo, 6</w:t>
      </w:r>
      <w:r w:rsidR="004D0AD9" w:rsidRPr="000A1A8E">
        <w:rPr>
          <w:rFonts w:cs="Arial"/>
          <w:bCs/>
          <w:color w:val="000000"/>
          <w:sz w:val="24"/>
        </w:rPr>
        <w:t>9</w:t>
      </w:r>
      <w:r w:rsidR="00685F07" w:rsidRPr="000A1A8E">
        <w:rPr>
          <w:rFonts w:cs="Arial"/>
          <w:bCs/>
          <w:color w:val="000000"/>
          <w:sz w:val="24"/>
        </w:rPr>
        <w:t xml:space="preserve">% </w:t>
      </w:r>
      <w:r w:rsidR="004D0AD9" w:rsidRPr="000A1A8E">
        <w:rPr>
          <w:rFonts w:cs="Arial"/>
          <w:bCs/>
          <w:color w:val="000000"/>
          <w:sz w:val="24"/>
        </w:rPr>
        <w:t xml:space="preserve">y 70% </w:t>
      </w:r>
      <w:r w:rsidR="00685F07" w:rsidRPr="000A1A8E">
        <w:rPr>
          <w:rFonts w:cs="Arial"/>
          <w:bCs/>
          <w:color w:val="000000"/>
          <w:sz w:val="24"/>
        </w:rPr>
        <w:t>de la muestra</w:t>
      </w:r>
      <w:r w:rsidR="004D0AD9" w:rsidRPr="000A1A8E">
        <w:rPr>
          <w:rFonts w:cs="Arial"/>
          <w:bCs/>
          <w:color w:val="000000"/>
          <w:sz w:val="24"/>
        </w:rPr>
        <w:t xml:space="preserve"> MYPE y Grande respectivamente</w:t>
      </w:r>
      <w:r w:rsidR="0045338B" w:rsidRPr="000A1A8E">
        <w:rPr>
          <w:rFonts w:cs="Arial"/>
          <w:bCs/>
          <w:color w:val="000000"/>
          <w:sz w:val="24"/>
        </w:rPr>
        <w:t xml:space="preserve"> (Figura 2</w:t>
      </w:r>
      <w:r w:rsidR="000A1A8E" w:rsidRPr="000A1A8E">
        <w:rPr>
          <w:rFonts w:cs="Arial"/>
          <w:bCs/>
          <w:color w:val="000000"/>
          <w:sz w:val="24"/>
        </w:rPr>
        <w:t>8</w:t>
      </w:r>
      <w:r w:rsidR="0045338B" w:rsidRPr="000A1A8E">
        <w:rPr>
          <w:rFonts w:cs="Arial"/>
          <w:bCs/>
          <w:color w:val="000000"/>
          <w:sz w:val="24"/>
        </w:rPr>
        <w:t>).</w:t>
      </w:r>
    </w:p>
    <w:p w14:paraId="22570BA0" w14:textId="77777777" w:rsidR="000E1B31" w:rsidRDefault="000E1B31" w:rsidP="00B34693">
      <w:pPr>
        <w:pStyle w:val="Encabezado"/>
        <w:jc w:val="both"/>
        <w:rPr>
          <w:rFonts w:cs="Arial"/>
          <w:bCs/>
          <w:color w:val="000000"/>
          <w:sz w:val="24"/>
        </w:rPr>
      </w:pPr>
    </w:p>
    <w:p w14:paraId="313FFB37" w14:textId="75F35055" w:rsidR="00B34693" w:rsidRDefault="000E1B31" w:rsidP="00B34693">
      <w:pPr>
        <w:pStyle w:val="Encabezado"/>
        <w:jc w:val="both"/>
        <w:rPr>
          <w:rFonts w:cs="Arial"/>
          <w:bCs/>
          <w:color w:val="000000"/>
          <w:sz w:val="24"/>
        </w:rPr>
      </w:pPr>
      <w:r w:rsidRPr="00152EEA">
        <w:rPr>
          <w:rFonts w:cs="Arial"/>
          <w:bCs/>
          <w:color w:val="000000"/>
          <w:sz w:val="24"/>
        </w:rPr>
        <w:t>Destacar que</w:t>
      </w:r>
      <w:r w:rsidR="00B34693" w:rsidRPr="00152EEA">
        <w:rPr>
          <w:rFonts w:cs="Arial"/>
          <w:bCs/>
          <w:color w:val="000000"/>
          <w:sz w:val="24"/>
        </w:rPr>
        <w:t xml:space="preserve"> una empresa</w:t>
      </w:r>
      <w:r w:rsidR="004D0AD9">
        <w:rPr>
          <w:rFonts w:cs="Arial"/>
          <w:bCs/>
          <w:color w:val="000000"/>
          <w:sz w:val="24"/>
        </w:rPr>
        <w:t xml:space="preserve"> MYPE (8</w:t>
      </w:r>
      <w:r w:rsidRPr="00152EEA">
        <w:rPr>
          <w:rFonts w:cs="Arial"/>
          <w:bCs/>
          <w:color w:val="000000"/>
          <w:sz w:val="24"/>
        </w:rPr>
        <w:t>%),</w:t>
      </w:r>
      <w:r w:rsidR="00071804" w:rsidRPr="00152EEA">
        <w:rPr>
          <w:rFonts w:cs="Arial"/>
          <w:bCs/>
          <w:color w:val="000000"/>
          <w:sz w:val="24"/>
        </w:rPr>
        <w:t xml:space="preserve"> utiliza</w:t>
      </w:r>
      <w:r w:rsidR="008913F8" w:rsidRPr="00152EEA">
        <w:rPr>
          <w:rFonts w:cs="Arial"/>
          <w:bCs/>
          <w:color w:val="000000"/>
          <w:sz w:val="24"/>
        </w:rPr>
        <w:t xml:space="preserve"> </w:t>
      </w:r>
      <w:r w:rsidRPr="00152EEA">
        <w:rPr>
          <w:rFonts w:cs="Arial"/>
          <w:bCs/>
          <w:color w:val="000000"/>
          <w:sz w:val="24"/>
        </w:rPr>
        <w:t xml:space="preserve">un panel solar como alternativa de </w:t>
      </w:r>
      <w:r w:rsidR="008913F8" w:rsidRPr="00152EEA">
        <w:rPr>
          <w:rFonts w:cs="Arial"/>
          <w:bCs/>
          <w:color w:val="000000"/>
          <w:sz w:val="24"/>
        </w:rPr>
        <w:t>energía no</w:t>
      </w:r>
      <w:r w:rsidRPr="00152EEA">
        <w:rPr>
          <w:rFonts w:cs="Arial"/>
          <w:bCs/>
          <w:color w:val="000000"/>
          <w:sz w:val="24"/>
        </w:rPr>
        <w:t xml:space="preserve"> </w:t>
      </w:r>
      <w:r w:rsidRPr="004633B8">
        <w:rPr>
          <w:rFonts w:cs="Arial"/>
          <w:bCs/>
          <w:color w:val="000000"/>
          <w:sz w:val="24"/>
        </w:rPr>
        <w:t xml:space="preserve">convencional. La energía que produce es empleada </w:t>
      </w:r>
      <w:r w:rsidR="008913F8" w:rsidRPr="004633B8">
        <w:rPr>
          <w:rFonts w:cs="Arial"/>
          <w:bCs/>
          <w:color w:val="000000"/>
          <w:sz w:val="24"/>
        </w:rPr>
        <w:t>para luminarias</w:t>
      </w:r>
      <w:r w:rsidR="0045338B" w:rsidRPr="004633B8">
        <w:rPr>
          <w:rFonts w:cs="Arial"/>
          <w:bCs/>
          <w:color w:val="000000"/>
          <w:sz w:val="24"/>
        </w:rPr>
        <w:t>. (Figura 2</w:t>
      </w:r>
      <w:r w:rsidR="000A1A8E">
        <w:rPr>
          <w:rFonts w:cs="Arial"/>
          <w:bCs/>
          <w:color w:val="000000"/>
          <w:sz w:val="24"/>
        </w:rPr>
        <w:t>8</w:t>
      </w:r>
      <w:r w:rsidR="0045338B" w:rsidRPr="004633B8">
        <w:rPr>
          <w:rFonts w:cs="Arial"/>
          <w:bCs/>
          <w:color w:val="000000"/>
          <w:sz w:val="24"/>
        </w:rPr>
        <w:t>).</w:t>
      </w:r>
      <w:r w:rsidR="00B34693" w:rsidRPr="00071804">
        <w:rPr>
          <w:rFonts w:cs="Arial"/>
          <w:bCs/>
          <w:color w:val="000000"/>
          <w:sz w:val="24"/>
        </w:rPr>
        <w:t xml:space="preserve"> </w:t>
      </w:r>
    </w:p>
    <w:p w14:paraId="7E953DAD" w14:textId="77777777" w:rsidR="00B34693" w:rsidRDefault="00B34693" w:rsidP="00B34693">
      <w:pPr>
        <w:pStyle w:val="Encabezado"/>
        <w:jc w:val="both"/>
        <w:rPr>
          <w:rFonts w:cs="Arial"/>
          <w:bCs/>
          <w:color w:val="000000"/>
          <w:sz w:val="24"/>
        </w:rPr>
      </w:pPr>
    </w:p>
    <w:p w14:paraId="5171BB18" w14:textId="18EE140B" w:rsidR="00B34693" w:rsidRDefault="00B34693" w:rsidP="003A0EC5">
      <w:pPr>
        <w:pStyle w:val="Encabezado"/>
        <w:ind w:firstLine="709"/>
        <w:jc w:val="both"/>
        <w:rPr>
          <w:highlight w:val="yellow"/>
          <w:lang w:eastAsia="es-CL"/>
        </w:rPr>
      </w:pPr>
    </w:p>
    <w:p w14:paraId="6242BFF4" w14:textId="3C42BE3D" w:rsidR="003A0EC5" w:rsidRPr="007A53AB" w:rsidRDefault="003A0EC5" w:rsidP="003A0EC5">
      <w:pPr>
        <w:pStyle w:val="Encabezado"/>
        <w:ind w:firstLine="709"/>
        <w:jc w:val="both"/>
        <w:rPr>
          <w:highlight w:val="yellow"/>
          <w:lang w:eastAsia="es-CL"/>
        </w:rPr>
      </w:pPr>
      <w:r>
        <w:rPr>
          <w:noProof/>
          <w:lang w:val="es-CL" w:eastAsia="es-CL"/>
        </w:rPr>
        <w:lastRenderedPageBreak/>
        <w:drawing>
          <wp:inline distT="0" distB="0" distL="0" distR="0" wp14:anchorId="6788EE58" wp14:editId="472CD133">
            <wp:extent cx="2372265" cy="4382219"/>
            <wp:effectExtent l="0" t="0" r="9525" b="18415"/>
            <wp:docPr id="5126" name="Gráfico 5126"/>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r>
        <w:rPr>
          <w:noProof/>
          <w:lang w:val="es-CL" w:eastAsia="es-CL"/>
        </w:rPr>
        <w:drawing>
          <wp:inline distT="0" distB="0" distL="0" distR="0" wp14:anchorId="46DF2679" wp14:editId="1D626633">
            <wp:extent cx="2346385" cy="4382219"/>
            <wp:effectExtent l="0" t="0" r="15875" b="18415"/>
            <wp:docPr id="5127" name="Gráfico 5127"/>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14:paraId="132374F8" w14:textId="12EB0385" w:rsidR="00B34693" w:rsidRDefault="009371DE" w:rsidP="00B34693">
      <w:pPr>
        <w:pStyle w:val="Encabezado"/>
        <w:jc w:val="both"/>
        <w:rPr>
          <w:rFonts w:cs="Arial"/>
          <w:bCs/>
          <w:color w:val="000000"/>
          <w:sz w:val="24"/>
        </w:rPr>
      </w:pPr>
      <w:r w:rsidRPr="0045338B">
        <w:rPr>
          <w:rFonts w:cs="Arial"/>
          <w:b/>
          <w:bCs/>
          <w:color w:val="000000"/>
          <w:sz w:val="24"/>
        </w:rPr>
        <w:t xml:space="preserve">Figura </w:t>
      </w:r>
      <w:r w:rsidR="000A1A8E">
        <w:rPr>
          <w:rFonts w:cs="Arial"/>
          <w:b/>
          <w:bCs/>
          <w:color w:val="000000"/>
          <w:sz w:val="24"/>
        </w:rPr>
        <w:t>28</w:t>
      </w:r>
      <w:r w:rsidR="00313B13">
        <w:rPr>
          <w:rFonts w:cs="Arial"/>
          <w:bCs/>
          <w:color w:val="000000"/>
          <w:sz w:val="24"/>
        </w:rPr>
        <w:t xml:space="preserve">. </w:t>
      </w:r>
      <w:r w:rsidR="00B34693" w:rsidRPr="000E1B31">
        <w:rPr>
          <w:rFonts w:cs="Arial"/>
          <w:bCs/>
          <w:color w:val="000000"/>
          <w:sz w:val="24"/>
        </w:rPr>
        <w:t>Gestión de Eficiencia Energética</w:t>
      </w:r>
      <w:r w:rsidR="004633B8">
        <w:rPr>
          <w:rFonts w:cs="Arial"/>
          <w:bCs/>
          <w:color w:val="000000"/>
          <w:sz w:val="24"/>
        </w:rPr>
        <w:t xml:space="preserve"> (%).</w:t>
      </w:r>
    </w:p>
    <w:p w14:paraId="4B97FF6A" w14:textId="77777777" w:rsidR="00C25CED" w:rsidRPr="007A53AB" w:rsidRDefault="00C25CED" w:rsidP="00B34693">
      <w:pPr>
        <w:pStyle w:val="Encabezado"/>
        <w:jc w:val="both"/>
        <w:rPr>
          <w:rFonts w:cs="Arial"/>
          <w:bCs/>
          <w:color w:val="000000"/>
          <w:sz w:val="24"/>
        </w:rPr>
      </w:pPr>
    </w:p>
    <w:p w14:paraId="524AFB20" w14:textId="77777777" w:rsidR="00B34693" w:rsidRPr="007A53AB" w:rsidRDefault="00B34693" w:rsidP="00B34693">
      <w:pPr>
        <w:pStyle w:val="Encabezado"/>
        <w:jc w:val="both"/>
        <w:rPr>
          <w:rFonts w:cs="Arial"/>
          <w:bCs/>
          <w:color w:val="000000"/>
          <w:sz w:val="24"/>
        </w:rPr>
      </w:pPr>
    </w:p>
    <w:p w14:paraId="37E41DC6" w14:textId="77777777" w:rsidR="000E1B31" w:rsidRDefault="000E1B31" w:rsidP="00404256">
      <w:pPr>
        <w:pStyle w:val="Encabezado"/>
        <w:jc w:val="both"/>
      </w:pPr>
    </w:p>
    <w:p w14:paraId="38AFF2C7" w14:textId="3E1A2A1B" w:rsidR="00082B2B" w:rsidRPr="004B184E" w:rsidRDefault="006C5618" w:rsidP="00E31A3F">
      <w:pPr>
        <w:pStyle w:val="Ttulo2"/>
        <w:rPr>
          <w:b w:val="0"/>
          <w:sz w:val="32"/>
          <w:szCs w:val="32"/>
          <w:lang w:eastAsia="es-CL"/>
        </w:rPr>
      </w:pPr>
      <w:bookmarkStart w:id="21" w:name="_Toc471999127"/>
      <w:r w:rsidRPr="004B184E">
        <w:rPr>
          <w:b w:val="0"/>
          <w:sz w:val="32"/>
          <w:szCs w:val="32"/>
          <w:lang w:eastAsia="es-CL"/>
        </w:rPr>
        <w:t>Valorización de Residuos</w:t>
      </w:r>
      <w:bookmarkEnd w:id="21"/>
    </w:p>
    <w:p w14:paraId="7DDD20AA" w14:textId="77777777" w:rsidR="007C2A2A" w:rsidRDefault="007C2A2A" w:rsidP="00404256">
      <w:pPr>
        <w:pStyle w:val="Encabezado"/>
        <w:jc w:val="both"/>
      </w:pPr>
    </w:p>
    <w:p w14:paraId="0D78AEDF" w14:textId="455702A1" w:rsidR="006054FE" w:rsidRPr="00152EEA" w:rsidRDefault="006054FE" w:rsidP="004A28A7">
      <w:pPr>
        <w:pStyle w:val="Encabezado"/>
        <w:spacing w:line="276" w:lineRule="auto"/>
        <w:ind w:firstLine="709"/>
        <w:jc w:val="both"/>
        <w:rPr>
          <w:rFonts w:cs="Arial"/>
          <w:bCs/>
          <w:color w:val="000000"/>
          <w:sz w:val="24"/>
        </w:rPr>
      </w:pPr>
      <w:r w:rsidRPr="00152EEA">
        <w:rPr>
          <w:rFonts w:cs="Arial"/>
          <w:bCs/>
          <w:color w:val="000000"/>
          <w:sz w:val="24"/>
        </w:rPr>
        <w:t>La Ley N° 20.920/2016</w:t>
      </w:r>
      <w:r w:rsidR="000E1B31" w:rsidRPr="00152EEA">
        <w:rPr>
          <w:rFonts w:cs="Arial"/>
          <w:bCs/>
          <w:color w:val="000000"/>
          <w:sz w:val="24"/>
        </w:rPr>
        <w:t>,</w:t>
      </w:r>
      <w:r w:rsidRPr="00152EEA">
        <w:rPr>
          <w:rFonts w:cs="Arial"/>
          <w:bCs/>
          <w:color w:val="000000"/>
          <w:sz w:val="24"/>
        </w:rPr>
        <w:t xml:space="preserve"> “Establece marco para la gestión de residuos de la responsabilidad del pr</w:t>
      </w:r>
      <w:r w:rsidR="00313B13" w:rsidRPr="00152EEA">
        <w:rPr>
          <w:rFonts w:cs="Arial"/>
          <w:bCs/>
          <w:color w:val="000000"/>
          <w:sz w:val="24"/>
        </w:rPr>
        <w:t>oductor y fomento al reciclaje” y d</w:t>
      </w:r>
      <w:r w:rsidRPr="00152EEA">
        <w:rPr>
          <w:rFonts w:cs="Arial"/>
          <w:bCs/>
          <w:color w:val="000000"/>
          <w:sz w:val="24"/>
        </w:rPr>
        <w:t>efine Valorización como el conjunto de acciones cuyo objetivo es recuperar un residuo, uno o varios de los materiales que lo componen y/o el poder calorífico de los mismos. La valorización comprende la preparación para la reutilización, el reciclaje y la valorización energética.</w:t>
      </w:r>
    </w:p>
    <w:p w14:paraId="080AF811" w14:textId="77777777" w:rsidR="00FE39F0" w:rsidRPr="00152EEA" w:rsidRDefault="00FE39F0" w:rsidP="000C4731">
      <w:pPr>
        <w:pStyle w:val="Encabezado"/>
        <w:spacing w:line="276" w:lineRule="auto"/>
        <w:jc w:val="both"/>
        <w:rPr>
          <w:rFonts w:cs="Arial"/>
          <w:bCs/>
          <w:color w:val="000000"/>
          <w:sz w:val="24"/>
        </w:rPr>
      </w:pPr>
    </w:p>
    <w:p w14:paraId="35A551DD" w14:textId="289532AC" w:rsidR="00151887" w:rsidRDefault="00FE39F0" w:rsidP="00843932">
      <w:pPr>
        <w:pStyle w:val="Encabezado"/>
        <w:spacing w:line="276" w:lineRule="auto"/>
        <w:ind w:firstLine="709"/>
        <w:jc w:val="both"/>
        <w:rPr>
          <w:rFonts w:cs="Arial"/>
          <w:bCs/>
          <w:color w:val="000000"/>
          <w:sz w:val="24"/>
        </w:rPr>
      </w:pPr>
      <w:r w:rsidRPr="00152EEA">
        <w:rPr>
          <w:rFonts w:cs="Arial"/>
          <w:bCs/>
          <w:color w:val="000000"/>
          <w:sz w:val="24"/>
        </w:rPr>
        <w:t xml:space="preserve">Al consultar a las empresas sobre la valorización de residuos, se evidenció que </w:t>
      </w:r>
      <w:r w:rsidR="00A33912">
        <w:rPr>
          <w:rFonts w:cs="Arial"/>
          <w:bCs/>
          <w:color w:val="000000"/>
          <w:sz w:val="24"/>
        </w:rPr>
        <w:t>9 centros de cultivo MYPE (69%), reutiliza i</w:t>
      </w:r>
      <w:r w:rsidR="007D63F8" w:rsidRPr="00152EEA">
        <w:rPr>
          <w:rFonts w:cs="Arial"/>
          <w:bCs/>
          <w:color w:val="000000"/>
          <w:sz w:val="24"/>
        </w:rPr>
        <w:t>nterna</w:t>
      </w:r>
      <w:r w:rsidR="00A33912">
        <w:rPr>
          <w:rFonts w:cs="Arial"/>
          <w:bCs/>
          <w:color w:val="000000"/>
          <w:sz w:val="24"/>
        </w:rPr>
        <w:t>mente sus residuos y</w:t>
      </w:r>
      <w:r w:rsidR="007D63F8" w:rsidRPr="00152EEA">
        <w:rPr>
          <w:rFonts w:cs="Arial"/>
          <w:bCs/>
          <w:color w:val="000000"/>
          <w:sz w:val="24"/>
        </w:rPr>
        <w:t xml:space="preserve"> </w:t>
      </w:r>
      <w:r w:rsidR="00A33912">
        <w:rPr>
          <w:rFonts w:cs="Arial"/>
          <w:bCs/>
          <w:color w:val="000000"/>
          <w:sz w:val="24"/>
        </w:rPr>
        <w:t xml:space="preserve">los cultivos Grande, 4 </w:t>
      </w:r>
      <w:r w:rsidR="00A33912">
        <w:rPr>
          <w:rFonts w:cs="Arial"/>
          <w:bCs/>
          <w:color w:val="000000"/>
          <w:sz w:val="24"/>
        </w:rPr>
        <w:lastRenderedPageBreak/>
        <w:t>centros</w:t>
      </w:r>
      <w:r w:rsidR="00313B13" w:rsidRPr="00152EEA">
        <w:rPr>
          <w:rFonts w:cs="Arial"/>
          <w:bCs/>
          <w:color w:val="000000"/>
          <w:sz w:val="24"/>
        </w:rPr>
        <w:t xml:space="preserve"> </w:t>
      </w:r>
      <w:r w:rsidR="00A33912">
        <w:rPr>
          <w:rFonts w:cs="Arial"/>
          <w:bCs/>
          <w:color w:val="000000"/>
          <w:sz w:val="24"/>
        </w:rPr>
        <w:t>(40</w:t>
      </w:r>
      <w:r w:rsidR="00A33912" w:rsidRPr="000A1A8E">
        <w:rPr>
          <w:rFonts w:cs="Arial"/>
          <w:bCs/>
          <w:color w:val="000000"/>
          <w:sz w:val="24"/>
        </w:rPr>
        <w:t>%</w:t>
      </w:r>
      <w:r w:rsidR="007D63F8" w:rsidRPr="000A1A8E">
        <w:rPr>
          <w:rFonts w:cs="Arial"/>
          <w:bCs/>
          <w:color w:val="000000"/>
          <w:sz w:val="24"/>
        </w:rPr>
        <w:t>)</w:t>
      </w:r>
      <w:r w:rsidR="00A33912" w:rsidRPr="000A1A8E">
        <w:rPr>
          <w:rFonts w:cs="Arial"/>
          <w:bCs/>
          <w:color w:val="000000"/>
          <w:sz w:val="24"/>
        </w:rPr>
        <w:t xml:space="preserve">. </w:t>
      </w:r>
      <w:r w:rsidR="00AC7682" w:rsidRPr="000A1A8E">
        <w:rPr>
          <w:rFonts w:cs="Arial"/>
          <w:bCs/>
          <w:color w:val="000000"/>
          <w:sz w:val="24"/>
        </w:rPr>
        <w:t>(</w:t>
      </w:r>
      <w:r w:rsidR="004633B8" w:rsidRPr="000A1A8E">
        <w:rPr>
          <w:rFonts w:cs="Arial"/>
          <w:bCs/>
          <w:color w:val="000000"/>
          <w:sz w:val="24"/>
        </w:rPr>
        <w:t>Figura</w:t>
      </w:r>
      <w:r w:rsidR="000A1A8E" w:rsidRPr="000A1A8E">
        <w:rPr>
          <w:rFonts w:cs="Arial"/>
          <w:bCs/>
          <w:color w:val="000000"/>
          <w:sz w:val="24"/>
        </w:rPr>
        <w:t xml:space="preserve"> 29</w:t>
      </w:r>
      <w:r w:rsidR="00AC7682" w:rsidRPr="000A1A8E">
        <w:rPr>
          <w:rFonts w:cs="Arial"/>
          <w:bCs/>
          <w:color w:val="000000"/>
          <w:sz w:val="24"/>
        </w:rPr>
        <w:t>).</w:t>
      </w:r>
      <w:r w:rsidR="00843932">
        <w:rPr>
          <w:rFonts w:cs="Arial"/>
          <w:bCs/>
          <w:color w:val="000000"/>
          <w:sz w:val="24"/>
        </w:rPr>
        <w:t xml:space="preserve"> Además, se evidenció que 3 centros MYPE y Grande, </w:t>
      </w:r>
      <w:r w:rsidR="00843932" w:rsidRPr="000A1A8E">
        <w:rPr>
          <w:rFonts w:cs="Arial"/>
          <w:bCs/>
          <w:color w:val="000000"/>
          <w:sz w:val="24"/>
        </w:rPr>
        <w:t>23% y 20% respectivamente valorizan los residuos externamente.</w:t>
      </w:r>
      <w:r w:rsidR="00617117" w:rsidRPr="000A1A8E">
        <w:rPr>
          <w:rFonts w:cs="Arial"/>
          <w:bCs/>
          <w:color w:val="000000"/>
          <w:sz w:val="24"/>
        </w:rPr>
        <w:t xml:space="preserve"> (Figura </w:t>
      </w:r>
      <w:r w:rsidR="000A1A8E" w:rsidRPr="000A1A8E">
        <w:rPr>
          <w:rFonts w:cs="Arial"/>
          <w:bCs/>
          <w:color w:val="000000"/>
          <w:sz w:val="24"/>
        </w:rPr>
        <w:t>29</w:t>
      </w:r>
      <w:r w:rsidR="00617117" w:rsidRPr="000A1A8E">
        <w:rPr>
          <w:rFonts w:cs="Arial"/>
          <w:bCs/>
          <w:color w:val="000000"/>
          <w:sz w:val="24"/>
        </w:rPr>
        <w:t>).</w:t>
      </w:r>
    </w:p>
    <w:p w14:paraId="7DB2CB81" w14:textId="77777777" w:rsidR="00843932" w:rsidRDefault="00843932" w:rsidP="000C4731">
      <w:pPr>
        <w:pStyle w:val="Encabezado"/>
        <w:spacing w:line="276" w:lineRule="auto"/>
        <w:jc w:val="both"/>
        <w:rPr>
          <w:rFonts w:cs="Arial"/>
          <w:bCs/>
          <w:color w:val="000000"/>
          <w:sz w:val="24"/>
        </w:rPr>
      </w:pPr>
    </w:p>
    <w:p w14:paraId="7D42F4F9" w14:textId="388C8CAB" w:rsidR="00A33912" w:rsidRDefault="00A33912" w:rsidP="004A28A7">
      <w:pPr>
        <w:pStyle w:val="Encabezado"/>
        <w:spacing w:line="276" w:lineRule="auto"/>
        <w:ind w:firstLine="426"/>
        <w:jc w:val="both"/>
        <w:rPr>
          <w:rFonts w:cs="Arial"/>
          <w:bCs/>
          <w:color w:val="000000"/>
          <w:sz w:val="24"/>
        </w:rPr>
      </w:pPr>
      <w:r>
        <w:rPr>
          <w:rFonts w:cs="Arial"/>
          <w:bCs/>
          <w:color w:val="000000"/>
          <w:sz w:val="24"/>
        </w:rPr>
        <w:t>El 8% de los centros de cultivo</w:t>
      </w:r>
      <w:r w:rsidR="000E1B31" w:rsidRPr="00152EEA">
        <w:rPr>
          <w:rFonts w:cs="Arial"/>
          <w:bCs/>
          <w:color w:val="000000"/>
          <w:sz w:val="24"/>
        </w:rPr>
        <w:t xml:space="preserve"> </w:t>
      </w:r>
      <w:r>
        <w:rPr>
          <w:rFonts w:cs="Arial"/>
          <w:bCs/>
          <w:color w:val="000000"/>
          <w:sz w:val="24"/>
        </w:rPr>
        <w:t xml:space="preserve"> MYPE (1 empresa)  y el 10%  de los centros categoría Grande (1 empresa), </w:t>
      </w:r>
      <w:r w:rsidR="000E1B31" w:rsidRPr="00152EEA">
        <w:rPr>
          <w:rFonts w:cs="Arial"/>
          <w:bCs/>
          <w:color w:val="000000"/>
          <w:sz w:val="24"/>
        </w:rPr>
        <w:t>indica</w:t>
      </w:r>
      <w:r>
        <w:rPr>
          <w:rFonts w:cs="Arial"/>
          <w:bCs/>
          <w:color w:val="000000"/>
          <w:sz w:val="24"/>
        </w:rPr>
        <w:t>n</w:t>
      </w:r>
      <w:r w:rsidR="000E1B31" w:rsidRPr="00152EEA">
        <w:rPr>
          <w:rFonts w:cs="Arial"/>
          <w:bCs/>
          <w:color w:val="000000"/>
          <w:sz w:val="24"/>
        </w:rPr>
        <w:t xml:space="preserve"> que existen propuestas para valorizar otros residuos</w:t>
      </w:r>
      <w:r>
        <w:rPr>
          <w:rFonts w:cs="Arial"/>
          <w:bCs/>
          <w:color w:val="000000"/>
          <w:sz w:val="24"/>
        </w:rPr>
        <w:t>.</w:t>
      </w:r>
      <w:r w:rsidRPr="00A33912">
        <w:rPr>
          <w:rFonts w:cs="Arial"/>
          <w:bCs/>
          <w:color w:val="000000"/>
          <w:sz w:val="24"/>
        </w:rPr>
        <w:t xml:space="preserve"> </w:t>
      </w:r>
      <w:r>
        <w:rPr>
          <w:rFonts w:cs="Arial"/>
          <w:bCs/>
          <w:color w:val="000000"/>
          <w:sz w:val="24"/>
        </w:rPr>
        <w:t>(</w:t>
      </w:r>
      <w:r w:rsidRPr="00A57894">
        <w:rPr>
          <w:rFonts w:cs="Arial"/>
          <w:bCs/>
          <w:color w:val="000000"/>
          <w:sz w:val="24"/>
        </w:rPr>
        <w:t>Figura 2</w:t>
      </w:r>
      <w:r w:rsidR="00A57894" w:rsidRPr="00A57894">
        <w:rPr>
          <w:rFonts w:cs="Arial"/>
          <w:bCs/>
          <w:color w:val="000000"/>
          <w:sz w:val="24"/>
        </w:rPr>
        <w:t>9</w:t>
      </w:r>
      <w:r>
        <w:rPr>
          <w:rFonts w:cs="Arial"/>
          <w:bCs/>
          <w:color w:val="000000"/>
          <w:sz w:val="24"/>
        </w:rPr>
        <w:t>)</w:t>
      </w:r>
    </w:p>
    <w:p w14:paraId="01E3AC28" w14:textId="77777777" w:rsidR="00617117" w:rsidRDefault="00617117" w:rsidP="004A28A7">
      <w:pPr>
        <w:pStyle w:val="Encabezado"/>
        <w:spacing w:line="276" w:lineRule="auto"/>
        <w:ind w:firstLine="426"/>
        <w:jc w:val="both"/>
        <w:rPr>
          <w:rFonts w:cs="Arial"/>
          <w:bCs/>
          <w:color w:val="000000"/>
          <w:sz w:val="24"/>
        </w:rPr>
      </w:pPr>
    </w:p>
    <w:p w14:paraId="16502EC2" w14:textId="0EECF636" w:rsidR="00617117" w:rsidRDefault="00617117" w:rsidP="004A28A7">
      <w:pPr>
        <w:pStyle w:val="Encabezado"/>
        <w:spacing w:line="276" w:lineRule="auto"/>
        <w:ind w:firstLine="426"/>
        <w:jc w:val="both"/>
        <w:rPr>
          <w:rFonts w:cs="Arial"/>
          <w:bCs/>
          <w:color w:val="000000"/>
          <w:sz w:val="24"/>
        </w:rPr>
      </w:pPr>
      <w:r>
        <w:rPr>
          <w:rFonts w:cs="Arial"/>
          <w:bCs/>
          <w:color w:val="000000"/>
          <w:sz w:val="24"/>
        </w:rPr>
        <w:t xml:space="preserve">Cabe señalar que los principales residuos de los centros de cultivo están compuestos por restos de cabo y red, flotadores de </w:t>
      </w:r>
      <w:proofErr w:type="spellStart"/>
      <w:r>
        <w:rPr>
          <w:rFonts w:cs="Arial"/>
          <w:bCs/>
          <w:color w:val="000000"/>
          <w:sz w:val="24"/>
        </w:rPr>
        <w:t>plumavit</w:t>
      </w:r>
      <w:proofErr w:type="spellEnd"/>
      <w:r>
        <w:rPr>
          <w:rFonts w:cs="Arial"/>
          <w:bCs/>
          <w:color w:val="000000"/>
          <w:sz w:val="24"/>
        </w:rPr>
        <w:t>, boya</w:t>
      </w:r>
      <w:r w:rsidR="000A1A8E">
        <w:rPr>
          <w:rFonts w:cs="Arial"/>
          <w:bCs/>
          <w:color w:val="000000"/>
          <w:sz w:val="24"/>
        </w:rPr>
        <w:t>s</w:t>
      </w:r>
      <w:r>
        <w:rPr>
          <w:rFonts w:cs="Arial"/>
          <w:bCs/>
          <w:color w:val="000000"/>
          <w:sz w:val="24"/>
        </w:rPr>
        <w:t xml:space="preserve"> plásticas y estructuras metálicas. </w:t>
      </w:r>
    </w:p>
    <w:p w14:paraId="037E65DE" w14:textId="77777777" w:rsidR="004D693A" w:rsidRDefault="004D693A" w:rsidP="00617117">
      <w:pPr>
        <w:pStyle w:val="Encabezado"/>
        <w:spacing w:line="276" w:lineRule="auto"/>
        <w:jc w:val="both"/>
        <w:rPr>
          <w:rFonts w:cs="Arial"/>
          <w:bCs/>
          <w:color w:val="000000"/>
          <w:sz w:val="24"/>
        </w:rPr>
      </w:pPr>
    </w:p>
    <w:p w14:paraId="666B3A73" w14:textId="51576EA5" w:rsidR="00190ADE" w:rsidRPr="007A53AB" w:rsidRDefault="004D693A" w:rsidP="00A6124F">
      <w:pPr>
        <w:pStyle w:val="Encabezado"/>
        <w:spacing w:line="276" w:lineRule="auto"/>
        <w:ind w:firstLine="709"/>
        <w:jc w:val="both"/>
        <w:rPr>
          <w:highlight w:val="yellow"/>
          <w:lang w:eastAsia="es-CL"/>
        </w:rPr>
      </w:pPr>
      <w:r>
        <w:rPr>
          <w:noProof/>
          <w:lang w:val="es-CL" w:eastAsia="es-CL"/>
        </w:rPr>
        <w:drawing>
          <wp:inline distT="0" distB="0" distL="0" distR="0" wp14:anchorId="6899135D" wp14:editId="23EB626D">
            <wp:extent cx="2457450" cy="2714625"/>
            <wp:effectExtent l="0" t="0" r="19050" b="9525"/>
            <wp:docPr id="5128" name="Gráfico 5128"/>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r>
        <w:rPr>
          <w:noProof/>
          <w:lang w:val="es-CL" w:eastAsia="es-CL"/>
        </w:rPr>
        <w:drawing>
          <wp:inline distT="0" distB="0" distL="0" distR="0" wp14:anchorId="43957A9E" wp14:editId="799A470B">
            <wp:extent cx="2457450" cy="2714625"/>
            <wp:effectExtent l="0" t="0" r="19050" b="9525"/>
            <wp:docPr id="5129" name="Gráfico 5129"/>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bookmarkEnd w:id="1"/>
    </w:p>
    <w:p w14:paraId="12C735D9" w14:textId="7FE4FDE3" w:rsidR="007D63F8" w:rsidRDefault="00190ADE" w:rsidP="00190ADE">
      <w:pPr>
        <w:pStyle w:val="Encabezado"/>
        <w:rPr>
          <w:rFonts w:cs="Arial"/>
          <w:bCs/>
          <w:color w:val="000000"/>
          <w:sz w:val="24"/>
        </w:rPr>
      </w:pPr>
      <w:r w:rsidRPr="007F6A01">
        <w:rPr>
          <w:rFonts w:cs="Arial"/>
          <w:b/>
          <w:bCs/>
          <w:color w:val="000000"/>
          <w:sz w:val="24"/>
        </w:rPr>
        <w:t xml:space="preserve">Figura </w:t>
      </w:r>
      <w:r w:rsidR="007C2A2A">
        <w:rPr>
          <w:rFonts w:cs="Arial"/>
          <w:b/>
          <w:bCs/>
          <w:color w:val="000000"/>
          <w:sz w:val="24"/>
        </w:rPr>
        <w:t>2</w:t>
      </w:r>
      <w:r w:rsidR="000A1A8E">
        <w:rPr>
          <w:rFonts w:cs="Arial"/>
          <w:b/>
          <w:bCs/>
          <w:color w:val="000000"/>
          <w:sz w:val="24"/>
        </w:rPr>
        <w:t>9</w:t>
      </w:r>
      <w:r w:rsidRPr="007F6A01">
        <w:rPr>
          <w:rFonts w:cs="Arial"/>
          <w:b/>
          <w:bCs/>
          <w:color w:val="000000"/>
          <w:sz w:val="24"/>
        </w:rPr>
        <w:t>.</w:t>
      </w:r>
      <w:r>
        <w:rPr>
          <w:rFonts w:cs="Arial"/>
          <w:bCs/>
          <w:color w:val="000000"/>
          <w:sz w:val="24"/>
        </w:rPr>
        <w:t xml:space="preserve"> </w:t>
      </w:r>
      <w:r w:rsidR="00730462" w:rsidRPr="00B9749D">
        <w:rPr>
          <w:rFonts w:cs="Arial"/>
          <w:bCs/>
          <w:color w:val="000000"/>
          <w:sz w:val="24"/>
        </w:rPr>
        <w:t>Valorización de residuos</w:t>
      </w:r>
      <w:r w:rsidR="00FB5D96">
        <w:rPr>
          <w:rFonts w:cs="Arial"/>
          <w:bCs/>
          <w:color w:val="000000"/>
          <w:sz w:val="24"/>
        </w:rPr>
        <w:t xml:space="preserve"> (%).</w:t>
      </w:r>
    </w:p>
    <w:p w14:paraId="6A4246E4" w14:textId="7F6984D8" w:rsidR="001D4D13" w:rsidRDefault="00190ADE" w:rsidP="00190ADE">
      <w:pPr>
        <w:pStyle w:val="Encabezado"/>
        <w:rPr>
          <w:rFonts w:cs="Arial"/>
          <w:bCs/>
          <w:color w:val="000000"/>
          <w:sz w:val="24"/>
        </w:rPr>
      </w:pPr>
      <w:r>
        <w:rPr>
          <w:rFonts w:cs="Arial"/>
          <w:bCs/>
          <w:color w:val="000000"/>
          <w:sz w:val="24"/>
        </w:rPr>
        <w:t xml:space="preserve"> </w:t>
      </w:r>
    </w:p>
    <w:p w14:paraId="6ACF0A21" w14:textId="77777777" w:rsidR="00020D17" w:rsidRDefault="00020D17" w:rsidP="00190ADE">
      <w:pPr>
        <w:pStyle w:val="Encabezado"/>
        <w:rPr>
          <w:lang w:eastAsia="es-CL"/>
        </w:rPr>
      </w:pPr>
    </w:p>
    <w:p w14:paraId="2D574308" w14:textId="77777777" w:rsidR="00AA617B" w:rsidRDefault="00AA617B" w:rsidP="00190ADE">
      <w:pPr>
        <w:pStyle w:val="Encabezado"/>
        <w:rPr>
          <w:lang w:eastAsia="es-CL"/>
        </w:rPr>
      </w:pPr>
    </w:p>
    <w:p w14:paraId="575E7B43" w14:textId="0BA697AF" w:rsidR="00190ADE" w:rsidRPr="004B184E" w:rsidRDefault="00190ADE" w:rsidP="00E31A3F">
      <w:pPr>
        <w:pStyle w:val="Ttulo2"/>
        <w:rPr>
          <w:b w:val="0"/>
          <w:sz w:val="32"/>
          <w:szCs w:val="32"/>
          <w:lang w:eastAsia="es-CL"/>
        </w:rPr>
      </w:pPr>
      <w:bookmarkStart w:id="22" w:name="_Toc471999128"/>
      <w:r w:rsidRPr="004B184E">
        <w:rPr>
          <w:b w:val="0"/>
          <w:sz w:val="32"/>
          <w:szCs w:val="32"/>
          <w:lang w:eastAsia="es-CL"/>
        </w:rPr>
        <w:t>Gestión de emisiones atmosféricas</w:t>
      </w:r>
      <w:bookmarkEnd w:id="22"/>
    </w:p>
    <w:p w14:paraId="36842DAC" w14:textId="77777777" w:rsidR="00127DCD" w:rsidRDefault="00127DCD" w:rsidP="001D4D13">
      <w:pPr>
        <w:pStyle w:val="Encabezado"/>
        <w:jc w:val="both"/>
        <w:rPr>
          <w:rFonts w:cs="Arial"/>
          <w:bCs/>
          <w:color w:val="000000"/>
          <w:sz w:val="24"/>
        </w:rPr>
      </w:pPr>
    </w:p>
    <w:p w14:paraId="071173BB" w14:textId="0AD09541" w:rsidR="00A8571C" w:rsidRDefault="00A8571C" w:rsidP="004A28A7">
      <w:pPr>
        <w:pStyle w:val="Encabezado"/>
        <w:spacing w:line="276" w:lineRule="auto"/>
        <w:ind w:firstLine="709"/>
        <w:jc w:val="both"/>
        <w:rPr>
          <w:rFonts w:cs="Arial"/>
          <w:bCs/>
          <w:color w:val="000000"/>
          <w:sz w:val="24"/>
        </w:rPr>
      </w:pPr>
      <w:r w:rsidRPr="00152EEA">
        <w:rPr>
          <w:rFonts w:cs="Arial"/>
          <w:bCs/>
          <w:color w:val="000000"/>
          <w:sz w:val="24"/>
        </w:rPr>
        <w:t xml:space="preserve">El Ministerio de Salud de Chile considera imperativo y primordial realizar el </w:t>
      </w:r>
      <w:r w:rsidR="00A56690" w:rsidRPr="00152EEA">
        <w:rPr>
          <w:rFonts w:cs="Arial"/>
          <w:bCs/>
          <w:color w:val="000000"/>
          <w:sz w:val="24"/>
        </w:rPr>
        <w:t>diagnóstico</w:t>
      </w:r>
      <w:r w:rsidRPr="00152EEA">
        <w:rPr>
          <w:rFonts w:cs="Arial"/>
          <w:bCs/>
          <w:color w:val="000000"/>
          <w:sz w:val="24"/>
        </w:rPr>
        <w:t xml:space="preserve"> de los contaminantes emitidos a la atmósfera por las fuentes fijas, cuyo objetivo es contar con antecedentes confiables que le permitan adoptar las medidas más adecuadas y eficaces para controlar riesgos a la salud de las personas.</w:t>
      </w:r>
    </w:p>
    <w:p w14:paraId="47FABC87" w14:textId="77777777" w:rsidR="00A57894" w:rsidRDefault="00A57894" w:rsidP="00A57894">
      <w:pPr>
        <w:pStyle w:val="Encabezado"/>
        <w:spacing w:line="276" w:lineRule="auto"/>
        <w:jc w:val="both"/>
        <w:rPr>
          <w:rFonts w:cs="Arial"/>
          <w:bCs/>
          <w:color w:val="000000"/>
          <w:sz w:val="24"/>
        </w:rPr>
      </w:pPr>
    </w:p>
    <w:p w14:paraId="63338176" w14:textId="77887943" w:rsidR="00116403" w:rsidRPr="00152EEA" w:rsidRDefault="0070015E" w:rsidP="00A57894">
      <w:pPr>
        <w:pStyle w:val="Encabezado"/>
        <w:spacing w:line="276" w:lineRule="auto"/>
        <w:jc w:val="both"/>
        <w:rPr>
          <w:rFonts w:cs="Arial"/>
          <w:bCs/>
          <w:color w:val="000000"/>
          <w:sz w:val="24"/>
        </w:rPr>
      </w:pPr>
      <w:r w:rsidRPr="00152EEA">
        <w:rPr>
          <w:rFonts w:cs="Arial"/>
          <w:bCs/>
          <w:color w:val="000000"/>
          <w:sz w:val="24"/>
        </w:rPr>
        <w:t xml:space="preserve">Los </w:t>
      </w:r>
      <w:r w:rsidR="00116403" w:rsidRPr="00152EEA">
        <w:rPr>
          <w:rFonts w:cs="Arial"/>
          <w:bCs/>
          <w:color w:val="000000"/>
          <w:sz w:val="24"/>
        </w:rPr>
        <w:t>gases efecto invernadero (GEI), son responsables del cambio climático, el cual es atribuido directa o indirectamente a la actividad humana que altera la composición de la atmósfera mundial y que se suma a la variabilidad natural del clima observada durante períodos de tiempo comparables.</w:t>
      </w:r>
    </w:p>
    <w:p w14:paraId="4A69A2FC" w14:textId="77777777" w:rsidR="00116403" w:rsidRPr="00152EEA" w:rsidRDefault="00116403" w:rsidP="000C4731">
      <w:pPr>
        <w:pStyle w:val="Encabezado"/>
        <w:spacing w:line="276" w:lineRule="auto"/>
        <w:jc w:val="both"/>
        <w:rPr>
          <w:rFonts w:cs="Arial"/>
          <w:bCs/>
          <w:color w:val="000000"/>
          <w:sz w:val="24"/>
        </w:rPr>
      </w:pPr>
    </w:p>
    <w:p w14:paraId="49DE275C" w14:textId="66B21043" w:rsidR="00116403" w:rsidRPr="00152EEA" w:rsidRDefault="00B01A5E" w:rsidP="004A28A7">
      <w:pPr>
        <w:pStyle w:val="Encabezado"/>
        <w:spacing w:line="276" w:lineRule="auto"/>
        <w:ind w:firstLine="709"/>
        <w:jc w:val="both"/>
        <w:rPr>
          <w:rFonts w:cs="Arial"/>
          <w:bCs/>
          <w:color w:val="000000"/>
          <w:sz w:val="24"/>
        </w:rPr>
      </w:pPr>
      <w:r w:rsidRPr="00152EEA">
        <w:rPr>
          <w:rFonts w:cs="Arial"/>
          <w:bCs/>
          <w:color w:val="000000"/>
          <w:sz w:val="24"/>
        </w:rPr>
        <w:t>Dentro de los gases que tienen la denominación de gases efecto invernadero (GEI) se encuentran</w:t>
      </w:r>
      <w:r w:rsidR="006717D3" w:rsidRPr="00152EEA">
        <w:rPr>
          <w:rFonts w:cs="Arial"/>
          <w:bCs/>
          <w:color w:val="000000"/>
          <w:sz w:val="24"/>
        </w:rPr>
        <w:t xml:space="preserve"> el vapor de agua, dióxido de carbono, metano, óxidos de nitrógeno, o</w:t>
      </w:r>
      <w:r w:rsidRPr="00152EEA">
        <w:rPr>
          <w:rFonts w:cs="Arial"/>
          <w:bCs/>
          <w:color w:val="000000"/>
          <w:sz w:val="24"/>
        </w:rPr>
        <w:t>zono,</w:t>
      </w:r>
      <w:r w:rsidR="00A25C33" w:rsidRPr="00152EEA">
        <w:t xml:space="preserve"> </w:t>
      </w:r>
      <w:r w:rsidR="00A25C33" w:rsidRPr="00152EEA">
        <w:rPr>
          <w:rFonts w:cs="Arial"/>
          <w:bCs/>
          <w:color w:val="000000"/>
          <w:sz w:val="24"/>
        </w:rPr>
        <w:t>clorofluorocarbonos, los cuales son derivados de los hidrocarburos saturados</w:t>
      </w:r>
      <w:r w:rsidRPr="00152EEA">
        <w:rPr>
          <w:rFonts w:cs="Arial"/>
          <w:bCs/>
          <w:color w:val="000000"/>
          <w:sz w:val="24"/>
        </w:rPr>
        <w:t xml:space="preserve"> </w:t>
      </w:r>
      <w:r w:rsidR="00A25C33" w:rsidRPr="00152EEA">
        <w:rPr>
          <w:rFonts w:cs="Arial"/>
          <w:bCs/>
          <w:color w:val="000000"/>
          <w:sz w:val="24"/>
        </w:rPr>
        <w:t>(</w:t>
      </w:r>
      <w:proofErr w:type="spellStart"/>
      <w:r w:rsidRPr="00152EEA">
        <w:rPr>
          <w:rFonts w:cs="Arial"/>
          <w:bCs/>
          <w:color w:val="000000"/>
          <w:sz w:val="24"/>
        </w:rPr>
        <w:t>CFCs</w:t>
      </w:r>
      <w:proofErr w:type="spellEnd"/>
      <w:r w:rsidR="00A25C33" w:rsidRPr="00152EEA">
        <w:rPr>
          <w:rFonts w:cs="Arial"/>
          <w:bCs/>
          <w:color w:val="000000"/>
          <w:sz w:val="24"/>
        </w:rPr>
        <w:t>)</w:t>
      </w:r>
      <w:r w:rsidRPr="00152EEA">
        <w:rPr>
          <w:rFonts w:cs="Arial"/>
          <w:bCs/>
          <w:color w:val="000000"/>
          <w:sz w:val="24"/>
        </w:rPr>
        <w:t xml:space="preserve"> y </w:t>
      </w:r>
      <w:r w:rsidR="00A25C33" w:rsidRPr="00152EEA">
        <w:rPr>
          <w:rFonts w:cs="Arial"/>
          <w:bCs/>
          <w:color w:val="000000"/>
          <w:sz w:val="24"/>
        </w:rPr>
        <w:t xml:space="preserve">los </w:t>
      </w:r>
      <w:proofErr w:type="spellStart"/>
      <w:r w:rsidR="00A25C33" w:rsidRPr="00152EEA">
        <w:rPr>
          <w:rFonts w:cs="Arial"/>
          <w:bCs/>
          <w:color w:val="000000"/>
          <w:sz w:val="24"/>
        </w:rPr>
        <w:t>hydrofluorocarbonos</w:t>
      </w:r>
      <w:proofErr w:type="spellEnd"/>
      <w:r w:rsidR="006717D3" w:rsidRPr="00152EEA">
        <w:rPr>
          <w:rFonts w:cs="Arial"/>
          <w:bCs/>
          <w:color w:val="000000"/>
          <w:sz w:val="24"/>
        </w:rPr>
        <w:t xml:space="preserve">  (</w:t>
      </w:r>
      <w:proofErr w:type="spellStart"/>
      <w:r w:rsidRPr="00152EEA">
        <w:rPr>
          <w:rFonts w:cs="Arial"/>
          <w:bCs/>
          <w:color w:val="000000"/>
          <w:sz w:val="24"/>
        </w:rPr>
        <w:t>HFCs</w:t>
      </w:r>
      <w:proofErr w:type="spellEnd"/>
      <w:r w:rsidR="00A25C33" w:rsidRPr="00152EEA">
        <w:rPr>
          <w:rFonts w:cs="Arial"/>
          <w:bCs/>
          <w:color w:val="000000"/>
          <w:sz w:val="24"/>
        </w:rPr>
        <w:t>)</w:t>
      </w:r>
      <w:r w:rsidR="006717D3" w:rsidRPr="00152EEA">
        <w:rPr>
          <w:rFonts w:cs="Arial"/>
          <w:bCs/>
          <w:color w:val="000000"/>
          <w:sz w:val="24"/>
        </w:rPr>
        <w:t xml:space="preserve">, </w:t>
      </w:r>
      <w:r w:rsidR="00A25C33" w:rsidRPr="00152EEA">
        <w:rPr>
          <w:rFonts w:cs="Arial"/>
          <w:bCs/>
          <w:color w:val="000000"/>
          <w:sz w:val="24"/>
        </w:rPr>
        <w:t>compuestos orgánicos que contienen átomos de flúor e hidrógeno. Se utilizan comúnmente en el aire aco</w:t>
      </w:r>
      <w:r w:rsidR="006978F1">
        <w:rPr>
          <w:rFonts w:cs="Arial"/>
          <w:bCs/>
          <w:color w:val="000000"/>
          <w:sz w:val="24"/>
        </w:rPr>
        <w:t>ndicionado y como refrigerantes.</w:t>
      </w:r>
    </w:p>
    <w:p w14:paraId="349B71CD" w14:textId="77777777" w:rsidR="00116403" w:rsidRPr="00152EEA" w:rsidRDefault="00116403" w:rsidP="000C4731">
      <w:pPr>
        <w:pStyle w:val="Encabezado"/>
        <w:spacing w:line="276" w:lineRule="auto"/>
        <w:jc w:val="both"/>
        <w:rPr>
          <w:rFonts w:cs="Arial"/>
          <w:bCs/>
          <w:color w:val="000000"/>
          <w:sz w:val="24"/>
        </w:rPr>
      </w:pPr>
    </w:p>
    <w:p w14:paraId="4CC609C9" w14:textId="3F499E98" w:rsidR="006717D3" w:rsidRPr="00152EEA" w:rsidRDefault="00692DB9" w:rsidP="004A28A7">
      <w:pPr>
        <w:pStyle w:val="Encabezado"/>
        <w:spacing w:line="276" w:lineRule="auto"/>
        <w:ind w:firstLine="709"/>
        <w:jc w:val="both"/>
        <w:rPr>
          <w:rFonts w:cs="Arial"/>
          <w:bCs/>
          <w:color w:val="000000"/>
          <w:sz w:val="24"/>
        </w:rPr>
      </w:pPr>
      <w:r w:rsidRPr="00152EEA">
        <w:rPr>
          <w:rFonts w:cs="Arial"/>
          <w:bCs/>
          <w:color w:val="000000"/>
          <w:sz w:val="24"/>
        </w:rPr>
        <w:t>L</w:t>
      </w:r>
      <w:r w:rsidR="00A25C33" w:rsidRPr="00152EEA">
        <w:rPr>
          <w:rFonts w:cs="Arial"/>
          <w:bCs/>
          <w:color w:val="000000"/>
          <w:sz w:val="24"/>
        </w:rPr>
        <w:t>as Emisiones de GEI se pueden calcular a través de Huella de Carbono y el Inventario de emisiones de GEI.</w:t>
      </w:r>
      <w:r w:rsidR="006717D3" w:rsidRPr="00152EEA">
        <w:rPr>
          <w:rFonts w:cs="Arial"/>
          <w:bCs/>
          <w:color w:val="000000"/>
          <w:sz w:val="24"/>
        </w:rPr>
        <w:t xml:space="preserve"> </w:t>
      </w:r>
      <w:r w:rsidR="00A25C33" w:rsidRPr="00152EEA">
        <w:rPr>
          <w:rFonts w:cs="Arial"/>
          <w:bCs/>
          <w:color w:val="000000"/>
          <w:sz w:val="24"/>
        </w:rPr>
        <w:t xml:space="preserve">La Huella de Carbono cuantifica las emisiones de GEI que se asocian al “ciclo de vida” de un producto, servicio o un evento y se refiere al total de emisiones desde las materias primas o insumos, proceso productivo, de comercialización y de consumo y disposición final de los residuos o reciclaje. Se orienta a informar al consumidor sobre las emisiones generadas en el consumo de un producto o la prestación de un servicio. </w:t>
      </w:r>
      <w:r w:rsidR="006717D3" w:rsidRPr="00152EEA">
        <w:rPr>
          <w:rFonts w:cs="Arial"/>
          <w:bCs/>
          <w:color w:val="000000"/>
          <w:sz w:val="24"/>
        </w:rPr>
        <w:t>Por</w:t>
      </w:r>
      <w:r w:rsidR="004A28A7">
        <w:rPr>
          <w:rFonts w:cs="Arial"/>
          <w:bCs/>
          <w:color w:val="000000"/>
          <w:sz w:val="24"/>
        </w:rPr>
        <w:t xml:space="preserve"> lo</w:t>
      </w:r>
      <w:r w:rsidR="006717D3" w:rsidRPr="00152EEA">
        <w:rPr>
          <w:rFonts w:cs="Arial"/>
          <w:bCs/>
          <w:color w:val="000000"/>
          <w:sz w:val="24"/>
        </w:rPr>
        <w:t xml:space="preserve"> tanto, la huella de CO</w:t>
      </w:r>
      <w:r w:rsidR="006717D3" w:rsidRPr="00152EEA">
        <w:rPr>
          <w:rFonts w:cs="Arial"/>
          <w:bCs/>
          <w:color w:val="000000"/>
          <w:sz w:val="24"/>
          <w:vertAlign w:val="subscript"/>
        </w:rPr>
        <w:t>2</w:t>
      </w:r>
      <w:r w:rsidR="006717D3" w:rsidRPr="00152EEA">
        <w:rPr>
          <w:rFonts w:cs="Arial"/>
          <w:bCs/>
          <w:color w:val="000000"/>
          <w:sz w:val="24"/>
        </w:rPr>
        <w:t xml:space="preserve"> es la medida del impacto que provocan las actividades del ser humano en el medio ambiente y se determina según la cantidad de gases de efecto invernadero producidos, medidos en unidades de dióxido de carbono equivalente. </w:t>
      </w:r>
      <w:r w:rsidR="00A25C33" w:rsidRPr="00152EEA">
        <w:rPr>
          <w:rFonts w:cs="Arial"/>
          <w:bCs/>
          <w:color w:val="000000"/>
          <w:sz w:val="24"/>
        </w:rPr>
        <w:t>La Huella de Carbono es temporal y está referido al proceso productivo</w:t>
      </w:r>
      <w:r w:rsidR="006717D3" w:rsidRPr="00152EEA">
        <w:rPr>
          <w:rFonts w:cs="Arial"/>
          <w:bCs/>
          <w:color w:val="000000"/>
          <w:sz w:val="24"/>
        </w:rPr>
        <w:t xml:space="preserve"> y con ella se pretende que las empresas puedan reducir los niveles de contaminación mediante un cálculo estandarizado de las emisiones que tienen lugar durante las actividades de la empresa para lo cual es necesario definir las límites organizacionales y operacionales de las actividades de la empresa para realizar la evaluación.</w:t>
      </w:r>
    </w:p>
    <w:p w14:paraId="619C761A" w14:textId="77777777" w:rsidR="005B5344" w:rsidRPr="00152EEA" w:rsidRDefault="005B5344" w:rsidP="000C4731">
      <w:pPr>
        <w:pStyle w:val="Encabezado"/>
        <w:spacing w:line="276" w:lineRule="auto"/>
        <w:jc w:val="both"/>
        <w:rPr>
          <w:rFonts w:cs="Arial"/>
          <w:bCs/>
          <w:color w:val="000000"/>
          <w:sz w:val="24"/>
        </w:rPr>
      </w:pPr>
    </w:p>
    <w:p w14:paraId="5F2CBC00" w14:textId="791F5EA2" w:rsidR="0018460F" w:rsidRDefault="00A56690" w:rsidP="004A28A7">
      <w:pPr>
        <w:pStyle w:val="Encabezado"/>
        <w:spacing w:line="276" w:lineRule="auto"/>
        <w:ind w:firstLine="426"/>
        <w:jc w:val="both"/>
        <w:rPr>
          <w:rFonts w:cs="Arial"/>
          <w:bCs/>
          <w:color w:val="000000"/>
          <w:sz w:val="24"/>
        </w:rPr>
      </w:pPr>
      <w:r w:rsidRPr="00A56690">
        <w:rPr>
          <w:rFonts w:cs="Arial"/>
          <w:bCs/>
          <w:color w:val="000000"/>
          <w:sz w:val="24"/>
        </w:rPr>
        <w:lastRenderedPageBreak/>
        <w:t xml:space="preserve">Los motores fuera de borda, motobombas, motores estacionarios, equipos de cosecha y siembra componen las maquinarias y equipos utilizados en el proceso productivo de Materia Prima y son las principales fuentes de emisiones atmosféricas. </w:t>
      </w:r>
      <w:r w:rsidR="00AD755E" w:rsidRPr="00152EEA">
        <w:rPr>
          <w:rFonts w:cs="Arial"/>
          <w:bCs/>
          <w:color w:val="000000"/>
          <w:sz w:val="24"/>
        </w:rPr>
        <w:t>E</w:t>
      </w:r>
      <w:r w:rsidR="0018460F">
        <w:rPr>
          <w:rFonts w:cs="Arial"/>
          <w:bCs/>
          <w:color w:val="000000"/>
          <w:sz w:val="24"/>
        </w:rPr>
        <w:t>l 62</w:t>
      </w:r>
      <w:r w:rsidR="005B5344" w:rsidRPr="00152EEA">
        <w:rPr>
          <w:rFonts w:cs="Arial"/>
          <w:bCs/>
          <w:color w:val="000000"/>
          <w:sz w:val="24"/>
        </w:rPr>
        <w:t xml:space="preserve">% de las empresas </w:t>
      </w:r>
      <w:r w:rsidR="0018460F">
        <w:rPr>
          <w:rFonts w:cs="Arial"/>
          <w:bCs/>
          <w:color w:val="000000"/>
          <w:sz w:val="24"/>
        </w:rPr>
        <w:t xml:space="preserve">MYPE y el 50% de los centros de categoría grande </w:t>
      </w:r>
      <w:r w:rsidR="005B5344" w:rsidRPr="00152EEA">
        <w:rPr>
          <w:rFonts w:cs="Arial"/>
          <w:bCs/>
          <w:color w:val="000000"/>
          <w:sz w:val="24"/>
        </w:rPr>
        <w:t>informa</w:t>
      </w:r>
      <w:r w:rsidR="0018460F">
        <w:rPr>
          <w:rFonts w:cs="Arial"/>
          <w:bCs/>
          <w:color w:val="000000"/>
          <w:sz w:val="24"/>
        </w:rPr>
        <w:t>n</w:t>
      </w:r>
      <w:r w:rsidR="005B5344" w:rsidRPr="00152EEA">
        <w:rPr>
          <w:rFonts w:cs="Arial"/>
          <w:bCs/>
          <w:color w:val="000000"/>
          <w:sz w:val="24"/>
        </w:rPr>
        <w:t xml:space="preserve"> que genera emisiones </w:t>
      </w:r>
      <w:r w:rsidR="001D245D">
        <w:rPr>
          <w:rFonts w:cs="Arial"/>
          <w:bCs/>
          <w:color w:val="000000"/>
          <w:sz w:val="24"/>
        </w:rPr>
        <w:t>atmosféricas.</w:t>
      </w:r>
      <w:r w:rsidR="00A57894">
        <w:rPr>
          <w:rFonts w:cs="Arial"/>
          <w:bCs/>
          <w:color w:val="000000"/>
          <w:sz w:val="24"/>
        </w:rPr>
        <w:t xml:space="preserve"> </w:t>
      </w:r>
      <w:r w:rsidR="000A1A8E">
        <w:rPr>
          <w:rFonts w:cs="Arial"/>
          <w:bCs/>
          <w:color w:val="000000"/>
          <w:sz w:val="24"/>
        </w:rPr>
        <w:t>(Figura 30).</w:t>
      </w:r>
    </w:p>
    <w:p w14:paraId="2710C89A" w14:textId="77777777" w:rsidR="005B5344" w:rsidRPr="00152EEA" w:rsidRDefault="005B5344" w:rsidP="005B5344">
      <w:pPr>
        <w:pStyle w:val="Encabezado"/>
        <w:spacing w:line="276" w:lineRule="auto"/>
        <w:jc w:val="both"/>
        <w:rPr>
          <w:rFonts w:cs="Arial"/>
          <w:bCs/>
          <w:color w:val="000000"/>
          <w:sz w:val="24"/>
        </w:rPr>
      </w:pPr>
    </w:p>
    <w:p w14:paraId="4A6BA53A" w14:textId="66A23304" w:rsidR="005B5344" w:rsidRPr="00A80F51" w:rsidRDefault="00AD473C" w:rsidP="00A80F51">
      <w:pPr>
        <w:pStyle w:val="Encabezado"/>
        <w:spacing w:line="276" w:lineRule="auto"/>
        <w:ind w:firstLine="709"/>
        <w:jc w:val="both"/>
        <w:rPr>
          <w:rFonts w:cs="Arial"/>
          <w:bCs/>
          <w:color w:val="auto"/>
          <w:sz w:val="24"/>
        </w:rPr>
      </w:pPr>
      <w:r>
        <w:rPr>
          <w:rFonts w:cs="Arial"/>
          <w:bCs/>
          <w:color w:val="auto"/>
          <w:sz w:val="24"/>
        </w:rPr>
        <w:t>El 100% de las</w:t>
      </w:r>
      <w:r w:rsidR="00A80F51">
        <w:rPr>
          <w:rFonts w:cs="Arial"/>
          <w:bCs/>
          <w:color w:val="auto"/>
          <w:sz w:val="24"/>
        </w:rPr>
        <w:t xml:space="preserve"> categorías de centros de cultivo MYPE y Grande, informan no haber implementado </w:t>
      </w:r>
      <w:r w:rsidR="005B5344" w:rsidRPr="00152EEA">
        <w:rPr>
          <w:rFonts w:cs="Arial"/>
          <w:bCs/>
          <w:color w:val="auto"/>
          <w:sz w:val="24"/>
        </w:rPr>
        <w:t>tecnologías de tratamiento</w:t>
      </w:r>
      <w:r w:rsidR="00A80F51">
        <w:rPr>
          <w:rFonts w:cs="Arial"/>
          <w:bCs/>
          <w:color w:val="auto"/>
          <w:sz w:val="24"/>
        </w:rPr>
        <w:t>. El 15% de los centros MYPE</w:t>
      </w:r>
      <w:r w:rsidR="005B5344" w:rsidRPr="00152EEA">
        <w:rPr>
          <w:rFonts w:cs="Arial"/>
          <w:bCs/>
          <w:color w:val="auto"/>
          <w:sz w:val="24"/>
        </w:rPr>
        <w:t xml:space="preserve"> cuentan con un procedimiento para controlar l</w:t>
      </w:r>
      <w:r w:rsidR="006A3971">
        <w:rPr>
          <w:rFonts w:cs="Arial"/>
          <w:bCs/>
          <w:color w:val="auto"/>
          <w:sz w:val="24"/>
        </w:rPr>
        <w:t>as emisiones, para ello realiza mantencio</w:t>
      </w:r>
      <w:r w:rsidR="005B5344" w:rsidRPr="00152EEA">
        <w:rPr>
          <w:rFonts w:cs="Arial"/>
          <w:bCs/>
          <w:color w:val="auto"/>
          <w:sz w:val="24"/>
        </w:rPr>
        <w:t>nes pre</w:t>
      </w:r>
      <w:r>
        <w:rPr>
          <w:rFonts w:cs="Arial"/>
          <w:bCs/>
          <w:color w:val="auto"/>
          <w:sz w:val="24"/>
        </w:rPr>
        <w:t>ventivas principalmente de sus motores estacionarios</w:t>
      </w:r>
      <w:r w:rsidR="005B5344" w:rsidRPr="00152EEA">
        <w:rPr>
          <w:rFonts w:cs="Arial"/>
          <w:bCs/>
          <w:color w:val="auto"/>
          <w:sz w:val="24"/>
        </w:rPr>
        <w:t>,  equipos y maquinar</w:t>
      </w:r>
      <w:r w:rsidR="00A80F51">
        <w:rPr>
          <w:rFonts w:cs="Arial"/>
          <w:bCs/>
          <w:color w:val="auto"/>
          <w:sz w:val="24"/>
        </w:rPr>
        <w:t>ias involucradas en el proceso</w:t>
      </w:r>
      <w:r>
        <w:rPr>
          <w:rFonts w:cs="Arial"/>
          <w:bCs/>
          <w:color w:val="auto"/>
          <w:sz w:val="24"/>
        </w:rPr>
        <w:t xml:space="preserve"> de producción de materia prima cosechada</w:t>
      </w:r>
      <w:r w:rsidR="00A80F51">
        <w:rPr>
          <w:rFonts w:cs="Arial"/>
          <w:bCs/>
          <w:color w:val="auto"/>
          <w:sz w:val="24"/>
        </w:rPr>
        <w:t xml:space="preserve">, en cambio los cultivos Grande indican no poseerlo, el 30% no informa y el 10%, señala no saber. </w:t>
      </w:r>
      <w:r w:rsidR="000A1A8E">
        <w:rPr>
          <w:rFonts w:cs="Arial"/>
          <w:bCs/>
          <w:color w:val="000000"/>
          <w:sz w:val="24"/>
        </w:rPr>
        <w:t>(Figura 30).</w:t>
      </w:r>
    </w:p>
    <w:p w14:paraId="4BEBD78E" w14:textId="77777777" w:rsidR="00A25C33" w:rsidRPr="00A25C33" w:rsidRDefault="00A25C33" w:rsidP="000C4731">
      <w:pPr>
        <w:pStyle w:val="Encabezado"/>
        <w:spacing w:line="276" w:lineRule="auto"/>
        <w:jc w:val="both"/>
        <w:rPr>
          <w:rFonts w:cs="Arial"/>
          <w:bCs/>
          <w:color w:val="000000"/>
          <w:sz w:val="24"/>
          <w:highlight w:val="yellow"/>
        </w:rPr>
      </w:pPr>
    </w:p>
    <w:p w14:paraId="633222AE" w14:textId="514732D2" w:rsidR="00C10AC5" w:rsidRDefault="00F72C44" w:rsidP="00A6124F">
      <w:pPr>
        <w:pStyle w:val="Encabezado"/>
        <w:spacing w:line="276" w:lineRule="auto"/>
        <w:ind w:firstLine="709"/>
        <w:jc w:val="both"/>
        <w:rPr>
          <w:rFonts w:cs="Arial"/>
          <w:bCs/>
          <w:color w:val="000000"/>
          <w:sz w:val="24"/>
        </w:rPr>
      </w:pPr>
      <w:r w:rsidRPr="00152EEA">
        <w:rPr>
          <w:rFonts w:cs="Arial"/>
          <w:bCs/>
          <w:color w:val="000000"/>
          <w:sz w:val="24"/>
        </w:rPr>
        <w:t>Con respecto a lo</w:t>
      </w:r>
      <w:r w:rsidR="00540F89" w:rsidRPr="00152EEA">
        <w:rPr>
          <w:rFonts w:cs="Arial"/>
          <w:bCs/>
          <w:color w:val="000000"/>
          <w:sz w:val="24"/>
        </w:rPr>
        <w:t>s insumos que generan menores emisiones de gases</w:t>
      </w:r>
      <w:r w:rsidR="0070015E" w:rsidRPr="00152EEA">
        <w:rPr>
          <w:rFonts w:cs="Arial"/>
          <w:bCs/>
          <w:color w:val="000000"/>
          <w:sz w:val="24"/>
        </w:rPr>
        <w:t xml:space="preserve"> efecto invernadero (GEI), </w:t>
      </w:r>
      <w:r w:rsidR="006A3971">
        <w:rPr>
          <w:rFonts w:cs="Arial"/>
          <w:bCs/>
          <w:color w:val="000000"/>
          <w:sz w:val="24"/>
        </w:rPr>
        <w:t>11 empresas (85</w:t>
      </w:r>
      <w:r w:rsidR="00540F89" w:rsidRPr="00152EEA">
        <w:rPr>
          <w:rFonts w:cs="Arial"/>
          <w:bCs/>
          <w:color w:val="000000"/>
          <w:sz w:val="24"/>
        </w:rPr>
        <w:t>%)</w:t>
      </w:r>
      <w:r w:rsidR="006A3971">
        <w:rPr>
          <w:rFonts w:cs="Arial"/>
          <w:bCs/>
          <w:color w:val="000000"/>
          <w:sz w:val="24"/>
        </w:rPr>
        <w:t xml:space="preserve"> centros de cultivo MYPE,</w:t>
      </w:r>
      <w:r w:rsidR="00540F89" w:rsidRPr="00152EEA">
        <w:rPr>
          <w:rFonts w:cs="Arial"/>
          <w:bCs/>
          <w:color w:val="000000"/>
          <w:sz w:val="24"/>
        </w:rPr>
        <w:t xml:space="preserve"> indican </w:t>
      </w:r>
      <w:r w:rsidR="006A3971">
        <w:rPr>
          <w:rFonts w:cs="Arial"/>
          <w:bCs/>
          <w:color w:val="000000"/>
          <w:sz w:val="24"/>
        </w:rPr>
        <w:t xml:space="preserve">no </w:t>
      </w:r>
      <w:r w:rsidR="00540F89" w:rsidRPr="00152EEA">
        <w:rPr>
          <w:rFonts w:cs="Arial"/>
          <w:bCs/>
          <w:color w:val="000000"/>
          <w:sz w:val="24"/>
        </w:rPr>
        <w:t>utilizar materias primas o insumos que originan menores emisiones GEI</w:t>
      </w:r>
      <w:r w:rsidR="00C10AC5">
        <w:rPr>
          <w:rFonts w:cs="Arial"/>
          <w:bCs/>
          <w:color w:val="000000"/>
          <w:sz w:val="24"/>
        </w:rPr>
        <w:t>, en cambio 3 empresas Grande (11%), si utilizan</w:t>
      </w:r>
      <w:r w:rsidR="000D32E4">
        <w:rPr>
          <w:rFonts w:cs="Arial"/>
          <w:bCs/>
          <w:color w:val="000000"/>
          <w:sz w:val="24"/>
        </w:rPr>
        <w:t xml:space="preserve">. </w:t>
      </w:r>
      <w:r w:rsidR="000A1A8E">
        <w:rPr>
          <w:rFonts w:cs="Arial"/>
          <w:bCs/>
          <w:color w:val="000000"/>
          <w:sz w:val="24"/>
        </w:rPr>
        <w:t>(Figura 30).</w:t>
      </w:r>
    </w:p>
    <w:p w14:paraId="29BA9B2D" w14:textId="77777777" w:rsidR="000D32E4" w:rsidRDefault="000D32E4" w:rsidP="00A6124F">
      <w:pPr>
        <w:pStyle w:val="Encabezado"/>
        <w:spacing w:line="276" w:lineRule="auto"/>
        <w:ind w:firstLine="709"/>
        <w:jc w:val="both"/>
        <w:rPr>
          <w:rFonts w:cs="Arial"/>
          <w:bCs/>
          <w:color w:val="000000"/>
          <w:sz w:val="24"/>
        </w:rPr>
      </w:pPr>
    </w:p>
    <w:p w14:paraId="76DFC517" w14:textId="3EC5BD0A" w:rsidR="000D32E4" w:rsidRDefault="000D32E4" w:rsidP="00A6124F">
      <w:pPr>
        <w:pStyle w:val="Encabezado"/>
        <w:spacing w:line="276" w:lineRule="auto"/>
        <w:ind w:firstLine="709"/>
        <w:jc w:val="both"/>
        <w:rPr>
          <w:rFonts w:cs="Arial"/>
          <w:bCs/>
          <w:color w:val="000000"/>
          <w:sz w:val="24"/>
        </w:rPr>
      </w:pPr>
      <w:r>
        <w:rPr>
          <w:rFonts w:cs="Arial"/>
          <w:bCs/>
          <w:color w:val="000000"/>
          <w:sz w:val="24"/>
        </w:rPr>
        <w:t>También, señalar que 12 centros de cultivo (92%) empresas MYPE, no conocen la normativa ambiental aplicable a emisiones atmosféricas</w:t>
      </w:r>
      <w:r w:rsidR="009F7DFE">
        <w:rPr>
          <w:rFonts w:cs="Arial"/>
          <w:bCs/>
          <w:color w:val="000000"/>
          <w:sz w:val="24"/>
        </w:rPr>
        <w:t xml:space="preserve"> y en el caso de centros de cultivo </w:t>
      </w:r>
      <w:r>
        <w:rPr>
          <w:rFonts w:cs="Arial"/>
          <w:bCs/>
          <w:color w:val="000000"/>
          <w:sz w:val="24"/>
        </w:rPr>
        <w:t>de categoría G</w:t>
      </w:r>
      <w:r w:rsidR="009F7DFE">
        <w:rPr>
          <w:rFonts w:cs="Arial"/>
          <w:bCs/>
          <w:color w:val="000000"/>
          <w:sz w:val="24"/>
        </w:rPr>
        <w:t>rande, son 5 (50%) las empresas que no la conocen.</w:t>
      </w:r>
      <w:r w:rsidR="000A1A8E">
        <w:rPr>
          <w:rFonts w:cs="Arial"/>
          <w:bCs/>
          <w:color w:val="000000"/>
          <w:sz w:val="24"/>
        </w:rPr>
        <w:t xml:space="preserve"> (Figura 30).</w:t>
      </w:r>
    </w:p>
    <w:p w14:paraId="036F8C88" w14:textId="77777777" w:rsidR="00C10AC5" w:rsidRDefault="00C10AC5" w:rsidP="00A6124F">
      <w:pPr>
        <w:pStyle w:val="Encabezado"/>
        <w:spacing w:line="276" w:lineRule="auto"/>
        <w:ind w:firstLine="709"/>
        <w:jc w:val="both"/>
        <w:rPr>
          <w:rFonts w:cs="Arial"/>
          <w:bCs/>
          <w:color w:val="000000"/>
          <w:sz w:val="24"/>
        </w:rPr>
      </w:pPr>
    </w:p>
    <w:p w14:paraId="347EBF6E" w14:textId="4F4911C6" w:rsidR="006A09A8" w:rsidRDefault="006A3971" w:rsidP="00A6124F">
      <w:pPr>
        <w:pStyle w:val="Encabezado"/>
        <w:spacing w:line="276" w:lineRule="auto"/>
        <w:ind w:firstLine="709"/>
        <w:jc w:val="both"/>
        <w:rPr>
          <w:rFonts w:cs="Arial"/>
          <w:bCs/>
          <w:color w:val="000000"/>
          <w:sz w:val="24"/>
        </w:rPr>
      </w:pPr>
      <w:r>
        <w:rPr>
          <w:rFonts w:cs="Arial"/>
          <w:bCs/>
          <w:color w:val="000000"/>
          <w:sz w:val="24"/>
        </w:rPr>
        <w:t xml:space="preserve"> </w:t>
      </w:r>
      <w:r w:rsidR="009F7DFE">
        <w:rPr>
          <w:rFonts w:cs="Arial"/>
          <w:bCs/>
          <w:color w:val="000000"/>
          <w:sz w:val="24"/>
        </w:rPr>
        <w:t>Al consultar a las empresas, si han pensado cambiar el combustible por uno menos contaminante en sus embarcaciones, se evidenci</w:t>
      </w:r>
      <w:r w:rsidR="00610E6E">
        <w:rPr>
          <w:rFonts w:cs="Arial"/>
          <w:bCs/>
          <w:color w:val="000000"/>
          <w:sz w:val="24"/>
        </w:rPr>
        <w:t>ó que el 62% de un total de 13 centros de cultivo MYPE no lo ha pensado, argumentando que el cambio de bencina a gas disminuye el rendimiento y vida útil de los motores fuera de borda. Por su lado, los centros de cultivo Grande sólo el 30% de 10 empresas no lo ha pensado.</w:t>
      </w:r>
      <w:r w:rsidR="00A56690" w:rsidRPr="00A56690">
        <w:rPr>
          <w:rFonts w:cs="Arial"/>
          <w:bCs/>
          <w:color w:val="000000"/>
          <w:sz w:val="24"/>
        </w:rPr>
        <w:t xml:space="preserve"> </w:t>
      </w:r>
      <w:r w:rsidR="000A1A8E">
        <w:rPr>
          <w:rFonts w:cs="Arial"/>
          <w:bCs/>
          <w:color w:val="000000"/>
          <w:sz w:val="24"/>
        </w:rPr>
        <w:t xml:space="preserve">(Figura 30). </w:t>
      </w:r>
      <w:r w:rsidR="00610E6E">
        <w:rPr>
          <w:rFonts w:cs="Arial"/>
          <w:bCs/>
          <w:color w:val="000000"/>
          <w:sz w:val="24"/>
        </w:rPr>
        <w:t>Cabe señalar que 3 empresas Grande (30%), operan los motores fuera de borda con gas.</w:t>
      </w:r>
    </w:p>
    <w:p w14:paraId="587EA754" w14:textId="33677FD5" w:rsidR="00A6124F" w:rsidRDefault="00443FCD" w:rsidP="00A6124F">
      <w:pPr>
        <w:pStyle w:val="Encabezado"/>
        <w:jc w:val="both"/>
        <w:rPr>
          <w:highlight w:val="yellow"/>
          <w:lang w:eastAsia="es-CL"/>
        </w:rPr>
      </w:pPr>
      <w:r>
        <w:rPr>
          <w:noProof/>
          <w:lang w:val="es-CL" w:eastAsia="es-CL"/>
        </w:rPr>
        <w:lastRenderedPageBreak/>
        <w:drawing>
          <wp:inline distT="0" distB="0" distL="0" distR="0" wp14:anchorId="249FCC59" wp14:editId="68674A59">
            <wp:extent cx="2340864" cy="7915046"/>
            <wp:effectExtent l="0" t="0" r="21590" b="10160"/>
            <wp:docPr id="5134" name="Gráfico 5134"/>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r>
        <w:rPr>
          <w:noProof/>
          <w:lang w:val="es-CL" w:eastAsia="es-CL"/>
        </w:rPr>
        <w:drawing>
          <wp:inline distT="0" distB="0" distL="0" distR="0" wp14:anchorId="41495984" wp14:editId="5D9C396F">
            <wp:extent cx="2340864" cy="7900416"/>
            <wp:effectExtent l="0" t="0" r="21590" b="24765"/>
            <wp:docPr id="5135" name="Gráfico 5135"/>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p w14:paraId="7211CE84" w14:textId="6632D00A" w:rsidR="00190ADE" w:rsidRDefault="006055DD" w:rsidP="006A09A8">
      <w:pPr>
        <w:pStyle w:val="Encabezado"/>
        <w:jc w:val="both"/>
        <w:rPr>
          <w:rFonts w:cs="Arial"/>
          <w:bCs/>
          <w:color w:val="000000"/>
          <w:sz w:val="24"/>
        </w:rPr>
      </w:pPr>
      <w:r>
        <w:rPr>
          <w:rFonts w:cs="Arial"/>
          <w:b/>
          <w:bCs/>
          <w:color w:val="000000"/>
          <w:sz w:val="24"/>
        </w:rPr>
        <w:lastRenderedPageBreak/>
        <w:t>F</w:t>
      </w:r>
      <w:r w:rsidR="00190ADE" w:rsidRPr="007F6A01">
        <w:rPr>
          <w:rFonts w:cs="Arial"/>
          <w:b/>
          <w:bCs/>
          <w:color w:val="000000"/>
          <w:sz w:val="24"/>
        </w:rPr>
        <w:t xml:space="preserve">igura </w:t>
      </w:r>
      <w:r w:rsidR="000A1A8E">
        <w:rPr>
          <w:rFonts w:cs="Arial"/>
          <w:b/>
          <w:bCs/>
          <w:color w:val="000000"/>
          <w:sz w:val="24"/>
        </w:rPr>
        <w:t>30</w:t>
      </w:r>
      <w:r w:rsidR="00190ADE" w:rsidRPr="007F6A01">
        <w:rPr>
          <w:rFonts w:cs="Arial"/>
          <w:b/>
          <w:bCs/>
          <w:color w:val="000000"/>
          <w:sz w:val="24"/>
        </w:rPr>
        <w:t>.</w:t>
      </w:r>
      <w:r w:rsidR="00190ADE">
        <w:rPr>
          <w:rFonts w:cs="Arial"/>
          <w:bCs/>
          <w:color w:val="000000"/>
          <w:sz w:val="24"/>
        </w:rPr>
        <w:t xml:space="preserve"> Gestión de Emisiones Atmosféricas</w:t>
      </w:r>
      <w:r w:rsidR="004A28A7">
        <w:rPr>
          <w:rFonts w:cs="Arial"/>
          <w:bCs/>
          <w:color w:val="000000"/>
          <w:sz w:val="24"/>
        </w:rPr>
        <w:t xml:space="preserve"> (%).</w:t>
      </w:r>
    </w:p>
    <w:p w14:paraId="302C9BC2" w14:textId="77777777" w:rsidR="00190ADE" w:rsidRDefault="00190ADE" w:rsidP="00190ADE">
      <w:pPr>
        <w:pStyle w:val="Encabezado"/>
        <w:rPr>
          <w:rFonts w:cs="Arial"/>
          <w:bCs/>
          <w:color w:val="000000"/>
          <w:sz w:val="24"/>
        </w:rPr>
      </w:pPr>
    </w:p>
    <w:p w14:paraId="4DAB43AA" w14:textId="77777777" w:rsidR="00F2469B" w:rsidRDefault="00F2469B" w:rsidP="00190ADE">
      <w:pPr>
        <w:pStyle w:val="Encabezado"/>
        <w:rPr>
          <w:rFonts w:cs="Arial"/>
          <w:bCs/>
          <w:color w:val="000000"/>
          <w:sz w:val="24"/>
        </w:rPr>
      </w:pPr>
    </w:p>
    <w:p w14:paraId="3E4FA294" w14:textId="77777777" w:rsidR="00F2469B" w:rsidRDefault="00F2469B" w:rsidP="00190ADE">
      <w:pPr>
        <w:pStyle w:val="Encabezado"/>
        <w:rPr>
          <w:rFonts w:cs="Arial"/>
          <w:bCs/>
          <w:color w:val="000000"/>
          <w:sz w:val="24"/>
        </w:rPr>
      </w:pPr>
    </w:p>
    <w:p w14:paraId="101CEF18" w14:textId="77777777" w:rsidR="00F2469B" w:rsidRDefault="00F2469B" w:rsidP="00190ADE">
      <w:pPr>
        <w:pStyle w:val="Encabezado"/>
        <w:rPr>
          <w:rFonts w:cs="Arial"/>
          <w:bCs/>
          <w:color w:val="000000"/>
          <w:sz w:val="24"/>
        </w:rPr>
      </w:pPr>
    </w:p>
    <w:p w14:paraId="410D31B4" w14:textId="77777777" w:rsidR="00F2469B" w:rsidRDefault="00F2469B" w:rsidP="00190ADE">
      <w:pPr>
        <w:pStyle w:val="Encabezado"/>
        <w:rPr>
          <w:rFonts w:cs="Arial"/>
          <w:bCs/>
          <w:color w:val="000000"/>
          <w:sz w:val="24"/>
        </w:rPr>
      </w:pPr>
    </w:p>
    <w:p w14:paraId="7ACC0BFA" w14:textId="7378E23C" w:rsidR="006A09A8" w:rsidRPr="004B184E" w:rsidRDefault="00847E6B" w:rsidP="00E31A3F">
      <w:pPr>
        <w:pStyle w:val="Ttulo2"/>
        <w:rPr>
          <w:b w:val="0"/>
          <w:sz w:val="32"/>
          <w:szCs w:val="32"/>
          <w:lang w:eastAsia="es-CL"/>
        </w:rPr>
      </w:pPr>
      <w:bookmarkStart w:id="23" w:name="_Toc471999129"/>
      <w:r w:rsidRPr="004B184E">
        <w:rPr>
          <w:b w:val="0"/>
          <w:sz w:val="32"/>
          <w:szCs w:val="32"/>
          <w:lang w:eastAsia="es-CL"/>
        </w:rPr>
        <w:t>Ges</w:t>
      </w:r>
      <w:r w:rsidR="00190ADE" w:rsidRPr="004B184E">
        <w:rPr>
          <w:b w:val="0"/>
          <w:sz w:val="32"/>
          <w:szCs w:val="32"/>
          <w:lang w:eastAsia="es-CL"/>
        </w:rPr>
        <w:t>tión ambiental</w:t>
      </w:r>
      <w:bookmarkEnd w:id="23"/>
    </w:p>
    <w:p w14:paraId="7F8C1021" w14:textId="77777777" w:rsidR="007518C0" w:rsidRDefault="007518C0" w:rsidP="00190ADE">
      <w:pPr>
        <w:pStyle w:val="Encabezado"/>
        <w:jc w:val="both"/>
        <w:rPr>
          <w:lang w:eastAsia="es-CL"/>
        </w:rPr>
      </w:pPr>
    </w:p>
    <w:p w14:paraId="22E98881" w14:textId="16DDBAA4" w:rsidR="001307E5" w:rsidRDefault="006A09A8" w:rsidP="004A28A7">
      <w:pPr>
        <w:pStyle w:val="Encabezado"/>
        <w:spacing w:line="276" w:lineRule="auto"/>
        <w:ind w:firstLine="709"/>
        <w:jc w:val="both"/>
        <w:rPr>
          <w:rFonts w:cs="Arial"/>
          <w:bCs/>
          <w:color w:val="000000"/>
          <w:sz w:val="24"/>
        </w:rPr>
      </w:pPr>
      <w:r w:rsidRPr="00152EEA">
        <w:rPr>
          <w:rFonts w:cs="Arial"/>
          <w:bCs/>
          <w:color w:val="000000"/>
          <w:sz w:val="24"/>
        </w:rPr>
        <w:t xml:space="preserve">Se puede definir gestión ambiental como la administración y manejo de todas las actividades humanas que influyen sobre el medio ambiente, mediante un conjunto de pautas, técnicas </w:t>
      </w:r>
      <w:r w:rsidR="001307E5" w:rsidRPr="00152EEA">
        <w:rPr>
          <w:rFonts w:cs="Arial"/>
          <w:bCs/>
          <w:color w:val="000000"/>
          <w:sz w:val="24"/>
        </w:rPr>
        <w:t xml:space="preserve">y otras acciones de política, de planificación, normativas, administrativas, financieras, organizativas, educativas, de evaluación, de seguimiento, fiscalización y </w:t>
      </w:r>
      <w:r w:rsidRPr="00152EEA">
        <w:rPr>
          <w:rFonts w:cs="Arial"/>
          <w:bCs/>
          <w:color w:val="000000"/>
          <w:sz w:val="24"/>
        </w:rPr>
        <w:t>mecanismos que</w:t>
      </w:r>
      <w:r w:rsidRPr="006A09A8">
        <w:rPr>
          <w:rFonts w:cs="Arial"/>
          <w:bCs/>
          <w:color w:val="000000"/>
          <w:sz w:val="24"/>
        </w:rPr>
        <w:t xml:space="preserve"> </w:t>
      </w:r>
      <w:r w:rsidRPr="00152EEA">
        <w:rPr>
          <w:rFonts w:cs="Arial"/>
          <w:bCs/>
          <w:color w:val="000000"/>
          <w:sz w:val="24"/>
        </w:rPr>
        <w:t>aseguren la puesta en práctica de una política ambiental racional y sostenida</w:t>
      </w:r>
      <w:r w:rsidR="001307E5" w:rsidRPr="00152EEA">
        <w:rPr>
          <w:rFonts w:cs="Arial"/>
          <w:bCs/>
          <w:color w:val="000000"/>
          <w:sz w:val="24"/>
        </w:rPr>
        <w:t xml:space="preserve">, por lo tanto la gestión ambiental es </w:t>
      </w:r>
      <w:r w:rsidRPr="00152EEA">
        <w:rPr>
          <w:rFonts w:cs="Arial"/>
          <w:bCs/>
          <w:color w:val="000000"/>
          <w:sz w:val="24"/>
        </w:rPr>
        <w:t xml:space="preserve">el conjunto de actividades humanas que tienen </w:t>
      </w:r>
      <w:r w:rsidR="00380863" w:rsidRPr="00152EEA">
        <w:rPr>
          <w:rFonts w:cs="Arial"/>
          <w:bCs/>
          <w:color w:val="000000"/>
          <w:sz w:val="24"/>
        </w:rPr>
        <w:t>como</w:t>
      </w:r>
      <w:r w:rsidRPr="00152EEA">
        <w:rPr>
          <w:rFonts w:cs="Arial"/>
          <w:bCs/>
          <w:color w:val="000000"/>
          <w:sz w:val="24"/>
        </w:rPr>
        <w:t xml:space="preserve"> objeto el ordenamie</w:t>
      </w:r>
      <w:r w:rsidR="001307E5" w:rsidRPr="00152EEA">
        <w:rPr>
          <w:rFonts w:cs="Arial"/>
          <w:bCs/>
          <w:color w:val="000000"/>
          <w:sz w:val="24"/>
        </w:rPr>
        <w:t>nto racional del ambiente.</w:t>
      </w:r>
    </w:p>
    <w:p w14:paraId="0403D6F9" w14:textId="77777777" w:rsidR="00F64787" w:rsidRDefault="00F64787" w:rsidP="006A09A8">
      <w:pPr>
        <w:pStyle w:val="Encabezado"/>
        <w:jc w:val="both"/>
        <w:rPr>
          <w:rFonts w:cs="Arial"/>
          <w:bCs/>
          <w:color w:val="000000"/>
          <w:sz w:val="24"/>
        </w:rPr>
      </w:pPr>
    </w:p>
    <w:p w14:paraId="763CD24E" w14:textId="7EB73A8C" w:rsidR="00671A40" w:rsidRDefault="0024262C" w:rsidP="004A28A7">
      <w:pPr>
        <w:pStyle w:val="Encabezado"/>
        <w:spacing w:line="276" w:lineRule="auto"/>
        <w:ind w:firstLine="709"/>
        <w:jc w:val="both"/>
        <w:rPr>
          <w:rFonts w:cs="Arial"/>
          <w:bCs/>
          <w:color w:val="000000"/>
          <w:sz w:val="24"/>
        </w:rPr>
      </w:pPr>
      <w:r>
        <w:rPr>
          <w:rFonts w:cs="Arial"/>
          <w:bCs/>
          <w:color w:val="000000"/>
          <w:sz w:val="24"/>
        </w:rPr>
        <w:t xml:space="preserve">El 15% y 30%, de cultivos MYPE y Grande respectivamente, lo que corresponde a 2 centros de cultivo MYPE y 3 centros de cultivo Grande,  señalan tener algún tipo de problema con la ubicación del centro, sin embargo estos problemas están relacionados principalmente a la baja profundidad de la concesión. </w:t>
      </w:r>
      <w:r w:rsidR="002754C9" w:rsidRPr="00152EEA">
        <w:rPr>
          <w:rFonts w:cs="Arial"/>
          <w:bCs/>
          <w:color w:val="000000"/>
          <w:sz w:val="24"/>
        </w:rPr>
        <w:t>E</w:t>
      </w:r>
      <w:r w:rsidR="00303AAB">
        <w:rPr>
          <w:rFonts w:cs="Arial"/>
          <w:bCs/>
          <w:color w:val="000000"/>
          <w:sz w:val="24"/>
        </w:rPr>
        <w:t>l 8</w:t>
      </w:r>
      <w:r w:rsidR="00380863" w:rsidRPr="00152EEA">
        <w:rPr>
          <w:rFonts w:cs="Arial"/>
          <w:bCs/>
          <w:color w:val="000000"/>
          <w:sz w:val="24"/>
        </w:rPr>
        <w:t>%</w:t>
      </w:r>
      <w:r w:rsidR="00D01780" w:rsidRPr="00152EEA">
        <w:rPr>
          <w:rFonts w:cs="Arial"/>
          <w:bCs/>
          <w:color w:val="000000"/>
          <w:sz w:val="24"/>
        </w:rPr>
        <w:t xml:space="preserve"> </w:t>
      </w:r>
      <w:r w:rsidR="00303AAB">
        <w:rPr>
          <w:rFonts w:cs="Arial"/>
          <w:bCs/>
          <w:color w:val="000000"/>
          <w:sz w:val="24"/>
        </w:rPr>
        <w:t xml:space="preserve">de </w:t>
      </w:r>
      <w:r w:rsidR="00671A40">
        <w:rPr>
          <w:rFonts w:cs="Arial"/>
          <w:bCs/>
          <w:color w:val="000000"/>
          <w:sz w:val="24"/>
        </w:rPr>
        <w:t xml:space="preserve">los 13 </w:t>
      </w:r>
      <w:r w:rsidR="00303AAB">
        <w:rPr>
          <w:rFonts w:cs="Arial"/>
          <w:bCs/>
          <w:color w:val="000000"/>
          <w:sz w:val="24"/>
        </w:rPr>
        <w:t>centros de cultivo MYPE</w:t>
      </w:r>
      <w:r w:rsidR="00671A40">
        <w:rPr>
          <w:rFonts w:cs="Arial"/>
          <w:bCs/>
          <w:color w:val="000000"/>
          <w:sz w:val="24"/>
        </w:rPr>
        <w:t xml:space="preserve"> diagnosticados</w:t>
      </w:r>
      <w:r w:rsidR="00303AAB">
        <w:rPr>
          <w:rFonts w:cs="Arial"/>
          <w:bCs/>
          <w:color w:val="000000"/>
          <w:sz w:val="24"/>
        </w:rPr>
        <w:t xml:space="preserve"> (1</w:t>
      </w:r>
      <w:r w:rsidR="00380863" w:rsidRPr="00152EEA">
        <w:rPr>
          <w:rFonts w:cs="Arial"/>
          <w:bCs/>
          <w:color w:val="000000"/>
          <w:sz w:val="24"/>
        </w:rPr>
        <w:t xml:space="preserve"> </w:t>
      </w:r>
      <w:r w:rsidR="00303AAB">
        <w:rPr>
          <w:rFonts w:cs="Arial"/>
          <w:bCs/>
          <w:color w:val="000000"/>
          <w:sz w:val="24"/>
        </w:rPr>
        <w:t>centro</w:t>
      </w:r>
      <w:r w:rsidR="00D01780" w:rsidRPr="00152EEA">
        <w:rPr>
          <w:rFonts w:cs="Arial"/>
          <w:bCs/>
          <w:color w:val="000000"/>
          <w:sz w:val="24"/>
        </w:rPr>
        <w:t>)</w:t>
      </w:r>
      <w:r w:rsidR="006A09A8" w:rsidRPr="00152EEA">
        <w:rPr>
          <w:rFonts w:cs="Arial"/>
          <w:bCs/>
          <w:color w:val="000000"/>
          <w:sz w:val="24"/>
        </w:rPr>
        <w:t xml:space="preserve">, </w:t>
      </w:r>
      <w:r w:rsidR="00671A40">
        <w:rPr>
          <w:rFonts w:cs="Arial"/>
          <w:bCs/>
          <w:color w:val="000000"/>
          <w:sz w:val="24"/>
        </w:rPr>
        <w:t>informa</w:t>
      </w:r>
      <w:r w:rsidR="006A09A8" w:rsidRPr="00152EEA">
        <w:rPr>
          <w:rFonts w:cs="Arial"/>
          <w:bCs/>
          <w:color w:val="000000"/>
          <w:sz w:val="24"/>
        </w:rPr>
        <w:t xml:space="preserve"> no poseer datos anteriores de evaluación ambiental</w:t>
      </w:r>
      <w:r w:rsidR="00671A40">
        <w:rPr>
          <w:rFonts w:cs="Arial"/>
          <w:bCs/>
          <w:color w:val="000000"/>
          <w:sz w:val="24"/>
        </w:rPr>
        <w:t>, en cambio el 30% de 10 centros de cultivo Grande (3 centros),</w:t>
      </w:r>
      <w:r w:rsidR="00D01780" w:rsidRPr="00152EEA">
        <w:rPr>
          <w:rFonts w:cs="Arial"/>
          <w:bCs/>
          <w:color w:val="000000"/>
          <w:sz w:val="24"/>
        </w:rPr>
        <w:t xml:space="preserve"> </w:t>
      </w:r>
      <w:r w:rsidR="00671A40">
        <w:rPr>
          <w:rFonts w:cs="Arial"/>
          <w:bCs/>
          <w:color w:val="000000"/>
          <w:sz w:val="24"/>
        </w:rPr>
        <w:t>no poseen datos anteriores de evaluación ambiental</w:t>
      </w:r>
      <w:r w:rsidR="00323D01" w:rsidRPr="000A1A8E">
        <w:rPr>
          <w:rFonts w:cs="Arial"/>
          <w:bCs/>
          <w:color w:val="000000"/>
          <w:sz w:val="24"/>
        </w:rPr>
        <w:t>.</w:t>
      </w:r>
      <w:r w:rsidR="00671A40" w:rsidRPr="000A1A8E">
        <w:rPr>
          <w:rFonts w:cs="Arial"/>
          <w:bCs/>
          <w:color w:val="000000"/>
          <w:sz w:val="24"/>
        </w:rPr>
        <w:t xml:space="preserve"> </w:t>
      </w:r>
      <w:r w:rsidR="000A1A8E" w:rsidRPr="000A1A8E">
        <w:rPr>
          <w:rFonts w:cs="Arial"/>
          <w:bCs/>
          <w:color w:val="000000"/>
          <w:sz w:val="24"/>
        </w:rPr>
        <w:t>(Figura 31</w:t>
      </w:r>
      <w:r w:rsidR="000E7CF8" w:rsidRPr="000A1A8E">
        <w:rPr>
          <w:rFonts w:cs="Arial"/>
          <w:bCs/>
          <w:color w:val="000000"/>
          <w:sz w:val="24"/>
        </w:rPr>
        <w:t>).</w:t>
      </w:r>
    </w:p>
    <w:p w14:paraId="08E76797" w14:textId="77777777" w:rsidR="00671A40" w:rsidRDefault="00671A40" w:rsidP="004A28A7">
      <w:pPr>
        <w:pStyle w:val="Encabezado"/>
        <w:spacing w:line="276" w:lineRule="auto"/>
        <w:ind w:firstLine="709"/>
        <w:jc w:val="both"/>
        <w:rPr>
          <w:rFonts w:cs="Arial"/>
          <w:bCs/>
          <w:color w:val="000000"/>
          <w:sz w:val="24"/>
        </w:rPr>
      </w:pPr>
    </w:p>
    <w:p w14:paraId="3B518225" w14:textId="3ABDA7E2" w:rsidR="009B71C5" w:rsidRDefault="009B71C5" w:rsidP="004A28A7">
      <w:pPr>
        <w:pStyle w:val="Encabezado"/>
        <w:spacing w:line="276" w:lineRule="auto"/>
        <w:ind w:firstLine="709"/>
        <w:jc w:val="both"/>
        <w:rPr>
          <w:rFonts w:cs="Arial"/>
          <w:bCs/>
          <w:color w:val="000000"/>
          <w:sz w:val="24"/>
        </w:rPr>
      </w:pPr>
      <w:r>
        <w:rPr>
          <w:rFonts w:cs="Arial"/>
          <w:bCs/>
          <w:color w:val="000000"/>
          <w:sz w:val="24"/>
        </w:rPr>
        <w:t>El 85</w:t>
      </w:r>
      <w:r w:rsidR="00D01780" w:rsidRPr="00152EEA">
        <w:rPr>
          <w:rFonts w:cs="Arial"/>
          <w:bCs/>
          <w:color w:val="000000"/>
          <w:sz w:val="24"/>
        </w:rPr>
        <w:t>% de las</w:t>
      </w:r>
      <w:r>
        <w:rPr>
          <w:rFonts w:cs="Arial"/>
          <w:bCs/>
          <w:color w:val="000000"/>
          <w:sz w:val="24"/>
        </w:rPr>
        <w:t xml:space="preserve"> empresas MYPE</w:t>
      </w:r>
      <w:r w:rsidR="00D01780" w:rsidRPr="00152EEA">
        <w:rPr>
          <w:rFonts w:cs="Arial"/>
          <w:bCs/>
          <w:color w:val="000000"/>
          <w:sz w:val="24"/>
        </w:rPr>
        <w:t xml:space="preserve"> señala </w:t>
      </w:r>
      <w:r>
        <w:rPr>
          <w:rFonts w:cs="Arial"/>
          <w:bCs/>
          <w:color w:val="000000"/>
          <w:sz w:val="24"/>
        </w:rPr>
        <w:t xml:space="preserve">que no </w:t>
      </w:r>
      <w:r w:rsidR="00D01780" w:rsidRPr="00152EEA">
        <w:rPr>
          <w:rFonts w:cs="Arial"/>
          <w:bCs/>
          <w:color w:val="000000"/>
          <w:sz w:val="24"/>
        </w:rPr>
        <w:t>asigna</w:t>
      </w:r>
      <w:r>
        <w:rPr>
          <w:rFonts w:cs="Arial"/>
          <w:bCs/>
          <w:color w:val="000000"/>
          <w:sz w:val="24"/>
        </w:rPr>
        <w:t>n</w:t>
      </w:r>
      <w:r w:rsidR="00D01780" w:rsidRPr="00152EEA">
        <w:rPr>
          <w:rFonts w:cs="Arial"/>
          <w:bCs/>
          <w:color w:val="000000"/>
          <w:sz w:val="24"/>
        </w:rPr>
        <w:t xml:space="preserve"> re</w:t>
      </w:r>
      <w:r w:rsidR="006A09A8" w:rsidRPr="00152EEA">
        <w:rPr>
          <w:rFonts w:cs="Arial"/>
          <w:bCs/>
          <w:color w:val="000000"/>
          <w:sz w:val="24"/>
        </w:rPr>
        <w:t>cursos financieros a gestión ambiental</w:t>
      </w:r>
      <w:r>
        <w:rPr>
          <w:rFonts w:cs="Arial"/>
          <w:bCs/>
          <w:color w:val="000000"/>
          <w:sz w:val="24"/>
        </w:rPr>
        <w:t xml:space="preserve"> y el segmento Grande el 40%. </w:t>
      </w:r>
      <w:r w:rsidR="000A1A8E" w:rsidRPr="000A1A8E">
        <w:rPr>
          <w:rFonts w:cs="Arial"/>
          <w:bCs/>
          <w:color w:val="000000"/>
          <w:sz w:val="24"/>
        </w:rPr>
        <w:t>(Figura 31).</w:t>
      </w:r>
    </w:p>
    <w:p w14:paraId="3B0B0292" w14:textId="77777777" w:rsidR="009B71C5" w:rsidRDefault="009B71C5" w:rsidP="004A28A7">
      <w:pPr>
        <w:pStyle w:val="Encabezado"/>
        <w:spacing w:line="276" w:lineRule="auto"/>
        <w:ind w:firstLine="709"/>
        <w:jc w:val="both"/>
        <w:rPr>
          <w:rFonts w:cs="Arial"/>
          <w:bCs/>
          <w:color w:val="000000"/>
          <w:sz w:val="24"/>
        </w:rPr>
      </w:pPr>
    </w:p>
    <w:p w14:paraId="63C4E191" w14:textId="7F272359" w:rsidR="009B71C5" w:rsidRDefault="009B71C5" w:rsidP="004A28A7">
      <w:pPr>
        <w:pStyle w:val="Encabezado"/>
        <w:spacing w:line="276" w:lineRule="auto"/>
        <w:ind w:firstLine="709"/>
        <w:jc w:val="both"/>
        <w:rPr>
          <w:rFonts w:cs="Arial"/>
          <w:bCs/>
          <w:color w:val="000000"/>
          <w:sz w:val="24"/>
        </w:rPr>
      </w:pPr>
      <w:r>
        <w:rPr>
          <w:rFonts w:cs="Arial"/>
          <w:bCs/>
          <w:color w:val="000000"/>
          <w:sz w:val="24"/>
        </w:rPr>
        <w:t xml:space="preserve">Con respecto al análisis sobre el entrenamiento del personal en el manejo y prevención de la contaminación, 9 centros de cultivo MYPE (69%); y una empresa Grande (10%), informaron no entrenar a los trabajadores. Además, 12 centros de cultivo de la categoría MYPE (92%) y 3 centros del segmento Grande (30%), indican no capacitar al personal en </w:t>
      </w:r>
      <w:r>
        <w:rPr>
          <w:rFonts w:cs="Arial"/>
          <w:bCs/>
          <w:color w:val="000000"/>
          <w:sz w:val="24"/>
        </w:rPr>
        <w:lastRenderedPageBreak/>
        <w:t>residuos peligrosos. El 85% y 30% de centros de cultivo MYPE y Grande respectivamente no poseen procedimientos para prevenir problemas de índole ambiental</w:t>
      </w:r>
      <w:r w:rsidR="000A1A8E">
        <w:rPr>
          <w:rFonts w:cs="Arial"/>
          <w:bCs/>
          <w:color w:val="000000"/>
          <w:sz w:val="24"/>
        </w:rPr>
        <w:t xml:space="preserve">. </w:t>
      </w:r>
      <w:r w:rsidR="000A1A8E" w:rsidRPr="000A1A8E">
        <w:rPr>
          <w:rFonts w:cs="Arial"/>
          <w:bCs/>
          <w:color w:val="000000"/>
          <w:sz w:val="24"/>
        </w:rPr>
        <w:t>(Figura 31).</w:t>
      </w:r>
    </w:p>
    <w:p w14:paraId="6A78966B" w14:textId="77777777" w:rsidR="000E7CF8" w:rsidRDefault="000E7CF8" w:rsidP="004A28A7">
      <w:pPr>
        <w:pStyle w:val="Encabezado"/>
        <w:spacing w:line="276" w:lineRule="auto"/>
        <w:ind w:firstLine="709"/>
        <w:jc w:val="both"/>
        <w:rPr>
          <w:rFonts w:cs="Arial"/>
          <w:bCs/>
          <w:color w:val="000000"/>
          <w:sz w:val="24"/>
        </w:rPr>
      </w:pPr>
    </w:p>
    <w:p w14:paraId="7EA089CC" w14:textId="32F9DEAD" w:rsidR="006A09A8" w:rsidRDefault="000E7CF8" w:rsidP="000E7CF8">
      <w:pPr>
        <w:pStyle w:val="Encabezado"/>
        <w:spacing w:line="276" w:lineRule="auto"/>
        <w:ind w:firstLine="709"/>
        <w:jc w:val="both"/>
        <w:rPr>
          <w:rFonts w:cs="Arial"/>
          <w:bCs/>
          <w:color w:val="000000"/>
          <w:sz w:val="24"/>
        </w:rPr>
      </w:pPr>
      <w:r>
        <w:rPr>
          <w:rFonts w:cs="Arial"/>
          <w:bCs/>
          <w:color w:val="000000"/>
          <w:sz w:val="24"/>
        </w:rPr>
        <w:t xml:space="preserve">Por otro lado, 9 centros MYPE (69%) y 1 centro de categoría Grande (10%), no mantienen control de la documentación de relevancia ambiental. </w:t>
      </w:r>
      <w:r w:rsidR="000A1A8E" w:rsidRPr="000A1A8E">
        <w:rPr>
          <w:rFonts w:cs="Arial"/>
          <w:bCs/>
          <w:color w:val="000000"/>
          <w:sz w:val="24"/>
        </w:rPr>
        <w:t>(Figura 31).</w:t>
      </w:r>
    </w:p>
    <w:p w14:paraId="14A0601C" w14:textId="77777777" w:rsidR="00471137" w:rsidRDefault="00471137" w:rsidP="006A09A8">
      <w:pPr>
        <w:pStyle w:val="Encabezado"/>
        <w:jc w:val="both"/>
        <w:rPr>
          <w:rFonts w:cs="Arial"/>
          <w:bCs/>
          <w:color w:val="000000"/>
          <w:sz w:val="24"/>
        </w:rPr>
      </w:pPr>
    </w:p>
    <w:p w14:paraId="502CB1A6" w14:textId="56807E1B" w:rsidR="004A28A7" w:rsidRDefault="00D606BF" w:rsidP="000E7CF8">
      <w:pPr>
        <w:pStyle w:val="Encabezado"/>
        <w:spacing w:line="276" w:lineRule="auto"/>
        <w:ind w:firstLine="709"/>
        <w:jc w:val="both"/>
        <w:rPr>
          <w:rFonts w:cs="Arial"/>
          <w:bCs/>
          <w:color w:val="000000"/>
          <w:sz w:val="24"/>
        </w:rPr>
      </w:pPr>
      <w:r w:rsidRPr="00152EEA">
        <w:rPr>
          <w:rFonts w:cs="Arial"/>
          <w:bCs/>
          <w:color w:val="000000"/>
          <w:sz w:val="24"/>
        </w:rPr>
        <w:t xml:space="preserve">El escurrimiento de gua </w:t>
      </w:r>
      <w:r w:rsidR="00111E24" w:rsidRPr="00152EEA">
        <w:rPr>
          <w:rFonts w:cs="Arial"/>
          <w:bCs/>
          <w:color w:val="000000"/>
          <w:sz w:val="24"/>
        </w:rPr>
        <w:t xml:space="preserve">que se produce </w:t>
      </w:r>
      <w:r w:rsidRPr="00152EEA">
        <w:rPr>
          <w:rFonts w:cs="Arial"/>
          <w:bCs/>
          <w:color w:val="000000"/>
          <w:sz w:val="24"/>
        </w:rPr>
        <w:t>en el traslado de materia prima</w:t>
      </w:r>
      <w:r w:rsidR="00111E24" w:rsidRPr="00152EEA">
        <w:rPr>
          <w:rFonts w:cs="Arial"/>
          <w:bCs/>
          <w:color w:val="000000"/>
          <w:sz w:val="24"/>
        </w:rPr>
        <w:t>,</w:t>
      </w:r>
      <w:r w:rsidRPr="00152EEA">
        <w:rPr>
          <w:rFonts w:cs="Arial"/>
          <w:bCs/>
          <w:color w:val="000000"/>
          <w:sz w:val="24"/>
        </w:rPr>
        <w:t xml:space="preserve"> es una problemática que afecta principalmente a la comunidad </w:t>
      </w:r>
      <w:r w:rsidR="00A9236D" w:rsidRPr="00152EEA">
        <w:rPr>
          <w:rFonts w:cs="Arial"/>
          <w:bCs/>
          <w:color w:val="000000"/>
          <w:sz w:val="24"/>
        </w:rPr>
        <w:t xml:space="preserve"> y </w:t>
      </w:r>
      <w:r w:rsidR="00111E24" w:rsidRPr="00152EEA">
        <w:rPr>
          <w:rFonts w:cs="Arial"/>
          <w:bCs/>
          <w:color w:val="000000"/>
          <w:sz w:val="24"/>
        </w:rPr>
        <w:t xml:space="preserve">al </w:t>
      </w:r>
      <w:r w:rsidR="00A9236D" w:rsidRPr="00152EEA">
        <w:rPr>
          <w:rFonts w:cs="Arial"/>
          <w:bCs/>
          <w:color w:val="000000"/>
          <w:sz w:val="24"/>
        </w:rPr>
        <w:t xml:space="preserve">entorno. La materia prima cosechada es traslada en mallas y </w:t>
      </w:r>
      <w:proofErr w:type="spellStart"/>
      <w:r w:rsidR="00A9236D" w:rsidRPr="00152EEA">
        <w:rPr>
          <w:rFonts w:cs="Arial"/>
          <w:bCs/>
          <w:color w:val="000000"/>
          <w:sz w:val="24"/>
        </w:rPr>
        <w:t>maxisacos</w:t>
      </w:r>
      <w:proofErr w:type="spellEnd"/>
      <w:r w:rsidR="00A9236D" w:rsidRPr="00152EEA">
        <w:rPr>
          <w:rFonts w:cs="Arial"/>
          <w:bCs/>
          <w:color w:val="000000"/>
          <w:sz w:val="24"/>
        </w:rPr>
        <w:t xml:space="preserve"> principalmente</w:t>
      </w:r>
      <w:r w:rsidR="002D192D" w:rsidRPr="00152EEA">
        <w:rPr>
          <w:rFonts w:cs="Arial"/>
          <w:bCs/>
          <w:color w:val="000000"/>
          <w:sz w:val="24"/>
        </w:rPr>
        <w:t xml:space="preserve">, estos envases son permeables, por lo tanto no almacenan el agua </w:t>
      </w:r>
      <w:r w:rsidR="00A9236D" w:rsidRPr="00152EEA">
        <w:rPr>
          <w:rFonts w:cs="Arial"/>
          <w:bCs/>
          <w:color w:val="000000"/>
          <w:sz w:val="24"/>
        </w:rPr>
        <w:t>que se gen</w:t>
      </w:r>
      <w:r w:rsidR="002D192D" w:rsidRPr="00152EEA">
        <w:rPr>
          <w:rFonts w:cs="Arial"/>
          <w:bCs/>
          <w:color w:val="000000"/>
          <w:sz w:val="24"/>
        </w:rPr>
        <w:t xml:space="preserve">era </w:t>
      </w:r>
      <w:r w:rsidR="00A9236D" w:rsidRPr="00152EEA">
        <w:rPr>
          <w:rFonts w:cs="Arial"/>
          <w:bCs/>
          <w:color w:val="000000"/>
          <w:sz w:val="24"/>
        </w:rPr>
        <w:t xml:space="preserve">producto de la </w:t>
      </w:r>
      <w:r w:rsidR="002D192D" w:rsidRPr="00152EEA">
        <w:rPr>
          <w:rFonts w:cs="Arial"/>
          <w:bCs/>
          <w:color w:val="000000"/>
          <w:sz w:val="24"/>
        </w:rPr>
        <w:t>deshidratación</w:t>
      </w:r>
      <w:r w:rsidR="00A9236D" w:rsidRPr="00152EEA">
        <w:rPr>
          <w:rFonts w:cs="Arial"/>
          <w:bCs/>
          <w:color w:val="000000"/>
          <w:sz w:val="24"/>
        </w:rPr>
        <w:t xml:space="preserve"> </w:t>
      </w:r>
      <w:r w:rsidR="00F77B1D" w:rsidRPr="00152EEA">
        <w:rPr>
          <w:rFonts w:cs="Arial"/>
          <w:bCs/>
          <w:color w:val="000000"/>
          <w:sz w:val="24"/>
        </w:rPr>
        <w:t xml:space="preserve">de los </w:t>
      </w:r>
      <w:proofErr w:type="spellStart"/>
      <w:r w:rsidR="00F77B1D" w:rsidRPr="00152EEA">
        <w:rPr>
          <w:rFonts w:cs="Arial"/>
          <w:bCs/>
          <w:color w:val="000000"/>
          <w:sz w:val="24"/>
        </w:rPr>
        <w:t>choritos</w:t>
      </w:r>
      <w:proofErr w:type="spellEnd"/>
      <w:r w:rsidR="00F77B1D" w:rsidRPr="00152EEA">
        <w:rPr>
          <w:rFonts w:cs="Arial"/>
          <w:bCs/>
          <w:color w:val="000000"/>
          <w:sz w:val="24"/>
        </w:rPr>
        <w:t xml:space="preserve"> frescos. El agua escurre sobre las superficies de las carreteras durante el trayecto entre el centro de cultivo y la p</w:t>
      </w:r>
      <w:r w:rsidR="000E7CF8">
        <w:rPr>
          <w:rFonts w:cs="Arial"/>
          <w:bCs/>
          <w:color w:val="000000"/>
          <w:sz w:val="24"/>
        </w:rPr>
        <w:t>l</w:t>
      </w:r>
      <w:r w:rsidR="00F77B1D" w:rsidRPr="00152EEA">
        <w:rPr>
          <w:rFonts w:cs="Arial"/>
          <w:bCs/>
          <w:color w:val="000000"/>
          <w:sz w:val="24"/>
        </w:rPr>
        <w:t>anta</w:t>
      </w:r>
      <w:r w:rsidR="000E7CF8">
        <w:rPr>
          <w:rFonts w:cs="Arial"/>
          <w:bCs/>
          <w:color w:val="000000"/>
          <w:sz w:val="24"/>
        </w:rPr>
        <w:t xml:space="preserve"> de proceso</w:t>
      </w:r>
      <w:r w:rsidR="00F77B1D" w:rsidRPr="00152EEA">
        <w:rPr>
          <w:rFonts w:cs="Arial"/>
          <w:bCs/>
          <w:color w:val="000000"/>
          <w:sz w:val="24"/>
        </w:rPr>
        <w:t>,</w:t>
      </w:r>
      <w:r w:rsidR="00D05DE6" w:rsidRPr="00152EEA">
        <w:rPr>
          <w:rFonts w:cs="Arial"/>
          <w:bCs/>
          <w:color w:val="000000"/>
          <w:sz w:val="24"/>
        </w:rPr>
        <w:t xml:space="preserve"> provocando malos olores que se acentúan</w:t>
      </w:r>
      <w:r w:rsidR="00F77B1D" w:rsidRPr="00152EEA">
        <w:rPr>
          <w:rFonts w:cs="Arial"/>
          <w:bCs/>
          <w:color w:val="000000"/>
          <w:sz w:val="24"/>
        </w:rPr>
        <w:t xml:space="preserve"> con el aumento de temperatura en </w:t>
      </w:r>
      <w:r w:rsidR="003E6E93" w:rsidRPr="00152EEA">
        <w:rPr>
          <w:rFonts w:cs="Arial"/>
          <w:bCs/>
          <w:color w:val="000000"/>
          <w:sz w:val="24"/>
        </w:rPr>
        <w:t>la</w:t>
      </w:r>
      <w:r w:rsidR="00F77B1D" w:rsidRPr="00152EEA">
        <w:rPr>
          <w:rFonts w:cs="Arial"/>
          <w:bCs/>
          <w:color w:val="000000"/>
          <w:sz w:val="24"/>
        </w:rPr>
        <w:t xml:space="preserve"> </w:t>
      </w:r>
      <w:r w:rsidR="00D05DE6" w:rsidRPr="00152EEA">
        <w:rPr>
          <w:rFonts w:cs="Arial"/>
          <w:bCs/>
          <w:color w:val="000000"/>
          <w:sz w:val="24"/>
        </w:rPr>
        <w:t>époc</w:t>
      </w:r>
      <w:r w:rsidR="00F77B1D" w:rsidRPr="00152EEA">
        <w:rPr>
          <w:rFonts w:cs="Arial"/>
          <w:bCs/>
          <w:color w:val="000000"/>
          <w:sz w:val="24"/>
        </w:rPr>
        <w:t>a estival.</w:t>
      </w:r>
      <w:r w:rsidR="000E7CF8">
        <w:rPr>
          <w:rFonts w:cs="Arial"/>
          <w:bCs/>
          <w:color w:val="000000"/>
          <w:sz w:val="24"/>
        </w:rPr>
        <w:t xml:space="preserve"> Señalar, que el 100% de los centros de cultivo MYPE y el 60% de centros de cultivo Grande, no poseen un procedimiento de</w:t>
      </w:r>
      <w:r w:rsidR="000E7CF8" w:rsidRPr="000E7CF8">
        <w:rPr>
          <w:rFonts w:cs="Arial"/>
          <w:bCs/>
          <w:color w:val="000000"/>
          <w:sz w:val="24"/>
        </w:rPr>
        <w:t xml:space="preserve"> transporte por tierra desde el centro de cultivo a planta que evite el escurrimiento de agua</w:t>
      </w:r>
      <w:r w:rsidR="000E7CF8">
        <w:rPr>
          <w:rFonts w:cs="Arial"/>
          <w:bCs/>
          <w:color w:val="000000"/>
          <w:sz w:val="24"/>
        </w:rPr>
        <w:t xml:space="preserve">. </w:t>
      </w:r>
      <w:r w:rsidR="000A1A8E" w:rsidRPr="000A1A8E">
        <w:rPr>
          <w:rFonts w:cs="Arial"/>
          <w:bCs/>
          <w:color w:val="000000"/>
          <w:sz w:val="24"/>
        </w:rPr>
        <w:t>(Figura 31).</w:t>
      </w:r>
    </w:p>
    <w:p w14:paraId="2B975282" w14:textId="77777777" w:rsidR="000E7CF8" w:rsidRDefault="000E7CF8" w:rsidP="000E7CF8">
      <w:pPr>
        <w:pStyle w:val="Encabezado"/>
        <w:spacing w:line="276" w:lineRule="auto"/>
        <w:ind w:firstLine="709"/>
        <w:jc w:val="both"/>
        <w:rPr>
          <w:rFonts w:cs="Arial"/>
          <w:bCs/>
          <w:color w:val="000000"/>
          <w:sz w:val="24"/>
        </w:rPr>
      </w:pPr>
    </w:p>
    <w:p w14:paraId="18C0F5B6" w14:textId="3DBF5F00" w:rsidR="006A09A8" w:rsidRDefault="0034264B" w:rsidP="00303AAB">
      <w:pPr>
        <w:pStyle w:val="Encabezado"/>
        <w:spacing w:line="276" w:lineRule="auto"/>
        <w:jc w:val="both"/>
        <w:rPr>
          <w:rFonts w:cs="Arial"/>
          <w:bCs/>
          <w:color w:val="000000"/>
          <w:sz w:val="24"/>
        </w:rPr>
      </w:pPr>
      <w:r>
        <w:rPr>
          <w:rFonts w:cs="Arial"/>
          <w:bCs/>
          <w:color w:val="000000"/>
          <w:sz w:val="24"/>
        </w:rPr>
        <w:t>El Reglamento Ambiental para la acuicultura (RAMA), Art. 4, letra b, señala que los titulares de las concesiones deben m</w:t>
      </w:r>
      <w:r w:rsidRPr="0034264B">
        <w:rPr>
          <w:rFonts w:cs="Arial"/>
          <w:bCs/>
          <w:color w:val="000000"/>
          <w:sz w:val="24"/>
        </w:rPr>
        <w:t>antener la limpieza de las playas y terrenos de playa aledaños al centro de</w:t>
      </w:r>
      <w:r>
        <w:rPr>
          <w:rFonts w:cs="Arial"/>
          <w:bCs/>
          <w:color w:val="000000"/>
          <w:sz w:val="24"/>
        </w:rPr>
        <w:t xml:space="preserve"> </w:t>
      </w:r>
      <w:r w:rsidRPr="0034264B">
        <w:rPr>
          <w:rFonts w:cs="Arial"/>
          <w:bCs/>
          <w:color w:val="000000"/>
          <w:sz w:val="24"/>
        </w:rPr>
        <w:t>cultivo de todo residuo sóli</w:t>
      </w:r>
      <w:r>
        <w:rPr>
          <w:rFonts w:cs="Arial"/>
          <w:bCs/>
          <w:color w:val="000000"/>
          <w:sz w:val="24"/>
        </w:rPr>
        <w:t>do generado por la acuicultura. Ambas categoría</w:t>
      </w:r>
      <w:r w:rsidR="0017591C">
        <w:rPr>
          <w:rFonts w:cs="Arial"/>
          <w:bCs/>
          <w:color w:val="000000"/>
          <w:sz w:val="24"/>
        </w:rPr>
        <w:t>s</w:t>
      </w:r>
      <w:r>
        <w:rPr>
          <w:rFonts w:cs="Arial"/>
          <w:bCs/>
          <w:color w:val="000000"/>
          <w:sz w:val="24"/>
        </w:rPr>
        <w:t>, informan en un 100% realizar aseo de playas, sin embargo el 69%</w:t>
      </w:r>
      <w:r w:rsidR="0017591C">
        <w:rPr>
          <w:rFonts w:cs="Arial"/>
          <w:bCs/>
          <w:color w:val="000000"/>
          <w:sz w:val="24"/>
        </w:rPr>
        <w:t xml:space="preserve"> (9 centros)</w:t>
      </w:r>
      <w:r>
        <w:rPr>
          <w:rFonts w:cs="Arial"/>
          <w:bCs/>
          <w:color w:val="000000"/>
          <w:sz w:val="24"/>
        </w:rPr>
        <w:t xml:space="preserve"> MYPE, señalan no conocer la normativa asociada a limpieza de playas y en el caso de las empresas Grande, el 90%</w:t>
      </w:r>
      <w:r w:rsidR="0017591C">
        <w:rPr>
          <w:rFonts w:cs="Arial"/>
          <w:bCs/>
          <w:color w:val="000000"/>
          <w:sz w:val="24"/>
        </w:rPr>
        <w:t xml:space="preserve"> indica co</w:t>
      </w:r>
      <w:r w:rsidR="000E7CF8">
        <w:rPr>
          <w:rFonts w:cs="Arial"/>
          <w:bCs/>
          <w:color w:val="000000"/>
          <w:sz w:val="24"/>
        </w:rPr>
        <w:t>nocer la normativa</w:t>
      </w:r>
      <w:r w:rsidR="0017591C">
        <w:rPr>
          <w:rFonts w:cs="Arial"/>
          <w:bCs/>
          <w:color w:val="000000"/>
          <w:sz w:val="24"/>
        </w:rPr>
        <w:t xml:space="preserve"> (9 empresas).</w:t>
      </w:r>
      <w:r>
        <w:rPr>
          <w:rFonts w:cs="Arial"/>
          <w:bCs/>
          <w:color w:val="000000"/>
          <w:sz w:val="24"/>
        </w:rPr>
        <w:t xml:space="preserve"> </w:t>
      </w:r>
      <w:r w:rsidR="000A1A8E" w:rsidRPr="000A1A8E">
        <w:rPr>
          <w:rFonts w:cs="Arial"/>
          <w:bCs/>
          <w:color w:val="000000"/>
          <w:sz w:val="24"/>
        </w:rPr>
        <w:t>(Figura 31).</w:t>
      </w:r>
    </w:p>
    <w:p w14:paraId="00F47414" w14:textId="77777777" w:rsidR="006A09A8" w:rsidRDefault="006A09A8" w:rsidP="00190ADE">
      <w:pPr>
        <w:pStyle w:val="Encabezado"/>
        <w:jc w:val="both"/>
        <w:rPr>
          <w:lang w:eastAsia="es-CL"/>
        </w:rPr>
      </w:pPr>
    </w:p>
    <w:p w14:paraId="255F4CDE" w14:textId="77777777" w:rsidR="00847E6B" w:rsidRPr="00847E6B" w:rsidRDefault="00847E6B" w:rsidP="00190ADE">
      <w:pPr>
        <w:pStyle w:val="Encabezado"/>
        <w:jc w:val="both"/>
        <w:rPr>
          <w:lang w:eastAsia="es-CL"/>
        </w:rPr>
      </w:pPr>
    </w:p>
    <w:p w14:paraId="295AA401" w14:textId="1ABCB190" w:rsidR="00190ADE" w:rsidRDefault="006055DD" w:rsidP="00190ADE">
      <w:pPr>
        <w:pStyle w:val="Encabezado"/>
        <w:rPr>
          <w:highlight w:val="yellow"/>
          <w:lang w:eastAsia="es-CL"/>
        </w:rPr>
      </w:pPr>
      <w:r>
        <w:rPr>
          <w:noProof/>
          <w:lang w:val="es-CL" w:eastAsia="es-CL"/>
        </w:rPr>
        <w:lastRenderedPageBreak/>
        <w:drawing>
          <wp:inline distT="0" distB="0" distL="0" distR="0" wp14:anchorId="53F497B6" wp14:editId="4D542FE4">
            <wp:extent cx="2760453" cy="7496355"/>
            <wp:effectExtent l="0" t="0" r="20955" b="9525"/>
            <wp:docPr id="5136" name="Gráfico 5136"/>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r>
        <w:rPr>
          <w:noProof/>
          <w:lang w:val="es-CL" w:eastAsia="es-CL"/>
        </w:rPr>
        <w:drawing>
          <wp:inline distT="0" distB="0" distL="0" distR="0" wp14:anchorId="1426A337" wp14:editId="31BE0C21">
            <wp:extent cx="2734574" cy="7496355"/>
            <wp:effectExtent l="0" t="0" r="27940" b="9525"/>
            <wp:docPr id="5137" name="Gráfico 5137"/>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p w14:paraId="15528AB0" w14:textId="2F869AD7" w:rsidR="00190ADE" w:rsidRDefault="00190ADE" w:rsidP="00190ADE">
      <w:pPr>
        <w:pStyle w:val="Encabezado"/>
        <w:rPr>
          <w:rFonts w:cs="Arial"/>
          <w:bCs/>
          <w:color w:val="000000"/>
          <w:sz w:val="24"/>
        </w:rPr>
      </w:pPr>
      <w:r w:rsidRPr="007F6A01">
        <w:rPr>
          <w:rFonts w:cs="Arial"/>
          <w:b/>
          <w:bCs/>
          <w:color w:val="000000"/>
          <w:sz w:val="24"/>
        </w:rPr>
        <w:t xml:space="preserve">Figura </w:t>
      </w:r>
      <w:r w:rsidR="000A1A8E">
        <w:rPr>
          <w:rFonts w:cs="Arial"/>
          <w:b/>
          <w:bCs/>
          <w:color w:val="000000"/>
          <w:sz w:val="24"/>
        </w:rPr>
        <w:t>31</w:t>
      </w:r>
      <w:r w:rsidRPr="007F6A01">
        <w:rPr>
          <w:rFonts w:cs="Arial"/>
          <w:b/>
          <w:bCs/>
          <w:color w:val="000000"/>
          <w:sz w:val="24"/>
        </w:rPr>
        <w:t>.</w:t>
      </w:r>
      <w:r>
        <w:rPr>
          <w:rFonts w:cs="Arial"/>
          <w:bCs/>
          <w:color w:val="000000"/>
          <w:sz w:val="24"/>
        </w:rPr>
        <w:t xml:space="preserve"> Gestión Ambiental</w:t>
      </w:r>
      <w:r w:rsidR="00FB5D96">
        <w:rPr>
          <w:rFonts w:cs="Arial"/>
          <w:bCs/>
          <w:color w:val="000000"/>
          <w:sz w:val="24"/>
        </w:rPr>
        <w:t xml:space="preserve"> (%).</w:t>
      </w:r>
    </w:p>
    <w:p w14:paraId="6F033D04" w14:textId="77777777" w:rsidR="00843CC1" w:rsidRDefault="00843CC1" w:rsidP="001D4D13">
      <w:pPr>
        <w:pStyle w:val="Encabezado"/>
        <w:rPr>
          <w:lang w:eastAsia="es-CL"/>
        </w:rPr>
      </w:pPr>
    </w:p>
    <w:p w14:paraId="7421A297" w14:textId="77777777" w:rsidR="001D4D13" w:rsidRPr="004B184E" w:rsidRDefault="001D4D13" w:rsidP="00E31A3F">
      <w:pPr>
        <w:pStyle w:val="Ttulo2"/>
        <w:rPr>
          <w:b w:val="0"/>
          <w:sz w:val="32"/>
          <w:szCs w:val="32"/>
          <w:lang w:eastAsia="es-CL"/>
        </w:rPr>
      </w:pPr>
      <w:bookmarkStart w:id="24" w:name="_Toc471999130"/>
      <w:r w:rsidRPr="004B184E">
        <w:rPr>
          <w:b w:val="0"/>
          <w:sz w:val="32"/>
          <w:szCs w:val="32"/>
          <w:lang w:eastAsia="es-CL"/>
        </w:rPr>
        <w:lastRenderedPageBreak/>
        <w:t>Emisiones de ruido</w:t>
      </w:r>
      <w:bookmarkEnd w:id="24"/>
    </w:p>
    <w:p w14:paraId="4967639B" w14:textId="77777777" w:rsidR="001D4D13" w:rsidRDefault="001D4D13" w:rsidP="001D4D13">
      <w:pPr>
        <w:pStyle w:val="Encabezado"/>
        <w:rPr>
          <w:lang w:eastAsia="es-CL"/>
        </w:rPr>
      </w:pPr>
    </w:p>
    <w:p w14:paraId="045ADF5C" w14:textId="1A112EC2" w:rsidR="00E2705D" w:rsidRDefault="00E2705D" w:rsidP="00E2705D">
      <w:pPr>
        <w:ind w:firstLine="709"/>
        <w:jc w:val="both"/>
        <w:rPr>
          <w:rFonts w:cs="Arial"/>
          <w:bCs/>
          <w:color w:val="000000"/>
          <w:sz w:val="24"/>
        </w:rPr>
      </w:pPr>
      <w:r w:rsidRPr="004024C4">
        <w:rPr>
          <w:rFonts w:cs="Arial"/>
          <w:bCs/>
          <w:color w:val="000000"/>
          <w:sz w:val="24"/>
        </w:rPr>
        <w:t>Ley 16.744.</w:t>
      </w:r>
      <w:r>
        <w:rPr>
          <w:rFonts w:cs="Arial"/>
          <w:bCs/>
          <w:color w:val="000000"/>
          <w:sz w:val="24"/>
        </w:rPr>
        <w:t>, que</w:t>
      </w:r>
      <w:r w:rsidRPr="004024C4">
        <w:rPr>
          <w:rFonts w:cs="Arial"/>
          <w:bCs/>
          <w:color w:val="000000"/>
          <w:sz w:val="24"/>
        </w:rPr>
        <w:t xml:space="preserve"> </w:t>
      </w:r>
      <w:r>
        <w:rPr>
          <w:rFonts w:cs="Arial"/>
          <w:bCs/>
          <w:color w:val="000000"/>
          <w:sz w:val="24"/>
        </w:rPr>
        <w:t>“</w:t>
      </w:r>
      <w:r w:rsidR="00877C09">
        <w:rPr>
          <w:rFonts w:cs="Arial"/>
          <w:bCs/>
          <w:color w:val="000000"/>
          <w:sz w:val="24"/>
        </w:rPr>
        <w:t>Establece Seguro Social contra Accidentes del Trabajo y Enfermedades P</w:t>
      </w:r>
      <w:r w:rsidRPr="004024C4">
        <w:rPr>
          <w:rFonts w:cs="Arial"/>
          <w:bCs/>
          <w:color w:val="000000"/>
          <w:sz w:val="24"/>
        </w:rPr>
        <w:t>rofesionales</w:t>
      </w:r>
      <w:r>
        <w:rPr>
          <w:rFonts w:cs="Arial"/>
          <w:bCs/>
          <w:color w:val="000000"/>
          <w:sz w:val="24"/>
        </w:rPr>
        <w:t>”, señala que es</w:t>
      </w:r>
      <w:r w:rsidRPr="00E2705D">
        <w:t xml:space="preserve"> </w:t>
      </w:r>
      <w:r w:rsidRPr="00E2705D">
        <w:rPr>
          <w:rFonts w:cs="Arial"/>
          <w:bCs/>
          <w:color w:val="000000"/>
          <w:sz w:val="24"/>
        </w:rPr>
        <w:t>obligatorio el Seguro Social contra Riesgos de Accidentes del Trabajo y Enfermedades Profesionales</w:t>
      </w:r>
    </w:p>
    <w:p w14:paraId="47222E34" w14:textId="26202798" w:rsidR="00F66FC8" w:rsidRPr="00E2705D" w:rsidRDefault="004024C4" w:rsidP="00E2705D">
      <w:pPr>
        <w:ind w:firstLine="709"/>
        <w:jc w:val="both"/>
        <w:rPr>
          <w:rFonts w:cs="Arial"/>
          <w:bCs/>
          <w:color w:val="000000"/>
          <w:sz w:val="24"/>
        </w:rPr>
      </w:pPr>
      <w:r w:rsidRPr="004024C4">
        <w:rPr>
          <w:rFonts w:cs="Arial"/>
          <w:bCs/>
          <w:color w:val="000000"/>
          <w:sz w:val="24"/>
        </w:rPr>
        <w:t>D.S 40.</w:t>
      </w:r>
      <w:r w:rsidR="00F66FC8">
        <w:rPr>
          <w:rFonts w:cs="Arial"/>
          <w:bCs/>
          <w:color w:val="000000"/>
          <w:sz w:val="24"/>
        </w:rPr>
        <w:t>, que</w:t>
      </w:r>
      <w:r w:rsidRPr="004024C4">
        <w:rPr>
          <w:rFonts w:cs="Arial"/>
          <w:bCs/>
          <w:color w:val="000000"/>
          <w:sz w:val="24"/>
        </w:rPr>
        <w:t xml:space="preserve"> </w:t>
      </w:r>
      <w:r w:rsidR="00F66FC8">
        <w:rPr>
          <w:rFonts w:cs="Arial"/>
          <w:bCs/>
          <w:color w:val="000000"/>
          <w:sz w:val="24"/>
        </w:rPr>
        <w:t>“Aprueba Reglamento sobre Prevención de Riesgos P</w:t>
      </w:r>
      <w:r w:rsidRPr="004024C4">
        <w:rPr>
          <w:rFonts w:cs="Arial"/>
          <w:bCs/>
          <w:color w:val="000000"/>
          <w:sz w:val="24"/>
        </w:rPr>
        <w:t>rofesionales</w:t>
      </w:r>
      <w:r w:rsidR="00F66FC8">
        <w:rPr>
          <w:rFonts w:cs="Arial"/>
          <w:bCs/>
          <w:color w:val="000000"/>
          <w:sz w:val="24"/>
        </w:rPr>
        <w:t>”, establece que los</w:t>
      </w:r>
      <w:r w:rsidR="00F66FC8" w:rsidRPr="00F66FC8">
        <w:rPr>
          <w:rFonts w:cs="Arial"/>
          <w:bCs/>
          <w:color w:val="000000"/>
          <w:sz w:val="24"/>
        </w:rPr>
        <w:t xml:space="preserve"> riesgos profesionales </w:t>
      </w:r>
      <w:r w:rsidR="00F66FC8">
        <w:rPr>
          <w:rFonts w:cs="Arial"/>
          <w:bCs/>
          <w:color w:val="000000"/>
          <w:sz w:val="24"/>
        </w:rPr>
        <w:t xml:space="preserve"> son aquellos riesgos </w:t>
      </w:r>
      <w:r w:rsidR="00F66FC8" w:rsidRPr="00F66FC8">
        <w:rPr>
          <w:rFonts w:cs="Arial"/>
          <w:bCs/>
          <w:color w:val="000000"/>
          <w:sz w:val="24"/>
        </w:rPr>
        <w:t>atinentes a accidentes en el trabajo o a</w:t>
      </w:r>
      <w:r w:rsidR="00F66FC8">
        <w:rPr>
          <w:rFonts w:cs="Arial"/>
          <w:bCs/>
          <w:color w:val="000000"/>
          <w:sz w:val="24"/>
        </w:rPr>
        <w:t xml:space="preserve"> </w:t>
      </w:r>
      <w:r w:rsidR="00F66FC8" w:rsidRPr="00F66FC8">
        <w:rPr>
          <w:rFonts w:cs="Arial"/>
          <w:bCs/>
          <w:color w:val="000000"/>
          <w:sz w:val="24"/>
        </w:rPr>
        <w:t>enfermedades profesionales.</w:t>
      </w:r>
      <w:r w:rsidR="00F66FC8">
        <w:rPr>
          <w:rFonts w:cs="Arial"/>
          <w:bCs/>
          <w:color w:val="000000"/>
          <w:sz w:val="24"/>
        </w:rPr>
        <w:t xml:space="preserve"> </w:t>
      </w:r>
      <w:r w:rsidR="00E2705D">
        <w:rPr>
          <w:rFonts w:cs="Arial"/>
          <w:bCs/>
          <w:color w:val="000000"/>
          <w:sz w:val="24"/>
        </w:rPr>
        <w:t>Además, señala que l</w:t>
      </w:r>
      <w:r w:rsidR="00F66FC8" w:rsidRPr="00E2705D">
        <w:rPr>
          <w:rFonts w:cs="Arial"/>
          <w:bCs/>
          <w:color w:val="000000"/>
          <w:sz w:val="24"/>
        </w:rPr>
        <w:t>os empleadores deberán mantener los equipos y dispositivos técnicamente necesarios para reducir a niveles mínimos los</w:t>
      </w:r>
      <w:r w:rsidR="00E2705D">
        <w:rPr>
          <w:rFonts w:cs="Arial"/>
          <w:bCs/>
          <w:color w:val="000000"/>
          <w:sz w:val="24"/>
        </w:rPr>
        <w:t xml:space="preserve"> </w:t>
      </w:r>
      <w:r w:rsidR="00F66FC8" w:rsidRPr="00E2705D">
        <w:rPr>
          <w:rFonts w:cs="Arial"/>
          <w:bCs/>
          <w:color w:val="000000"/>
          <w:sz w:val="24"/>
        </w:rPr>
        <w:t>riesgos que puedan presentarse en los sitios de trabajo.</w:t>
      </w:r>
    </w:p>
    <w:p w14:paraId="448B78DE" w14:textId="525E6D59" w:rsidR="00843CC1" w:rsidRPr="00152EEA" w:rsidRDefault="00843CC1" w:rsidP="004024C4">
      <w:pPr>
        <w:ind w:firstLine="709"/>
        <w:jc w:val="both"/>
        <w:rPr>
          <w:rFonts w:cs="Arial"/>
          <w:bCs/>
          <w:color w:val="000000"/>
          <w:sz w:val="24"/>
        </w:rPr>
      </w:pPr>
      <w:r w:rsidRPr="00152EEA">
        <w:rPr>
          <w:rFonts w:cs="Arial"/>
          <w:bCs/>
          <w:color w:val="000000"/>
          <w:sz w:val="24"/>
        </w:rPr>
        <w:t xml:space="preserve">El D.S. 594 “Aprueba Reglamento sobre Condiciones Sanitarias y Ambientales Básicas en los Lugares de Trabajo”, Artículo 70-82 “De Los Agentes Físicos del Ruido”. Normativa que indica que se deben realizar mediciones de ruido en los lugares de trabajo y señala los límites de exposición de los trabajadores durante su jornada laboral. Además, hace referencia a los elementos de protección personal auditivos, ya que de esta forma se evita la hipoacusia </w:t>
      </w:r>
      <w:proofErr w:type="spellStart"/>
      <w:r w:rsidRPr="00152EEA">
        <w:rPr>
          <w:rFonts w:cs="Arial"/>
          <w:bCs/>
          <w:color w:val="000000"/>
          <w:sz w:val="24"/>
        </w:rPr>
        <w:t>neurosensorial</w:t>
      </w:r>
      <w:proofErr w:type="spellEnd"/>
      <w:r w:rsidRPr="00152EEA">
        <w:rPr>
          <w:rFonts w:cs="Arial"/>
          <w:bCs/>
          <w:color w:val="000000"/>
          <w:sz w:val="24"/>
        </w:rPr>
        <w:t xml:space="preserve"> (sordera) de los trabajadores, los cuales se encuentran constantemente expuestos a emisiones de ruidos generados por las maquinarias y </w:t>
      </w:r>
      <w:r w:rsidR="00CE4C76">
        <w:rPr>
          <w:rFonts w:cs="Arial"/>
          <w:bCs/>
          <w:color w:val="000000"/>
          <w:sz w:val="24"/>
        </w:rPr>
        <w:t xml:space="preserve">equipos que se utilizan en el </w:t>
      </w:r>
      <w:r w:rsidRPr="00152EEA">
        <w:rPr>
          <w:rFonts w:cs="Arial"/>
          <w:bCs/>
          <w:color w:val="000000"/>
          <w:sz w:val="24"/>
        </w:rPr>
        <w:t>proceso</w:t>
      </w:r>
      <w:r w:rsidR="00CE4C76">
        <w:rPr>
          <w:rFonts w:cs="Arial"/>
          <w:bCs/>
          <w:color w:val="000000"/>
          <w:sz w:val="24"/>
        </w:rPr>
        <w:t xml:space="preserve"> productivo de Materia Prima</w:t>
      </w:r>
      <w:r w:rsidR="00877C09">
        <w:rPr>
          <w:rFonts w:cs="Arial"/>
          <w:bCs/>
          <w:color w:val="000000"/>
          <w:sz w:val="24"/>
        </w:rPr>
        <w:t xml:space="preserve"> de </w:t>
      </w:r>
      <w:proofErr w:type="spellStart"/>
      <w:r w:rsidR="00877C09">
        <w:rPr>
          <w:rFonts w:cs="Arial"/>
          <w:bCs/>
          <w:color w:val="000000"/>
          <w:sz w:val="24"/>
        </w:rPr>
        <w:t>chorito</w:t>
      </w:r>
      <w:proofErr w:type="spellEnd"/>
      <w:r w:rsidR="00877C09">
        <w:rPr>
          <w:rFonts w:cs="Arial"/>
          <w:bCs/>
          <w:color w:val="000000"/>
          <w:sz w:val="24"/>
        </w:rPr>
        <w:t xml:space="preserve"> fresco</w:t>
      </w:r>
      <w:r w:rsidR="00CE4C76">
        <w:rPr>
          <w:rFonts w:cs="Arial"/>
          <w:bCs/>
          <w:color w:val="000000"/>
          <w:sz w:val="24"/>
        </w:rPr>
        <w:t xml:space="preserve">, principalmente </w:t>
      </w:r>
      <w:r w:rsidR="00877C09">
        <w:rPr>
          <w:rFonts w:cs="Arial"/>
          <w:bCs/>
          <w:color w:val="000000"/>
          <w:sz w:val="24"/>
        </w:rPr>
        <w:t>motobombas,</w:t>
      </w:r>
      <w:r w:rsidR="00CE4C76">
        <w:rPr>
          <w:rFonts w:cs="Arial"/>
          <w:bCs/>
          <w:color w:val="000000"/>
          <w:sz w:val="24"/>
        </w:rPr>
        <w:t xml:space="preserve"> sistemas de co</w:t>
      </w:r>
      <w:r w:rsidR="00F73514">
        <w:rPr>
          <w:rFonts w:cs="Arial"/>
          <w:bCs/>
          <w:color w:val="000000"/>
          <w:sz w:val="24"/>
        </w:rPr>
        <w:t>s</w:t>
      </w:r>
      <w:r w:rsidR="00CE4C76">
        <w:rPr>
          <w:rFonts w:cs="Arial"/>
          <w:bCs/>
          <w:color w:val="000000"/>
          <w:sz w:val="24"/>
        </w:rPr>
        <w:t>echa y siembra</w:t>
      </w:r>
      <w:r w:rsidRPr="00152EEA">
        <w:rPr>
          <w:rFonts w:cs="Arial"/>
          <w:bCs/>
          <w:color w:val="000000"/>
          <w:sz w:val="24"/>
        </w:rPr>
        <w:t>.</w:t>
      </w:r>
      <w:r w:rsidR="004A3448">
        <w:rPr>
          <w:rFonts w:cs="Arial"/>
          <w:bCs/>
          <w:color w:val="000000"/>
          <w:sz w:val="24"/>
        </w:rPr>
        <w:t xml:space="preserve"> </w:t>
      </w:r>
    </w:p>
    <w:p w14:paraId="26951C64" w14:textId="319084AC" w:rsidR="001D245D" w:rsidRDefault="00F629B4" w:rsidP="0019533B">
      <w:pPr>
        <w:pStyle w:val="Encabezado"/>
        <w:spacing w:line="276" w:lineRule="auto"/>
        <w:ind w:firstLine="426"/>
        <w:jc w:val="both"/>
        <w:rPr>
          <w:rFonts w:cs="Arial"/>
          <w:bCs/>
          <w:color w:val="000000"/>
          <w:sz w:val="24"/>
        </w:rPr>
      </w:pPr>
      <w:r w:rsidRPr="00152EEA">
        <w:rPr>
          <w:rFonts w:cs="Arial"/>
          <w:bCs/>
          <w:color w:val="000000"/>
          <w:sz w:val="24"/>
        </w:rPr>
        <w:t>El análisis de la muestra, evidenció</w:t>
      </w:r>
      <w:r w:rsidR="00F73514">
        <w:rPr>
          <w:rFonts w:cs="Arial"/>
          <w:bCs/>
          <w:color w:val="000000"/>
          <w:sz w:val="24"/>
        </w:rPr>
        <w:t xml:space="preserve"> que de los 13 centros de cultivo MYPE diagnosticados, sólo 2 centros (15%) conoce la normativa asociada a emisiones de ruido, mientras que 7 empresas </w:t>
      </w:r>
      <w:r w:rsidR="001D245D">
        <w:rPr>
          <w:rFonts w:cs="Arial"/>
          <w:bCs/>
          <w:color w:val="000000"/>
          <w:sz w:val="24"/>
        </w:rPr>
        <w:t xml:space="preserve">(70%) </w:t>
      </w:r>
      <w:r w:rsidR="004024C4">
        <w:rPr>
          <w:rFonts w:cs="Arial"/>
          <w:bCs/>
          <w:color w:val="000000"/>
          <w:sz w:val="24"/>
        </w:rPr>
        <w:t xml:space="preserve">de un total de 10 empresas de categoría Grande </w:t>
      </w:r>
      <w:r w:rsidR="00F73514">
        <w:rPr>
          <w:rFonts w:cs="Arial"/>
          <w:bCs/>
          <w:color w:val="000000"/>
          <w:sz w:val="24"/>
        </w:rPr>
        <w:t>informan conocer la normativa</w:t>
      </w:r>
      <w:r w:rsidR="004024C4">
        <w:rPr>
          <w:rFonts w:cs="Arial"/>
          <w:bCs/>
          <w:color w:val="000000"/>
          <w:sz w:val="24"/>
        </w:rPr>
        <w:t>.</w:t>
      </w:r>
      <w:r w:rsidR="004A3448">
        <w:rPr>
          <w:rFonts w:cs="Arial"/>
          <w:bCs/>
          <w:color w:val="000000"/>
          <w:sz w:val="24"/>
        </w:rPr>
        <w:t xml:space="preserve"> (Figura 32</w:t>
      </w:r>
      <w:r w:rsidR="004A3448" w:rsidRPr="004A3448">
        <w:rPr>
          <w:rFonts w:cs="Arial"/>
          <w:bCs/>
          <w:color w:val="000000"/>
          <w:sz w:val="24"/>
        </w:rPr>
        <w:t>).</w:t>
      </w:r>
    </w:p>
    <w:p w14:paraId="574A23C6" w14:textId="77777777" w:rsidR="004024C4" w:rsidRDefault="004024C4" w:rsidP="0019533B">
      <w:pPr>
        <w:pStyle w:val="Encabezado"/>
        <w:spacing w:line="276" w:lineRule="auto"/>
        <w:ind w:firstLine="426"/>
        <w:jc w:val="both"/>
        <w:rPr>
          <w:rFonts w:cs="Arial"/>
          <w:bCs/>
          <w:color w:val="000000"/>
          <w:sz w:val="24"/>
        </w:rPr>
      </w:pPr>
    </w:p>
    <w:p w14:paraId="36654B6E" w14:textId="6759F466" w:rsidR="001D4D13" w:rsidRPr="009A5DFE" w:rsidRDefault="004024C4" w:rsidP="009A5DFE">
      <w:pPr>
        <w:pStyle w:val="Encabezado"/>
        <w:spacing w:line="276" w:lineRule="auto"/>
        <w:ind w:firstLine="426"/>
        <w:jc w:val="both"/>
        <w:rPr>
          <w:rFonts w:cs="Arial"/>
          <w:bCs/>
          <w:color w:val="000000"/>
          <w:sz w:val="24"/>
        </w:rPr>
      </w:pPr>
      <w:r>
        <w:rPr>
          <w:rFonts w:cs="Arial"/>
          <w:bCs/>
          <w:color w:val="000000"/>
          <w:sz w:val="24"/>
        </w:rPr>
        <w:t>Por otro lado, el 100% de los centros de cultivo MYPE informan que no han realizado mediciones de ruido en los ambientes de trabajo, por lo tanto ninguno de ellos mantiene registros</w:t>
      </w:r>
      <w:r w:rsidR="009A5DFE">
        <w:rPr>
          <w:rFonts w:cs="Arial"/>
          <w:bCs/>
          <w:color w:val="000000"/>
          <w:sz w:val="24"/>
        </w:rPr>
        <w:t xml:space="preserve"> ni tampoco saben si cumplen con la normativa</w:t>
      </w:r>
      <w:r>
        <w:rPr>
          <w:rFonts w:cs="Arial"/>
          <w:bCs/>
          <w:color w:val="000000"/>
          <w:sz w:val="24"/>
        </w:rPr>
        <w:t xml:space="preserve">. En el caso de los centros de cultivo Grande, el 70% </w:t>
      </w:r>
      <w:r w:rsidR="00FA59AA">
        <w:rPr>
          <w:rFonts w:cs="Arial"/>
          <w:bCs/>
          <w:color w:val="000000"/>
          <w:sz w:val="24"/>
        </w:rPr>
        <w:t xml:space="preserve">(7 empresas), </w:t>
      </w:r>
      <w:r w:rsidR="00FA59AA">
        <w:rPr>
          <w:rFonts w:cs="Arial"/>
          <w:bCs/>
          <w:color w:val="000000"/>
          <w:sz w:val="24"/>
        </w:rPr>
        <w:lastRenderedPageBreak/>
        <w:t xml:space="preserve">ha realizo mediciones de ruido, 20% no ha realizado (2 empresas) y el 10% restante (1 empresa), informa no saber, sin embargo de las 7 empresas que han realizado mediciones de ruido, </w:t>
      </w:r>
      <w:r w:rsidR="00CB4BAC">
        <w:rPr>
          <w:rFonts w:cs="Arial"/>
          <w:bCs/>
          <w:color w:val="000000"/>
          <w:sz w:val="24"/>
        </w:rPr>
        <w:t>el 50% mantiene</w:t>
      </w:r>
      <w:r w:rsidR="00FA59AA">
        <w:rPr>
          <w:rFonts w:cs="Arial"/>
          <w:bCs/>
          <w:color w:val="000000"/>
          <w:sz w:val="24"/>
        </w:rPr>
        <w:t xml:space="preserve"> registros actualizados</w:t>
      </w:r>
      <w:r w:rsidR="009A5DFE">
        <w:rPr>
          <w:rFonts w:cs="Arial"/>
          <w:bCs/>
          <w:color w:val="000000"/>
          <w:sz w:val="24"/>
        </w:rPr>
        <w:t xml:space="preserve"> y cumplen con la normativa vigente</w:t>
      </w:r>
      <w:r w:rsidR="002570BC" w:rsidRPr="004A3448">
        <w:rPr>
          <w:rFonts w:cs="Arial"/>
          <w:bCs/>
          <w:color w:val="000000"/>
          <w:sz w:val="24"/>
        </w:rPr>
        <w:t xml:space="preserve">. </w:t>
      </w:r>
      <w:r w:rsidR="004A3448">
        <w:rPr>
          <w:rFonts w:cs="Arial"/>
          <w:bCs/>
          <w:color w:val="000000"/>
          <w:sz w:val="24"/>
        </w:rPr>
        <w:t>(Figura 32</w:t>
      </w:r>
      <w:r w:rsidR="001D4D13" w:rsidRPr="004A3448">
        <w:rPr>
          <w:rFonts w:cs="Arial"/>
          <w:bCs/>
          <w:color w:val="000000"/>
          <w:sz w:val="24"/>
        </w:rPr>
        <w:t>).</w:t>
      </w:r>
    </w:p>
    <w:p w14:paraId="35548F52" w14:textId="2BFD7A77" w:rsidR="00C46422" w:rsidRDefault="00C46422" w:rsidP="004C577A">
      <w:pPr>
        <w:pStyle w:val="Encabezado"/>
        <w:jc w:val="center"/>
        <w:rPr>
          <w:highlight w:val="yellow"/>
          <w:lang w:eastAsia="es-CL"/>
        </w:rPr>
      </w:pPr>
    </w:p>
    <w:p w14:paraId="3EB2182D" w14:textId="0E0B08E1" w:rsidR="001D4D13" w:rsidRDefault="00ED18BA" w:rsidP="00647A47">
      <w:pPr>
        <w:pStyle w:val="Encabezado"/>
        <w:rPr>
          <w:highlight w:val="yellow"/>
          <w:lang w:eastAsia="es-CL"/>
        </w:rPr>
      </w:pPr>
      <w:r>
        <w:rPr>
          <w:noProof/>
          <w:lang w:val="es-CL" w:eastAsia="es-CL"/>
        </w:rPr>
        <w:drawing>
          <wp:inline distT="0" distB="0" distL="0" distR="0" wp14:anchorId="6D8B37FE" wp14:editId="6DC6F4A3">
            <wp:extent cx="2573079" cy="3285460"/>
            <wp:effectExtent l="0" t="0" r="17780" b="10795"/>
            <wp:docPr id="5140" name="Gráfico 5140"/>
            <wp:cNvGraphicFramePr/>
            <a:graphic xmlns:a="http://schemas.openxmlformats.org/drawingml/2006/main">
              <a:graphicData uri="http://schemas.openxmlformats.org/drawingml/2006/chart">
                <c:chart xmlns:c="http://schemas.openxmlformats.org/drawingml/2006/chart" xmlns:r="http://schemas.openxmlformats.org/officeDocument/2006/relationships" r:id="rId77"/>
              </a:graphicData>
            </a:graphic>
          </wp:inline>
        </w:drawing>
      </w:r>
      <w:r>
        <w:rPr>
          <w:noProof/>
          <w:lang w:val="es-CL" w:eastAsia="es-CL"/>
        </w:rPr>
        <w:drawing>
          <wp:inline distT="0" distB="0" distL="0" distR="0" wp14:anchorId="6106DABF" wp14:editId="04A3FD0A">
            <wp:extent cx="2573079" cy="3274828"/>
            <wp:effectExtent l="0" t="0" r="17780" b="20955"/>
            <wp:docPr id="5141" name="Gráfico 5141"/>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inline>
        </w:drawing>
      </w:r>
    </w:p>
    <w:p w14:paraId="00D0491E" w14:textId="075D7442" w:rsidR="001D4D13" w:rsidRDefault="001D4D13" w:rsidP="001D4D13">
      <w:pPr>
        <w:pStyle w:val="Encabezado"/>
        <w:jc w:val="both"/>
        <w:rPr>
          <w:rFonts w:cs="Arial"/>
          <w:bCs/>
          <w:color w:val="000000"/>
          <w:sz w:val="24"/>
        </w:rPr>
      </w:pPr>
      <w:r w:rsidRPr="007F6A01">
        <w:rPr>
          <w:rFonts w:cs="Arial"/>
          <w:b/>
          <w:bCs/>
          <w:color w:val="000000"/>
          <w:sz w:val="24"/>
        </w:rPr>
        <w:t xml:space="preserve">Figura </w:t>
      </w:r>
      <w:r w:rsidR="004A3448">
        <w:rPr>
          <w:rFonts w:cs="Arial"/>
          <w:b/>
          <w:bCs/>
          <w:color w:val="000000"/>
          <w:sz w:val="24"/>
        </w:rPr>
        <w:t>32</w:t>
      </w:r>
      <w:r w:rsidRPr="007F6A01">
        <w:rPr>
          <w:rFonts w:cs="Arial"/>
          <w:b/>
          <w:bCs/>
          <w:color w:val="000000"/>
          <w:sz w:val="24"/>
        </w:rPr>
        <w:t>.</w:t>
      </w:r>
      <w:r>
        <w:rPr>
          <w:rFonts w:cs="Arial"/>
          <w:bCs/>
          <w:color w:val="000000"/>
          <w:sz w:val="24"/>
        </w:rPr>
        <w:t xml:space="preserve"> Emisiones de Ruido en los lugares de trabajo</w:t>
      </w:r>
      <w:r w:rsidR="004A28A7">
        <w:rPr>
          <w:rFonts w:cs="Arial"/>
          <w:bCs/>
          <w:color w:val="000000"/>
          <w:sz w:val="24"/>
        </w:rPr>
        <w:t xml:space="preserve"> (%)</w:t>
      </w:r>
    </w:p>
    <w:p w14:paraId="5191B4AD" w14:textId="77777777" w:rsidR="001D4D13" w:rsidRDefault="001D4D13" w:rsidP="00190ADE">
      <w:pPr>
        <w:pStyle w:val="Encabezado"/>
        <w:jc w:val="both"/>
        <w:rPr>
          <w:rFonts w:cs="Arial"/>
          <w:bCs/>
          <w:color w:val="000000"/>
          <w:sz w:val="24"/>
        </w:rPr>
      </w:pPr>
    </w:p>
    <w:p w14:paraId="5DCD3434" w14:textId="77777777" w:rsidR="001D4D13" w:rsidRDefault="001D4D13" w:rsidP="00190ADE">
      <w:pPr>
        <w:pStyle w:val="Encabezado"/>
        <w:jc w:val="both"/>
        <w:rPr>
          <w:rFonts w:cs="Arial"/>
          <w:bCs/>
          <w:color w:val="000000"/>
          <w:sz w:val="24"/>
        </w:rPr>
      </w:pPr>
    </w:p>
    <w:p w14:paraId="24588EA7" w14:textId="77777777" w:rsidR="001D4D13" w:rsidRDefault="001D4D13" w:rsidP="00190ADE">
      <w:pPr>
        <w:pStyle w:val="Encabezado"/>
        <w:jc w:val="both"/>
        <w:rPr>
          <w:rFonts w:cs="Arial"/>
          <w:bCs/>
          <w:color w:val="000000"/>
          <w:sz w:val="24"/>
        </w:rPr>
      </w:pPr>
    </w:p>
    <w:p w14:paraId="3F682020" w14:textId="77777777" w:rsidR="00F2469B" w:rsidRDefault="00F2469B" w:rsidP="00190ADE">
      <w:pPr>
        <w:pStyle w:val="Encabezado"/>
        <w:jc w:val="both"/>
        <w:rPr>
          <w:rFonts w:cs="Arial"/>
          <w:bCs/>
          <w:color w:val="000000"/>
          <w:sz w:val="24"/>
        </w:rPr>
      </w:pPr>
    </w:p>
    <w:p w14:paraId="49F7E8A4" w14:textId="77777777" w:rsidR="00190ADE" w:rsidRDefault="00190ADE" w:rsidP="00E31A3F">
      <w:pPr>
        <w:pStyle w:val="Ttulo2"/>
        <w:rPr>
          <w:highlight w:val="yellow"/>
          <w:lang w:eastAsia="es-CL"/>
        </w:rPr>
      </w:pPr>
      <w:bookmarkStart w:id="25" w:name="_Toc471999131"/>
      <w:r w:rsidRPr="004B184E">
        <w:rPr>
          <w:b w:val="0"/>
          <w:sz w:val="32"/>
          <w:szCs w:val="32"/>
          <w:lang w:eastAsia="es-CL"/>
        </w:rPr>
        <w:t>Luminancia e iluminancia</w:t>
      </w:r>
      <w:bookmarkEnd w:id="25"/>
    </w:p>
    <w:p w14:paraId="46A4B02C" w14:textId="77777777" w:rsidR="00190ADE" w:rsidRPr="00152EEA" w:rsidRDefault="00190ADE" w:rsidP="00190ADE">
      <w:pPr>
        <w:pStyle w:val="Encabezado"/>
        <w:rPr>
          <w:lang w:eastAsia="es-CL"/>
        </w:rPr>
      </w:pPr>
    </w:p>
    <w:p w14:paraId="1910DAF5" w14:textId="19000015" w:rsidR="002570BC" w:rsidRPr="00152EEA" w:rsidRDefault="002570BC" w:rsidP="004A28A7">
      <w:pPr>
        <w:pStyle w:val="Encabezado"/>
        <w:spacing w:line="276" w:lineRule="auto"/>
        <w:ind w:firstLine="709"/>
        <w:jc w:val="both"/>
        <w:rPr>
          <w:rFonts w:cs="Arial"/>
          <w:bCs/>
          <w:color w:val="000000"/>
          <w:sz w:val="24"/>
        </w:rPr>
      </w:pPr>
      <w:r w:rsidRPr="00152EEA">
        <w:rPr>
          <w:rFonts w:cs="Arial"/>
          <w:bCs/>
          <w:color w:val="000000"/>
          <w:sz w:val="24"/>
        </w:rPr>
        <w:t>El D.S. 594, que “Aprueba Reglamento sobre Condiciones Sanitarias y Ambientales Básicas en los Lugares de Trabajo”, Artículo 103-106 “De Los Agentes Físicos de la luminancia</w:t>
      </w:r>
      <w:r w:rsidR="004C45FC" w:rsidRPr="00152EEA">
        <w:rPr>
          <w:rFonts w:cs="Arial"/>
          <w:bCs/>
          <w:color w:val="000000"/>
          <w:sz w:val="24"/>
        </w:rPr>
        <w:t>”, n</w:t>
      </w:r>
      <w:r w:rsidRPr="00152EEA">
        <w:rPr>
          <w:rFonts w:cs="Arial"/>
          <w:bCs/>
          <w:color w:val="000000"/>
          <w:sz w:val="24"/>
        </w:rPr>
        <w:t>ormativa que indica que los lugares de trabajo deberán estar iluminados con luz natural o artificial dependiendo de la faena que realice y señala los valores mínimos de iluminación promedio sobre los planos de trabajo y la relación entre iluminación general y localizada, y el brillo (luminancia) que deberá tener un trabajo o tarea.</w:t>
      </w:r>
    </w:p>
    <w:p w14:paraId="1651F422" w14:textId="77777777" w:rsidR="002570BC" w:rsidRPr="00152EEA" w:rsidRDefault="002570BC" w:rsidP="009F1F9C">
      <w:pPr>
        <w:pStyle w:val="Encabezado"/>
        <w:spacing w:line="276" w:lineRule="auto"/>
        <w:jc w:val="both"/>
        <w:rPr>
          <w:rFonts w:cs="Arial"/>
          <w:bCs/>
          <w:color w:val="000000"/>
          <w:sz w:val="24"/>
        </w:rPr>
      </w:pPr>
    </w:p>
    <w:p w14:paraId="56B32DDF" w14:textId="50900FE3" w:rsidR="00422230" w:rsidRDefault="002570BC" w:rsidP="004A28A7">
      <w:pPr>
        <w:pStyle w:val="Encabezado"/>
        <w:spacing w:line="276" w:lineRule="auto"/>
        <w:ind w:firstLine="709"/>
        <w:jc w:val="both"/>
        <w:rPr>
          <w:rFonts w:cs="Arial"/>
          <w:bCs/>
          <w:color w:val="000000"/>
          <w:sz w:val="24"/>
        </w:rPr>
      </w:pPr>
      <w:r w:rsidRPr="00152EEA">
        <w:rPr>
          <w:rFonts w:cs="Arial"/>
          <w:bCs/>
          <w:color w:val="000000"/>
          <w:sz w:val="24"/>
        </w:rPr>
        <w:lastRenderedPageBreak/>
        <w:t xml:space="preserve">El análisis de la muestra, </w:t>
      </w:r>
      <w:r w:rsidR="00F629B4" w:rsidRPr="00152EEA">
        <w:rPr>
          <w:rFonts w:cs="Arial"/>
          <w:bCs/>
          <w:color w:val="000000"/>
          <w:sz w:val="24"/>
        </w:rPr>
        <w:t>evidenció</w:t>
      </w:r>
      <w:r w:rsidR="004C45FC" w:rsidRPr="00152EEA">
        <w:rPr>
          <w:rFonts w:cs="Arial"/>
          <w:bCs/>
          <w:color w:val="000000"/>
          <w:sz w:val="24"/>
        </w:rPr>
        <w:t xml:space="preserve"> que</w:t>
      </w:r>
      <w:r w:rsidR="00C36617">
        <w:rPr>
          <w:rFonts w:cs="Arial"/>
          <w:bCs/>
          <w:color w:val="000000"/>
          <w:sz w:val="24"/>
        </w:rPr>
        <w:t xml:space="preserve"> el 62% y 50% de empresas MYPE y Grande respectivamente, no conocen la normativa asociada </w:t>
      </w:r>
      <w:r w:rsidR="00422230">
        <w:rPr>
          <w:rFonts w:cs="Arial"/>
          <w:bCs/>
          <w:color w:val="000000"/>
          <w:sz w:val="24"/>
        </w:rPr>
        <w:t xml:space="preserve">a </w:t>
      </w:r>
      <w:r w:rsidR="00FC0E7D">
        <w:rPr>
          <w:rFonts w:cs="Arial"/>
          <w:bCs/>
          <w:color w:val="000000"/>
          <w:sz w:val="24"/>
        </w:rPr>
        <w:t>luminancia e iluminancia. El 100% de los centros de cultivo MYPE y el 90% de los centros Grande no ha realizado mediciones, por lo tanto no mantienen registros de luminancia e iluminancia y como consecuencia no saben si cumplen con la normativa</w:t>
      </w:r>
      <w:r w:rsidR="003708A5">
        <w:rPr>
          <w:rFonts w:cs="Arial"/>
          <w:bCs/>
          <w:color w:val="000000"/>
          <w:sz w:val="24"/>
        </w:rPr>
        <w:t xml:space="preserve"> vigente</w:t>
      </w:r>
      <w:r w:rsidR="00FC0E7D">
        <w:rPr>
          <w:rFonts w:cs="Arial"/>
          <w:bCs/>
          <w:color w:val="000000"/>
          <w:sz w:val="24"/>
        </w:rPr>
        <w:t>.</w:t>
      </w:r>
      <w:r w:rsidR="004A3448">
        <w:rPr>
          <w:rFonts w:cs="Arial"/>
          <w:bCs/>
          <w:color w:val="000000"/>
          <w:sz w:val="24"/>
        </w:rPr>
        <w:t xml:space="preserve"> </w:t>
      </w:r>
      <w:r w:rsidR="004A3448" w:rsidRPr="004A3448">
        <w:rPr>
          <w:rFonts w:cs="Arial"/>
          <w:bCs/>
          <w:color w:val="000000"/>
          <w:sz w:val="24"/>
        </w:rPr>
        <w:t>(Figura 33).</w:t>
      </w:r>
    </w:p>
    <w:p w14:paraId="1E23F454" w14:textId="77777777" w:rsidR="00422230" w:rsidRDefault="00422230" w:rsidP="004A28A7">
      <w:pPr>
        <w:pStyle w:val="Encabezado"/>
        <w:spacing w:line="276" w:lineRule="auto"/>
        <w:ind w:firstLine="709"/>
        <w:jc w:val="both"/>
        <w:rPr>
          <w:rFonts w:cs="Arial"/>
          <w:bCs/>
          <w:color w:val="000000"/>
          <w:sz w:val="24"/>
        </w:rPr>
      </w:pPr>
    </w:p>
    <w:p w14:paraId="36AC9690" w14:textId="6B79CBEA" w:rsidR="002570BC" w:rsidRDefault="00E21D0E" w:rsidP="004A28A7">
      <w:pPr>
        <w:pStyle w:val="Encabezado"/>
        <w:spacing w:line="276" w:lineRule="auto"/>
        <w:ind w:firstLine="709"/>
        <w:jc w:val="both"/>
        <w:rPr>
          <w:rFonts w:cs="Arial"/>
          <w:bCs/>
          <w:color w:val="000000"/>
          <w:sz w:val="24"/>
        </w:rPr>
      </w:pPr>
      <w:r>
        <w:rPr>
          <w:rFonts w:cs="Arial"/>
          <w:bCs/>
          <w:color w:val="000000"/>
          <w:sz w:val="24"/>
        </w:rPr>
        <w:t>Destacar, que una empresa de cada segmento</w:t>
      </w:r>
      <w:r w:rsidR="00422230">
        <w:rPr>
          <w:rFonts w:cs="Arial"/>
          <w:bCs/>
          <w:color w:val="000000"/>
          <w:sz w:val="24"/>
        </w:rPr>
        <w:t xml:space="preserve"> cumple con la normativa ambiental aplicable a luminancia en lugares de trabajo, 8% (MYPE) y 10% (Grande</w:t>
      </w:r>
      <w:r w:rsidR="00422230" w:rsidRPr="004A3448">
        <w:rPr>
          <w:rFonts w:cs="Arial"/>
          <w:bCs/>
          <w:color w:val="000000"/>
          <w:sz w:val="24"/>
        </w:rPr>
        <w:t xml:space="preserve">). </w:t>
      </w:r>
      <w:r w:rsidR="002570BC" w:rsidRPr="004A3448">
        <w:rPr>
          <w:rFonts w:cs="Arial"/>
          <w:bCs/>
          <w:color w:val="000000"/>
          <w:sz w:val="24"/>
        </w:rPr>
        <w:t xml:space="preserve">(Figura </w:t>
      </w:r>
      <w:r w:rsidR="004A3448" w:rsidRPr="004A3448">
        <w:rPr>
          <w:rFonts w:cs="Arial"/>
          <w:bCs/>
          <w:color w:val="000000"/>
          <w:sz w:val="24"/>
        </w:rPr>
        <w:t>33</w:t>
      </w:r>
      <w:r w:rsidR="002570BC" w:rsidRPr="004A3448">
        <w:rPr>
          <w:rFonts w:cs="Arial"/>
          <w:bCs/>
          <w:color w:val="000000"/>
          <w:sz w:val="24"/>
        </w:rPr>
        <w:t>).</w:t>
      </w:r>
    </w:p>
    <w:p w14:paraId="384F8359" w14:textId="77777777" w:rsidR="009A5DFE" w:rsidRDefault="009A5DFE" w:rsidP="004A28A7">
      <w:pPr>
        <w:pStyle w:val="Encabezado"/>
        <w:spacing w:line="276" w:lineRule="auto"/>
        <w:ind w:firstLine="709"/>
        <w:jc w:val="both"/>
        <w:rPr>
          <w:rFonts w:cs="Arial"/>
          <w:bCs/>
          <w:color w:val="000000"/>
          <w:sz w:val="24"/>
        </w:rPr>
      </w:pPr>
    </w:p>
    <w:p w14:paraId="017F7188" w14:textId="3500F7E2" w:rsidR="0019533B" w:rsidRDefault="009A5DFE" w:rsidP="004A28A7">
      <w:pPr>
        <w:pStyle w:val="Encabezado"/>
        <w:spacing w:line="276" w:lineRule="auto"/>
        <w:ind w:firstLine="709"/>
        <w:jc w:val="both"/>
        <w:rPr>
          <w:rFonts w:cs="Arial"/>
          <w:bCs/>
          <w:color w:val="000000"/>
          <w:sz w:val="24"/>
        </w:rPr>
      </w:pPr>
      <w:r>
        <w:rPr>
          <w:rFonts w:cs="Arial"/>
          <w:bCs/>
          <w:color w:val="000000"/>
          <w:sz w:val="24"/>
        </w:rPr>
        <w:t xml:space="preserve">Cabe señalar que los centros de cultivo, sólo utilizan luz </w:t>
      </w:r>
      <w:r w:rsidR="00E21D0E">
        <w:rPr>
          <w:rFonts w:cs="Arial"/>
          <w:bCs/>
          <w:color w:val="000000"/>
          <w:sz w:val="24"/>
        </w:rPr>
        <w:t xml:space="preserve">eléctrica </w:t>
      </w:r>
      <w:r>
        <w:rPr>
          <w:rFonts w:cs="Arial"/>
          <w:bCs/>
          <w:color w:val="000000"/>
          <w:sz w:val="24"/>
        </w:rPr>
        <w:t xml:space="preserve">en las áreas administrativas, casino y servicios higiénicos, ya que el proceso productivo de Materia Prima de </w:t>
      </w:r>
      <w:proofErr w:type="spellStart"/>
      <w:r>
        <w:rPr>
          <w:rFonts w:cs="Arial"/>
          <w:bCs/>
          <w:color w:val="000000"/>
          <w:sz w:val="24"/>
        </w:rPr>
        <w:t>chorito</w:t>
      </w:r>
      <w:proofErr w:type="spellEnd"/>
      <w:r>
        <w:rPr>
          <w:rFonts w:cs="Arial"/>
          <w:bCs/>
          <w:color w:val="000000"/>
          <w:sz w:val="24"/>
        </w:rPr>
        <w:t xml:space="preserve"> fresco se realiza al aire libre </w:t>
      </w:r>
      <w:r w:rsidR="00E21D0E">
        <w:rPr>
          <w:rFonts w:cs="Arial"/>
          <w:bCs/>
          <w:color w:val="000000"/>
          <w:sz w:val="24"/>
        </w:rPr>
        <w:t xml:space="preserve">con luz natural </w:t>
      </w:r>
      <w:r>
        <w:rPr>
          <w:rFonts w:cs="Arial"/>
          <w:bCs/>
          <w:color w:val="000000"/>
          <w:sz w:val="24"/>
        </w:rPr>
        <w:t>y no en ambientes cerrados que requieren de luz</w:t>
      </w:r>
      <w:r w:rsidR="00E21D0E">
        <w:rPr>
          <w:rFonts w:cs="Arial"/>
          <w:bCs/>
          <w:color w:val="000000"/>
          <w:sz w:val="24"/>
        </w:rPr>
        <w:t xml:space="preserve"> artificial</w:t>
      </w:r>
      <w:r>
        <w:rPr>
          <w:rFonts w:cs="Arial"/>
          <w:bCs/>
          <w:color w:val="000000"/>
          <w:sz w:val="24"/>
        </w:rPr>
        <w:t>.</w:t>
      </w:r>
      <w:r w:rsidR="002A5CD6">
        <w:rPr>
          <w:rFonts w:cs="Arial"/>
          <w:bCs/>
          <w:color w:val="000000"/>
          <w:sz w:val="24"/>
        </w:rPr>
        <w:t xml:space="preserve"> Las actividades y etapas del proceso se ejecutan principalmente</w:t>
      </w:r>
      <w:r w:rsidR="000A430B">
        <w:rPr>
          <w:rFonts w:cs="Arial"/>
          <w:bCs/>
          <w:color w:val="000000"/>
          <w:sz w:val="24"/>
        </w:rPr>
        <w:t xml:space="preserve"> en embarcaciones y en plataformas flotantes.</w:t>
      </w:r>
    </w:p>
    <w:p w14:paraId="62051276" w14:textId="77777777" w:rsidR="00C36617" w:rsidRDefault="00C36617" w:rsidP="00C36617">
      <w:pPr>
        <w:pStyle w:val="Encabezado"/>
        <w:spacing w:line="276" w:lineRule="auto"/>
        <w:ind w:firstLine="426"/>
        <w:jc w:val="both"/>
        <w:rPr>
          <w:rFonts w:cs="Arial"/>
          <w:bCs/>
          <w:color w:val="000000"/>
          <w:sz w:val="24"/>
        </w:rPr>
      </w:pPr>
    </w:p>
    <w:p w14:paraId="0FEBC540" w14:textId="6FB2A540" w:rsidR="004A3448" w:rsidRDefault="00C36617" w:rsidP="00FC0E7D">
      <w:pPr>
        <w:pStyle w:val="Encabezado"/>
        <w:spacing w:line="276" w:lineRule="auto"/>
        <w:ind w:firstLine="709"/>
        <w:jc w:val="both"/>
        <w:rPr>
          <w:rFonts w:cs="Arial"/>
          <w:b/>
          <w:bCs/>
          <w:color w:val="000000"/>
          <w:sz w:val="24"/>
        </w:rPr>
      </w:pPr>
      <w:r>
        <w:rPr>
          <w:noProof/>
          <w:lang w:val="es-CL" w:eastAsia="es-CL"/>
        </w:rPr>
        <w:drawing>
          <wp:inline distT="0" distB="0" distL="0" distR="0" wp14:anchorId="1548351D" wp14:editId="524C3B87">
            <wp:extent cx="2488019" cy="3327990"/>
            <wp:effectExtent l="0" t="0" r="26670" b="25400"/>
            <wp:docPr id="5131" name="Gráfico 5131"/>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inline>
        </w:drawing>
      </w:r>
      <w:r>
        <w:rPr>
          <w:noProof/>
          <w:lang w:val="es-CL" w:eastAsia="es-CL"/>
        </w:rPr>
        <w:drawing>
          <wp:inline distT="0" distB="0" distL="0" distR="0" wp14:anchorId="07F31C9A" wp14:editId="752A1911">
            <wp:extent cx="2509284" cy="3338623"/>
            <wp:effectExtent l="0" t="0" r="24765" b="14605"/>
            <wp:docPr id="5132" name="Gráfico 5132"/>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inline>
        </w:drawing>
      </w:r>
    </w:p>
    <w:p w14:paraId="31AB088A" w14:textId="6AB47918" w:rsidR="00190ADE" w:rsidRDefault="00FC0E7D" w:rsidP="00FC0E7D">
      <w:pPr>
        <w:pStyle w:val="Encabezado"/>
        <w:spacing w:line="276" w:lineRule="auto"/>
        <w:ind w:firstLine="709"/>
        <w:jc w:val="both"/>
        <w:rPr>
          <w:highlight w:val="yellow"/>
          <w:lang w:eastAsia="es-CL"/>
        </w:rPr>
      </w:pPr>
      <w:r>
        <w:rPr>
          <w:rFonts w:cs="Arial"/>
          <w:b/>
          <w:bCs/>
          <w:color w:val="000000"/>
          <w:sz w:val="24"/>
        </w:rPr>
        <w:t>F</w:t>
      </w:r>
      <w:r w:rsidR="00190ADE" w:rsidRPr="007F6A01">
        <w:rPr>
          <w:rFonts w:cs="Arial"/>
          <w:b/>
          <w:bCs/>
          <w:color w:val="000000"/>
          <w:sz w:val="24"/>
        </w:rPr>
        <w:t xml:space="preserve">igura </w:t>
      </w:r>
      <w:r w:rsidR="004A3448">
        <w:rPr>
          <w:rFonts w:cs="Arial"/>
          <w:b/>
          <w:bCs/>
          <w:color w:val="000000"/>
          <w:sz w:val="24"/>
        </w:rPr>
        <w:t>33</w:t>
      </w:r>
      <w:r w:rsidR="00190ADE" w:rsidRPr="007F6A01">
        <w:rPr>
          <w:rFonts w:cs="Arial"/>
          <w:b/>
          <w:bCs/>
          <w:color w:val="000000"/>
          <w:sz w:val="24"/>
        </w:rPr>
        <w:t>.</w:t>
      </w:r>
      <w:r w:rsidR="00190ADE">
        <w:rPr>
          <w:rFonts w:cs="Arial"/>
          <w:bCs/>
          <w:color w:val="000000"/>
          <w:sz w:val="24"/>
        </w:rPr>
        <w:t xml:space="preserve"> Luminancia e iluminancia</w:t>
      </w:r>
      <w:r w:rsidR="004A28A7">
        <w:rPr>
          <w:rFonts w:cs="Arial"/>
          <w:bCs/>
          <w:color w:val="000000"/>
          <w:sz w:val="24"/>
        </w:rPr>
        <w:t xml:space="preserve"> (%).</w:t>
      </w:r>
    </w:p>
    <w:p w14:paraId="047729F0" w14:textId="77777777" w:rsidR="00FB5D96" w:rsidRDefault="00FB5D96" w:rsidP="00190ADE">
      <w:pPr>
        <w:pStyle w:val="Encabezado"/>
        <w:jc w:val="both"/>
        <w:rPr>
          <w:lang w:eastAsia="es-CL"/>
        </w:rPr>
      </w:pPr>
    </w:p>
    <w:p w14:paraId="4BA5CB91" w14:textId="77777777" w:rsidR="00190ADE" w:rsidRPr="004B184E" w:rsidRDefault="00190ADE" w:rsidP="00E31A3F">
      <w:pPr>
        <w:pStyle w:val="Ttulo2"/>
        <w:rPr>
          <w:b w:val="0"/>
          <w:sz w:val="32"/>
          <w:szCs w:val="32"/>
          <w:lang w:eastAsia="es-CL"/>
        </w:rPr>
      </w:pPr>
      <w:bookmarkStart w:id="26" w:name="_Toc471999132"/>
      <w:r w:rsidRPr="004B184E">
        <w:rPr>
          <w:b w:val="0"/>
          <w:sz w:val="32"/>
          <w:szCs w:val="32"/>
          <w:lang w:eastAsia="es-CL"/>
        </w:rPr>
        <w:lastRenderedPageBreak/>
        <w:t>Certificaciones</w:t>
      </w:r>
      <w:bookmarkEnd w:id="26"/>
    </w:p>
    <w:p w14:paraId="44D395D9" w14:textId="77777777" w:rsidR="00B23493" w:rsidRDefault="00B23493" w:rsidP="00190ADE">
      <w:pPr>
        <w:pStyle w:val="NormalWeb"/>
        <w:shd w:val="clear" w:color="auto" w:fill="FFFFFF"/>
        <w:spacing w:before="120" w:beforeAutospacing="0" w:after="120" w:afterAutospacing="0"/>
        <w:jc w:val="both"/>
        <w:rPr>
          <w:rFonts w:ascii="Titillium" w:eastAsiaTheme="minorHAnsi" w:hAnsi="Titillium" w:cs="Arial"/>
          <w:bCs/>
          <w:color w:val="000000"/>
          <w:szCs w:val="22"/>
          <w:lang w:val="es-ES" w:eastAsia="en-US"/>
        </w:rPr>
      </w:pPr>
    </w:p>
    <w:p w14:paraId="76F9EFBA" w14:textId="1BC287A6" w:rsidR="004A177F" w:rsidRDefault="004A177F" w:rsidP="002A03C2">
      <w:pPr>
        <w:pStyle w:val="Encabezado"/>
        <w:spacing w:line="276" w:lineRule="auto"/>
        <w:ind w:firstLine="709"/>
        <w:jc w:val="both"/>
        <w:rPr>
          <w:rFonts w:cs="Arial"/>
          <w:bCs/>
          <w:color w:val="000000"/>
          <w:sz w:val="24"/>
        </w:rPr>
      </w:pPr>
      <w:r w:rsidRPr="00152EEA">
        <w:rPr>
          <w:rFonts w:cs="Arial"/>
          <w:bCs/>
          <w:color w:val="000000"/>
          <w:sz w:val="24"/>
        </w:rPr>
        <w:t xml:space="preserve">La certificación es un procedimiento mediante el cual un tercero otorga una garantía escrita de que un producto, elaboración o servicio está en conformidad con ciertas normas. La certificación se puede ver como un medio de comunicación a lo largo de la cadena de abastecimiento. El certificado le demuestra al comprador que el proveedor cumple con ciertas normas, lo cual puede ser más convincente </w:t>
      </w:r>
      <w:r w:rsidR="00020D17" w:rsidRPr="00152EEA">
        <w:rPr>
          <w:rFonts w:cs="Arial"/>
          <w:bCs/>
          <w:color w:val="000000"/>
          <w:sz w:val="24"/>
        </w:rPr>
        <w:t>como</w:t>
      </w:r>
      <w:r w:rsidRPr="00152EEA">
        <w:rPr>
          <w:rFonts w:cs="Arial"/>
          <w:bCs/>
          <w:color w:val="000000"/>
          <w:sz w:val="24"/>
        </w:rPr>
        <w:t xml:space="preserve"> garantía del proveedor.</w:t>
      </w:r>
    </w:p>
    <w:p w14:paraId="10DAB4ED" w14:textId="77777777" w:rsidR="002A03C2" w:rsidRPr="00152EEA" w:rsidRDefault="002A03C2" w:rsidP="002A03C2">
      <w:pPr>
        <w:pStyle w:val="Encabezado"/>
        <w:spacing w:line="276" w:lineRule="auto"/>
        <w:ind w:firstLine="709"/>
        <w:jc w:val="both"/>
        <w:rPr>
          <w:rFonts w:cs="Arial"/>
          <w:bCs/>
          <w:color w:val="000000"/>
          <w:sz w:val="24"/>
        </w:rPr>
      </w:pPr>
    </w:p>
    <w:p w14:paraId="72E6721A" w14:textId="5FC105D7" w:rsidR="006C028F" w:rsidRDefault="0026778B" w:rsidP="002A03C2">
      <w:pPr>
        <w:pStyle w:val="NormalWeb"/>
        <w:shd w:val="clear" w:color="auto" w:fill="FFFFFF"/>
        <w:spacing w:before="0" w:beforeAutospacing="0" w:after="150" w:afterAutospacing="0" w:line="276" w:lineRule="auto"/>
        <w:ind w:firstLine="709"/>
        <w:jc w:val="both"/>
        <w:rPr>
          <w:rFonts w:ascii="Titillium" w:eastAsiaTheme="minorHAnsi" w:hAnsi="Titillium" w:cs="Arial"/>
          <w:bCs/>
          <w:color w:val="000000"/>
          <w:szCs w:val="22"/>
          <w:lang w:val="es-ES" w:eastAsia="en-US"/>
        </w:rPr>
      </w:pPr>
      <w:proofErr w:type="spellStart"/>
      <w:r w:rsidRPr="00152EEA">
        <w:rPr>
          <w:rFonts w:ascii="Titillium" w:eastAsiaTheme="minorHAnsi" w:hAnsi="Titillium" w:cs="Arial"/>
          <w:bCs/>
          <w:color w:val="000000"/>
          <w:szCs w:val="22"/>
          <w:lang w:val="es-ES" w:eastAsia="en-US"/>
        </w:rPr>
        <w:t>Aquacul</w:t>
      </w:r>
      <w:r w:rsidR="00601E97">
        <w:rPr>
          <w:rFonts w:ascii="Titillium" w:eastAsiaTheme="minorHAnsi" w:hAnsi="Titillium" w:cs="Arial"/>
          <w:bCs/>
          <w:color w:val="000000"/>
          <w:szCs w:val="22"/>
          <w:lang w:val="es-ES" w:eastAsia="en-US"/>
        </w:rPr>
        <w:t>ture</w:t>
      </w:r>
      <w:proofErr w:type="spellEnd"/>
      <w:r w:rsidR="00601E97">
        <w:rPr>
          <w:rFonts w:ascii="Titillium" w:eastAsiaTheme="minorHAnsi" w:hAnsi="Titillium" w:cs="Arial"/>
          <w:bCs/>
          <w:color w:val="000000"/>
          <w:szCs w:val="22"/>
          <w:lang w:val="es-ES" w:eastAsia="en-US"/>
        </w:rPr>
        <w:t xml:space="preserve"> </w:t>
      </w:r>
      <w:proofErr w:type="spellStart"/>
      <w:r w:rsidR="00601E97">
        <w:rPr>
          <w:rFonts w:ascii="Titillium" w:eastAsiaTheme="minorHAnsi" w:hAnsi="Titillium" w:cs="Arial"/>
          <w:bCs/>
          <w:color w:val="000000"/>
          <w:szCs w:val="22"/>
          <w:lang w:val="es-ES" w:eastAsia="en-US"/>
        </w:rPr>
        <w:t>Stewardship</w:t>
      </w:r>
      <w:proofErr w:type="spellEnd"/>
      <w:r w:rsidR="00601E97">
        <w:rPr>
          <w:rFonts w:ascii="Titillium" w:eastAsiaTheme="minorHAnsi" w:hAnsi="Titillium" w:cs="Arial"/>
          <w:bCs/>
          <w:color w:val="000000"/>
          <w:szCs w:val="22"/>
          <w:lang w:val="es-ES" w:eastAsia="en-US"/>
        </w:rPr>
        <w:t xml:space="preserve"> Council (ASC), </w:t>
      </w:r>
      <w:r w:rsidRPr="00152EEA">
        <w:rPr>
          <w:rFonts w:ascii="Titillium" w:eastAsiaTheme="minorHAnsi" w:hAnsi="Titillium" w:cs="Arial"/>
          <w:bCs/>
          <w:color w:val="000000"/>
          <w:szCs w:val="22"/>
          <w:lang w:val="es-ES" w:eastAsia="en-US"/>
        </w:rPr>
        <w:t xml:space="preserve">es una certificación cuyo objetivo es transformar la acuicultura en una actividad ambientalmente sostenible y socialmente responsable, mediante el uso de mecanismos de mercado eficientes que generan valor en toda la cadena. </w:t>
      </w:r>
      <w:r w:rsidRPr="00AB6B18">
        <w:rPr>
          <w:rFonts w:ascii="Titillium" w:eastAsiaTheme="minorHAnsi" w:hAnsi="Titillium" w:cs="Arial"/>
          <w:bCs/>
          <w:color w:val="000000"/>
          <w:szCs w:val="22"/>
          <w:lang w:val="es-ES" w:eastAsia="en-US"/>
        </w:rPr>
        <w:t>E</w:t>
      </w:r>
      <w:r w:rsidR="00601E97" w:rsidRPr="00AB6B18">
        <w:rPr>
          <w:rFonts w:ascii="Titillium" w:eastAsiaTheme="minorHAnsi" w:hAnsi="Titillium" w:cs="Arial"/>
          <w:bCs/>
          <w:color w:val="000000"/>
          <w:szCs w:val="22"/>
          <w:lang w:val="es-ES" w:eastAsia="en-US"/>
        </w:rPr>
        <w:t>l 100% de las empresas MYPE, informa no poseer Certificación ASC y el 8% se encuentra en proceso de implementación (1 centro), en cambio el 22%</w:t>
      </w:r>
      <w:r w:rsidR="00190ADE" w:rsidRPr="00AB6B18">
        <w:rPr>
          <w:rFonts w:ascii="Titillium" w:eastAsiaTheme="minorHAnsi" w:hAnsi="Titillium" w:cs="Arial"/>
          <w:bCs/>
          <w:color w:val="000000"/>
          <w:szCs w:val="22"/>
          <w:lang w:val="es-ES" w:eastAsia="en-US"/>
        </w:rPr>
        <w:t xml:space="preserve"> de las empresas</w:t>
      </w:r>
      <w:r w:rsidR="00601E97" w:rsidRPr="00AB6B18">
        <w:rPr>
          <w:rFonts w:ascii="Titillium" w:eastAsiaTheme="minorHAnsi" w:hAnsi="Titillium" w:cs="Arial"/>
          <w:bCs/>
          <w:color w:val="000000"/>
          <w:szCs w:val="22"/>
          <w:lang w:val="es-ES" w:eastAsia="en-US"/>
        </w:rPr>
        <w:t xml:space="preserve"> Grande están certificadas</w:t>
      </w:r>
      <w:r w:rsidR="00190ADE" w:rsidRPr="00AB6B18">
        <w:rPr>
          <w:rFonts w:ascii="Titillium" w:eastAsiaTheme="minorHAnsi" w:hAnsi="Titillium" w:cs="Arial"/>
          <w:bCs/>
          <w:color w:val="000000"/>
          <w:szCs w:val="22"/>
          <w:lang w:val="es-ES" w:eastAsia="en-US"/>
        </w:rPr>
        <w:t xml:space="preserve"> (</w:t>
      </w:r>
      <w:r w:rsidR="00601E97" w:rsidRPr="00AB6B18">
        <w:rPr>
          <w:rFonts w:ascii="Titillium" w:eastAsiaTheme="minorHAnsi" w:hAnsi="Titillium" w:cs="Arial"/>
          <w:bCs/>
          <w:color w:val="000000"/>
          <w:szCs w:val="22"/>
          <w:lang w:val="es-ES" w:eastAsia="en-US"/>
        </w:rPr>
        <w:t xml:space="preserve">2 centros) y </w:t>
      </w:r>
      <w:r w:rsidR="00AB6B18" w:rsidRPr="00AB6B18">
        <w:rPr>
          <w:rFonts w:ascii="Titillium" w:eastAsiaTheme="minorHAnsi" w:hAnsi="Titillium" w:cs="Arial"/>
          <w:bCs/>
          <w:color w:val="000000"/>
          <w:szCs w:val="22"/>
          <w:lang w:val="es-ES" w:eastAsia="en-US"/>
        </w:rPr>
        <w:t>el</w:t>
      </w:r>
      <w:r w:rsidR="00601E97" w:rsidRPr="00AB6B18">
        <w:rPr>
          <w:rFonts w:ascii="Titillium" w:eastAsiaTheme="minorHAnsi" w:hAnsi="Titillium" w:cs="Arial"/>
          <w:bCs/>
          <w:color w:val="000000"/>
          <w:szCs w:val="22"/>
          <w:lang w:val="es-ES" w:eastAsia="en-US"/>
        </w:rPr>
        <w:t xml:space="preserve"> 44% en proceso de certificación</w:t>
      </w:r>
      <w:r w:rsidR="006D7692" w:rsidRPr="00AB6B18">
        <w:rPr>
          <w:rFonts w:ascii="Titillium" w:eastAsiaTheme="minorHAnsi" w:hAnsi="Titillium" w:cs="Arial"/>
          <w:bCs/>
          <w:color w:val="000000"/>
          <w:szCs w:val="22"/>
          <w:lang w:val="es-ES" w:eastAsia="en-US"/>
        </w:rPr>
        <w:t xml:space="preserve">, es por ello que </w:t>
      </w:r>
      <w:r w:rsidR="00020D17" w:rsidRPr="00AB6B18">
        <w:rPr>
          <w:rFonts w:ascii="Titillium" w:eastAsiaTheme="minorHAnsi" w:hAnsi="Titillium" w:cs="Arial"/>
          <w:bCs/>
          <w:color w:val="000000"/>
          <w:szCs w:val="22"/>
          <w:lang w:val="es-ES" w:eastAsia="en-US"/>
        </w:rPr>
        <w:t>dentro de</w:t>
      </w:r>
      <w:r w:rsidR="006D7692" w:rsidRPr="00AB6B18">
        <w:rPr>
          <w:rFonts w:ascii="Titillium" w:eastAsiaTheme="minorHAnsi" w:hAnsi="Titillium" w:cs="Arial"/>
          <w:bCs/>
          <w:color w:val="000000"/>
          <w:szCs w:val="22"/>
          <w:lang w:val="es-ES" w:eastAsia="en-US"/>
        </w:rPr>
        <w:t xml:space="preserve"> un corto o</w:t>
      </w:r>
      <w:r w:rsidR="00020D17" w:rsidRPr="00AB6B18">
        <w:rPr>
          <w:rFonts w:ascii="Titillium" w:eastAsiaTheme="minorHAnsi" w:hAnsi="Titillium" w:cs="Arial"/>
          <w:bCs/>
          <w:color w:val="000000"/>
          <w:szCs w:val="22"/>
          <w:lang w:val="es-ES" w:eastAsia="en-US"/>
        </w:rPr>
        <w:t xml:space="preserve"> mediano plazo</w:t>
      </w:r>
      <w:r w:rsidR="006D7692" w:rsidRPr="00AB6B18">
        <w:rPr>
          <w:rFonts w:ascii="Titillium" w:eastAsiaTheme="minorHAnsi" w:hAnsi="Titillium" w:cs="Arial"/>
          <w:bCs/>
          <w:color w:val="000000"/>
          <w:szCs w:val="22"/>
          <w:lang w:val="es-ES" w:eastAsia="en-US"/>
        </w:rPr>
        <w:t>,</w:t>
      </w:r>
      <w:r w:rsidR="00020D17" w:rsidRPr="00AB6B18">
        <w:rPr>
          <w:rFonts w:ascii="Titillium" w:eastAsiaTheme="minorHAnsi" w:hAnsi="Titillium" w:cs="Arial"/>
          <w:bCs/>
          <w:color w:val="000000"/>
          <w:szCs w:val="22"/>
          <w:lang w:val="es-ES" w:eastAsia="en-US"/>
        </w:rPr>
        <w:t xml:space="preserve"> el porcentaje d</w:t>
      </w:r>
      <w:r w:rsidR="00601E97" w:rsidRPr="00AB6B18">
        <w:rPr>
          <w:rFonts w:ascii="Titillium" w:eastAsiaTheme="minorHAnsi" w:hAnsi="Titillium" w:cs="Arial"/>
          <w:bCs/>
          <w:color w:val="000000"/>
          <w:szCs w:val="22"/>
          <w:lang w:val="es-ES" w:eastAsia="en-US"/>
        </w:rPr>
        <w:t xml:space="preserve">e empresas </w:t>
      </w:r>
      <w:r w:rsidR="00AB6B18" w:rsidRPr="00AB6B18">
        <w:rPr>
          <w:rFonts w:ascii="Titillium" w:eastAsiaTheme="minorHAnsi" w:hAnsi="Titillium" w:cs="Arial"/>
          <w:bCs/>
          <w:color w:val="000000"/>
          <w:szCs w:val="22"/>
          <w:lang w:val="es-ES" w:eastAsia="en-US"/>
        </w:rPr>
        <w:t xml:space="preserve">con certificación </w:t>
      </w:r>
      <w:r w:rsidRPr="00AB6B18">
        <w:rPr>
          <w:rFonts w:ascii="Titillium" w:eastAsiaTheme="minorHAnsi" w:hAnsi="Titillium" w:cs="Arial"/>
          <w:bCs/>
          <w:color w:val="000000"/>
          <w:szCs w:val="22"/>
          <w:lang w:val="es-ES" w:eastAsia="en-US"/>
        </w:rPr>
        <w:t>ASC</w:t>
      </w:r>
      <w:r w:rsidR="00AB6B18" w:rsidRPr="00AB6B18">
        <w:rPr>
          <w:rFonts w:ascii="Titillium" w:eastAsiaTheme="minorHAnsi" w:hAnsi="Titillium" w:cs="Arial"/>
          <w:bCs/>
          <w:color w:val="000000"/>
          <w:szCs w:val="22"/>
          <w:lang w:val="es-ES" w:eastAsia="en-US"/>
        </w:rPr>
        <w:t>,</w:t>
      </w:r>
      <w:r w:rsidRPr="00AB6B18">
        <w:rPr>
          <w:rFonts w:ascii="Titillium" w:eastAsiaTheme="minorHAnsi" w:hAnsi="Titillium" w:cs="Arial"/>
          <w:bCs/>
          <w:color w:val="000000"/>
          <w:szCs w:val="22"/>
          <w:lang w:val="es-ES" w:eastAsia="en-US"/>
        </w:rPr>
        <w:t xml:space="preserve"> aumentaría a un </w:t>
      </w:r>
      <w:r w:rsidR="00601E97" w:rsidRPr="00AB6B18">
        <w:rPr>
          <w:rFonts w:ascii="Titillium" w:eastAsiaTheme="minorHAnsi" w:hAnsi="Titillium" w:cs="Arial"/>
          <w:bCs/>
          <w:color w:val="000000"/>
          <w:szCs w:val="22"/>
          <w:lang w:val="es-ES" w:eastAsia="en-US"/>
        </w:rPr>
        <w:t>6</w:t>
      </w:r>
      <w:r w:rsidR="00020D17" w:rsidRPr="00AB6B18">
        <w:rPr>
          <w:rFonts w:ascii="Titillium" w:eastAsiaTheme="minorHAnsi" w:hAnsi="Titillium" w:cs="Arial"/>
          <w:bCs/>
          <w:color w:val="000000"/>
          <w:szCs w:val="22"/>
          <w:lang w:val="es-ES" w:eastAsia="en-US"/>
        </w:rPr>
        <w:t>6%</w:t>
      </w:r>
      <w:r w:rsidRPr="00AB6B18">
        <w:rPr>
          <w:rFonts w:ascii="Titillium" w:eastAsiaTheme="minorHAnsi" w:hAnsi="Titillium" w:cs="Arial"/>
          <w:bCs/>
          <w:color w:val="000000"/>
          <w:szCs w:val="22"/>
          <w:lang w:val="es-ES" w:eastAsia="en-US"/>
        </w:rPr>
        <w:t xml:space="preserve"> </w:t>
      </w:r>
      <w:r w:rsidR="00601E97" w:rsidRPr="00AB6B18">
        <w:rPr>
          <w:rFonts w:ascii="Titillium" w:eastAsiaTheme="minorHAnsi" w:hAnsi="Titillium" w:cs="Arial"/>
          <w:bCs/>
          <w:color w:val="000000"/>
          <w:szCs w:val="22"/>
          <w:lang w:val="es-ES" w:eastAsia="en-US"/>
        </w:rPr>
        <w:t xml:space="preserve">en centros de cultivo Grande, </w:t>
      </w:r>
      <w:r w:rsidRPr="00AB6B18">
        <w:rPr>
          <w:rFonts w:ascii="Titillium" w:eastAsiaTheme="minorHAnsi" w:hAnsi="Titillium" w:cs="Arial"/>
          <w:bCs/>
          <w:color w:val="000000"/>
          <w:szCs w:val="22"/>
          <w:lang w:val="es-ES" w:eastAsia="en-US"/>
        </w:rPr>
        <w:t xml:space="preserve">considerando el </w:t>
      </w:r>
      <w:r w:rsidR="00601E97" w:rsidRPr="00AB6B18">
        <w:rPr>
          <w:rFonts w:ascii="Titillium" w:eastAsiaTheme="minorHAnsi" w:hAnsi="Titillium" w:cs="Arial"/>
          <w:bCs/>
          <w:color w:val="000000"/>
          <w:szCs w:val="22"/>
          <w:lang w:val="es-ES" w:eastAsia="en-US"/>
        </w:rPr>
        <w:t>44</w:t>
      </w:r>
      <w:r w:rsidRPr="00AB6B18">
        <w:rPr>
          <w:rFonts w:ascii="Titillium" w:eastAsiaTheme="minorHAnsi" w:hAnsi="Titillium" w:cs="Arial"/>
          <w:bCs/>
          <w:color w:val="000000"/>
          <w:szCs w:val="22"/>
          <w:lang w:val="es-ES" w:eastAsia="en-US"/>
        </w:rPr>
        <w:t xml:space="preserve">% </w:t>
      </w:r>
      <w:r w:rsidR="00AB6B18" w:rsidRPr="00AB6B18">
        <w:rPr>
          <w:rFonts w:ascii="Titillium" w:eastAsiaTheme="minorHAnsi" w:hAnsi="Titillium" w:cs="Arial"/>
          <w:bCs/>
          <w:color w:val="000000"/>
          <w:szCs w:val="22"/>
          <w:lang w:val="es-ES" w:eastAsia="en-US"/>
        </w:rPr>
        <w:t>que se encuentra en proceso</w:t>
      </w:r>
      <w:r w:rsidR="002A03C2">
        <w:rPr>
          <w:rFonts w:ascii="Titillium" w:eastAsiaTheme="minorHAnsi" w:hAnsi="Titillium" w:cs="Arial"/>
          <w:bCs/>
          <w:color w:val="000000"/>
          <w:szCs w:val="22"/>
          <w:lang w:val="es-ES" w:eastAsia="en-US"/>
        </w:rPr>
        <w:t xml:space="preserve"> de implementación </w:t>
      </w:r>
      <w:r w:rsidR="00AB6B18" w:rsidRPr="00AB6B18">
        <w:rPr>
          <w:rFonts w:ascii="Titillium" w:eastAsiaTheme="minorHAnsi" w:hAnsi="Titillium" w:cs="Arial"/>
          <w:bCs/>
          <w:color w:val="000000"/>
          <w:szCs w:val="22"/>
          <w:lang w:val="es-ES" w:eastAsia="en-US"/>
        </w:rPr>
        <w:t>al momento de implementar la encuesta.</w:t>
      </w:r>
      <w:r w:rsidR="009F1F9C" w:rsidRPr="00AB6B18">
        <w:rPr>
          <w:rFonts w:ascii="Titillium" w:eastAsiaTheme="minorHAnsi" w:hAnsi="Titillium" w:cs="Arial"/>
          <w:bCs/>
          <w:color w:val="000000"/>
          <w:szCs w:val="22"/>
          <w:lang w:val="es-ES" w:eastAsia="en-US"/>
        </w:rPr>
        <w:t xml:space="preserve"> </w:t>
      </w:r>
      <w:r w:rsidR="004A3448" w:rsidRPr="004A3448">
        <w:rPr>
          <w:rFonts w:ascii="Titillium" w:eastAsiaTheme="minorHAnsi" w:hAnsi="Titillium" w:cs="Arial"/>
          <w:bCs/>
          <w:color w:val="000000"/>
          <w:szCs w:val="22"/>
          <w:lang w:val="es-ES" w:eastAsia="en-US"/>
        </w:rPr>
        <w:t>(Figura 34</w:t>
      </w:r>
      <w:r w:rsidR="004A3448">
        <w:rPr>
          <w:rFonts w:ascii="Titillium" w:eastAsiaTheme="minorHAnsi" w:hAnsi="Titillium" w:cs="Arial"/>
          <w:bCs/>
          <w:color w:val="000000"/>
          <w:szCs w:val="22"/>
          <w:lang w:val="es-ES" w:eastAsia="en-US"/>
        </w:rPr>
        <w:t>).</w:t>
      </w:r>
    </w:p>
    <w:p w14:paraId="78EEFA5A" w14:textId="77777777" w:rsidR="001B7746" w:rsidRDefault="004A177F" w:rsidP="002A03C2">
      <w:pPr>
        <w:pStyle w:val="NormalWeb"/>
        <w:shd w:val="clear" w:color="auto" w:fill="FFFFFF"/>
        <w:spacing w:before="240" w:beforeAutospacing="0" w:after="150" w:afterAutospacing="0" w:line="276" w:lineRule="auto"/>
        <w:ind w:firstLine="708"/>
        <w:jc w:val="both"/>
        <w:rPr>
          <w:rFonts w:ascii="Titillium" w:eastAsiaTheme="minorHAnsi" w:hAnsi="Titillium" w:cs="Arial"/>
          <w:bCs/>
          <w:color w:val="000000"/>
          <w:szCs w:val="22"/>
          <w:lang w:val="es-ES" w:eastAsia="en-US"/>
        </w:rPr>
      </w:pPr>
      <w:r w:rsidRPr="00152EEA">
        <w:rPr>
          <w:rFonts w:ascii="Titillium" w:eastAsiaTheme="minorHAnsi" w:hAnsi="Titillium" w:cs="Arial"/>
          <w:bCs/>
          <w:color w:val="000000"/>
          <w:szCs w:val="22"/>
          <w:lang w:val="es-ES" w:eastAsia="en-US"/>
        </w:rPr>
        <w:t>La certificación</w:t>
      </w:r>
      <w:r w:rsidR="00157909" w:rsidRPr="00152EEA">
        <w:rPr>
          <w:rFonts w:ascii="Titillium" w:eastAsiaTheme="minorHAnsi" w:hAnsi="Titillium" w:cs="Arial"/>
          <w:bCs/>
          <w:color w:val="000000"/>
          <w:szCs w:val="22"/>
          <w:lang w:val="es-ES" w:eastAsia="en-US"/>
        </w:rPr>
        <w:t xml:space="preserve"> </w:t>
      </w:r>
      <w:r w:rsidR="00741A78" w:rsidRPr="00152EEA">
        <w:rPr>
          <w:rFonts w:ascii="Titillium" w:eastAsiaTheme="minorHAnsi" w:hAnsi="Titillium" w:cs="Arial"/>
          <w:bCs/>
          <w:color w:val="000000"/>
          <w:szCs w:val="22"/>
          <w:lang w:val="es-ES" w:eastAsia="en-US"/>
        </w:rPr>
        <w:t xml:space="preserve">Marine </w:t>
      </w:r>
      <w:proofErr w:type="spellStart"/>
      <w:r w:rsidR="00741A78" w:rsidRPr="00152EEA">
        <w:rPr>
          <w:rFonts w:ascii="Titillium" w:eastAsiaTheme="minorHAnsi" w:hAnsi="Titillium" w:cs="Arial"/>
          <w:bCs/>
          <w:color w:val="000000"/>
          <w:szCs w:val="22"/>
          <w:lang w:val="es-ES" w:eastAsia="en-US"/>
        </w:rPr>
        <w:t>Stewardship</w:t>
      </w:r>
      <w:proofErr w:type="spellEnd"/>
      <w:r w:rsidR="00741A78" w:rsidRPr="00152EEA">
        <w:rPr>
          <w:rFonts w:ascii="Titillium" w:eastAsiaTheme="minorHAnsi" w:hAnsi="Titillium" w:cs="Arial"/>
          <w:bCs/>
          <w:color w:val="000000"/>
          <w:szCs w:val="22"/>
          <w:lang w:val="es-ES" w:eastAsia="en-US"/>
        </w:rPr>
        <w:t xml:space="preserve"> Council</w:t>
      </w:r>
      <w:r w:rsidR="00241DFC">
        <w:rPr>
          <w:rFonts w:ascii="Titillium" w:eastAsiaTheme="minorHAnsi" w:hAnsi="Titillium" w:cs="Arial"/>
          <w:bCs/>
          <w:color w:val="000000"/>
          <w:szCs w:val="22"/>
          <w:lang w:val="es-ES" w:eastAsia="en-US"/>
        </w:rPr>
        <w:t xml:space="preserve"> (MSC)</w:t>
      </w:r>
      <w:r w:rsidRPr="00152EEA">
        <w:rPr>
          <w:rFonts w:ascii="Titillium" w:eastAsiaTheme="minorHAnsi" w:hAnsi="Titillium" w:cs="Arial"/>
          <w:bCs/>
          <w:color w:val="000000"/>
          <w:szCs w:val="22"/>
          <w:lang w:val="es-ES" w:eastAsia="en-US"/>
        </w:rPr>
        <w:t>, busca transformar los mercados internacionales para los productos del mar hacia un modelo que premie y promueva prácticas sostenibles y responsables. Los estándares para la pesca sostenible y la trazab</w:t>
      </w:r>
      <w:r w:rsidR="00157909" w:rsidRPr="00152EEA">
        <w:rPr>
          <w:rFonts w:ascii="Titillium" w:eastAsiaTheme="minorHAnsi" w:hAnsi="Titillium" w:cs="Arial"/>
          <w:bCs/>
          <w:color w:val="000000"/>
          <w:szCs w:val="22"/>
          <w:lang w:val="es-ES" w:eastAsia="en-US"/>
        </w:rPr>
        <w:t xml:space="preserve">ilidad de los productos del mar, </w:t>
      </w:r>
      <w:r w:rsidRPr="00152EEA">
        <w:rPr>
          <w:rFonts w:ascii="Titillium" w:eastAsiaTheme="minorHAnsi" w:hAnsi="Titillium" w:cs="Arial"/>
          <w:bCs/>
          <w:color w:val="000000"/>
          <w:szCs w:val="22"/>
          <w:lang w:val="es-ES" w:eastAsia="en-US"/>
        </w:rPr>
        <w:t>tienen como fin el incrementar la disponibilidad de pescado y marisco de recursos</w:t>
      </w:r>
      <w:r w:rsidR="00741A78" w:rsidRPr="00152EEA">
        <w:rPr>
          <w:rFonts w:ascii="Titillium" w:eastAsiaTheme="minorHAnsi" w:hAnsi="Titillium" w:cs="Arial"/>
          <w:bCs/>
          <w:color w:val="000000"/>
          <w:szCs w:val="22"/>
          <w:lang w:val="es-ES" w:eastAsia="en-US"/>
        </w:rPr>
        <w:t xml:space="preserve"> bien gestionados en el mercado</w:t>
      </w:r>
      <w:r w:rsidR="004C577A" w:rsidRPr="00152EEA">
        <w:rPr>
          <w:rFonts w:ascii="Titillium" w:eastAsiaTheme="minorHAnsi" w:hAnsi="Titillium" w:cs="Arial"/>
          <w:bCs/>
          <w:color w:val="000000"/>
          <w:szCs w:val="22"/>
          <w:lang w:val="es-ES" w:eastAsia="en-US"/>
        </w:rPr>
        <w:t xml:space="preserve">. </w:t>
      </w:r>
      <w:proofErr w:type="gramStart"/>
      <w:r w:rsidR="004C577A" w:rsidRPr="00152EEA">
        <w:rPr>
          <w:rFonts w:ascii="Titillium" w:eastAsiaTheme="minorHAnsi" w:hAnsi="Titillium" w:cs="Arial"/>
          <w:bCs/>
          <w:color w:val="000000"/>
          <w:szCs w:val="22"/>
          <w:lang w:val="es-ES" w:eastAsia="en-US"/>
        </w:rPr>
        <w:t>L</w:t>
      </w:r>
      <w:r w:rsidR="00741A78" w:rsidRPr="00152EEA">
        <w:rPr>
          <w:rFonts w:ascii="Titillium" w:eastAsiaTheme="minorHAnsi" w:hAnsi="Titillium" w:cs="Arial"/>
          <w:bCs/>
          <w:color w:val="000000"/>
          <w:szCs w:val="22"/>
          <w:lang w:val="es-ES" w:eastAsia="en-US"/>
        </w:rPr>
        <w:t>a</w:t>
      </w:r>
      <w:proofErr w:type="gramEnd"/>
      <w:r w:rsidRPr="00152EEA">
        <w:rPr>
          <w:rFonts w:ascii="Titillium" w:eastAsiaTheme="minorHAnsi" w:hAnsi="Titillium" w:cs="Arial"/>
          <w:bCs/>
          <w:color w:val="000000"/>
          <w:szCs w:val="22"/>
          <w:lang w:val="es-ES" w:eastAsia="en-US"/>
        </w:rPr>
        <w:t xml:space="preserve"> eco-etiqueta azul del MSC ofrece al consumidor la opción de apoyar fácilmente las prácticas sostenibles de las pesquerías.</w:t>
      </w:r>
      <w:r w:rsidR="004C577A" w:rsidRPr="00152EEA">
        <w:rPr>
          <w:rFonts w:ascii="Titillium" w:eastAsiaTheme="minorHAnsi" w:hAnsi="Titillium" w:cs="Arial"/>
          <w:bCs/>
          <w:color w:val="000000"/>
          <w:szCs w:val="22"/>
          <w:lang w:val="es-ES" w:eastAsia="en-US"/>
        </w:rPr>
        <w:t xml:space="preserve"> </w:t>
      </w:r>
    </w:p>
    <w:p w14:paraId="6A2D570A" w14:textId="2146207C" w:rsidR="004A177F" w:rsidRDefault="001B7746" w:rsidP="004A28A7">
      <w:pPr>
        <w:pStyle w:val="NormalWeb"/>
        <w:shd w:val="clear" w:color="auto" w:fill="FFFFFF"/>
        <w:spacing w:before="0" w:beforeAutospacing="0" w:after="150" w:afterAutospacing="0" w:line="276" w:lineRule="auto"/>
        <w:ind w:firstLine="709"/>
        <w:jc w:val="both"/>
        <w:rPr>
          <w:rFonts w:ascii="Titillium" w:eastAsiaTheme="minorHAnsi" w:hAnsi="Titillium" w:cs="Arial"/>
          <w:bCs/>
          <w:color w:val="000000"/>
          <w:szCs w:val="22"/>
          <w:lang w:val="es-ES" w:eastAsia="en-US"/>
        </w:rPr>
      </w:pPr>
      <w:r>
        <w:rPr>
          <w:rFonts w:ascii="Titillium" w:eastAsiaTheme="minorHAnsi" w:hAnsi="Titillium" w:cs="Arial"/>
          <w:bCs/>
          <w:color w:val="000000"/>
          <w:szCs w:val="22"/>
          <w:lang w:val="es-ES" w:eastAsia="en-US"/>
        </w:rPr>
        <w:t>Se evidenció que e</w:t>
      </w:r>
      <w:r w:rsidR="004C577A" w:rsidRPr="00152EEA">
        <w:rPr>
          <w:rFonts w:ascii="Titillium" w:eastAsiaTheme="minorHAnsi" w:hAnsi="Titillium" w:cs="Arial"/>
          <w:bCs/>
          <w:color w:val="000000"/>
          <w:szCs w:val="22"/>
          <w:lang w:val="es-ES" w:eastAsia="en-US"/>
        </w:rPr>
        <w:t xml:space="preserve">l </w:t>
      </w:r>
      <w:r>
        <w:rPr>
          <w:rFonts w:ascii="Titillium" w:eastAsiaTheme="minorHAnsi" w:hAnsi="Titillium" w:cs="Arial"/>
          <w:bCs/>
          <w:color w:val="000000"/>
          <w:szCs w:val="22"/>
          <w:lang w:val="es-ES" w:eastAsia="en-US"/>
        </w:rPr>
        <w:t xml:space="preserve">100% de los cultivos MYPE, no tiene certificación MSC, mientras que el 22% de centros Grande </w:t>
      </w:r>
      <w:r w:rsidR="004C577A" w:rsidRPr="004A28A7">
        <w:rPr>
          <w:rFonts w:ascii="Titillium" w:eastAsiaTheme="minorHAnsi" w:hAnsi="Titillium" w:cs="Arial"/>
          <w:bCs/>
          <w:color w:val="000000"/>
          <w:szCs w:val="22"/>
          <w:lang w:val="es-ES" w:eastAsia="en-US"/>
        </w:rPr>
        <w:t>informa</w:t>
      </w:r>
      <w:r>
        <w:rPr>
          <w:rFonts w:ascii="Titillium" w:eastAsiaTheme="minorHAnsi" w:hAnsi="Titillium" w:cs="Arial"/>
          <w:bCs/>
          <w:color w:val="000000"/>
          <w:szCs w:val="22"/>
          <w:lang w:val="es-ES" w:eastAsia="en-US"/>
        </w:rPr>
        <w:t>n</w:t>
      </w:r>
      <w:r w:rsidR="004C577A" w:rsidRPr="004A28A7">
        <w:rPr>
          <w:rFonts w:ascii="Titillium" w:eastAsiaTheme="minorHAnsi" w:hAnsi="Titillium" w:cs="Arial"/>
          <w:bCs/>
          <w:color w:val="000000"/>
          <w:szCs w:val="22"/>
          <w:lang w:val="es-ES" w:eastAsia="en-US"/>
        </w:rPr>
        <w:t xml:space="preserve"> poseer MSC</w:t>
      </w:r>
      <w:r>
        <w:rPr>
          <w:rFonts w:ascii="Titillium" w:eastAsiaTheme="minorHAnsi" w:hAnsi="Titillium" w:cs="Arial"/>
          <w:bCs/>
          <w:color w:val="000000"/>
          <w:szCs w:val="22"/>
          <w:lang w:val="es-ES" w:eastAsia="en-US"/>
        </w:rPr>
        <w:t xml:space="preserve"> (2 empresas).</w:t>
      </w:r>
      <w:r w:rsidRPr="004A3448">
        <w:rPr>
          <w:rFonts w:ascii="Titillium" w:eastAsiaTheme="minorHAnsi" w:hAnsi="Titillium" w:cs="Arial"/>
          <w:bCs/>
          <w:color w:val="000000"/>
          <w:szCs w:val="22"/>
          <w:lang w:val="es-ES" w:eastAsia="en-US"/>
        </w:rPr>
        <w:t xml:space="preserve"> </w:t>
      </w:r>
      <w:r w:rsidR="004A3448" w:rsidRPr="004A3448">
        <w:rPr>
          <w:rFonts w:ascii="Titillium" w:eastAsiaTheme="minorHAnsi" w:hAnsi="Titillium" w:cs="Arial"/>
          <w:bCs/>
          <w:color w:val="000000"/>
          <w:szCs w:val="22"/>
          <w:lang w:val="es-ES" w:eastAsia="en-US"/>
        </w:rPr>
        <w:t>(Figura 34</w:t>
      </w:r>
      <w:r w:rsidR="004A3448">
        <w:rPr>
          <w:rFonts w:ascii="Titillium" w:eastAsiaTheme="minorHAnsi" w:hAnsi="Titillium" w:cs="Arial"/>
          <w:bCs/>
          <w:color w:val="000000"/>
          <w:szCs w:val="22"/>
          <w:lang w:val="es-ES" w:eastAsia="en-US"/>
        </w:rPr>
        <w:t>).</w:t>
      </w:r>
    </w:p>
    <w:p w14:paraId="72D28C9B" w14:textId="64DF34AC" w:rsidR="00AB29C1" w:rsidRDefault="006643C4" w:rsidP="004A28A7">
      <w:pPr>
        <w:pStyle w:val="NormalWeb"/>
        <w:shd w:val="clear" w:color="auto" w:fill="FFFFFF"/>
        <w:spacing w:after="150" w:line="276" w:lineRule="auto"/>
        <w:ind w:firstLine="709"/>
        <w:jc w:val="both"/>
        <w:rPr>
          <w:rFonts w:ascii="Titillium" w:eastAsiaTheme="minorHAnsi" w:hAnsi="Titillium" w:cs="Arial"/>
          <w:bCs/>
          <w:color w:val="000000"/>
          <w:szCs w:val="22"/>
          <w:lang w:val="es-ES" w:eastAsia="en-US"/>
        </w:rPr>
      </w:pPr>
      <w:r w:rsidRPr="00152EEA">
        <w:rPr>
          <w:rFonts w:ascii="Titillium" w:eastAsiaTheme="minorHAnsi" w:hAnsi="Titillium" w:cs="Arial"/>
          <w:bCs/>
          <w:color w:val="000000"/>
          <w:szCs w:val="22"/>
          <w:lang w:val="es-ES" w:eastAsia="en-US"/>
        </w:rPr>
        <w:lastRenderedPageBreak/>
        <w:t>Diversos estándares orgánicos se han desarrollado en varios países durante los últimos años. No existe hoy en día un reglamento de productos orgánicos que sea aplicable en todo el mundo</w:t>
      </w:r>
      <w:r w:rsidR="00C11CC5" w:rsidRPr="00152EEA">
        <w:rPr>
          <w:rFonts w:ascii="Titillium" w:eastAsiaTheme="minorHAnsi" w:hAnsi="Titillium" w:cs="Arial"/>
          <w:bCs/>
          <w:color w:val="000000"/>
          <w:szCs w:val="22"/>
          <w:lang w:val="es-ES" w:eastAsia="en-US"/>
        </w:rPr>
        <w:t>. La</w:t>
      </w:r>
      <w:r w:rsidRPr="00152EEA">
        <w:rPr>
          <w:rFonts w:ascii="Titillium" w:eastAsiaTheme="minorHAnsi" w:hAnsi="Titillium" w:cs="Arial"/>
          <w:bCs/>
          <w:color w:val="000000"/>
          <w:szCs w:val="22"/>
          <w:lang w:val="es-ES" w:eastAsia="en-US"/>
        </w:rPr>
        <w:t xml:space="preserve"> gran cantidad de</w:t>
      </w:r>
      <w:r w:rsidR="00C11CC5" w:rsidRPr="00152EEA">
        <w:rPr>
          <w:rFonts w:ascii="Titillium" w:eastAsiaTheme="minorHAnsi" w:hAnsi="Titillium" w:cs="Arial"/>
          <w:bCs/>
          <w:color w:val="000000"/>
          <w:szCs w:val="22"/>
          <w:lang w:val="es-ES" w:eastAsia="en-US"/>
        </w:rPr>
        <w:t xml:space="preserve"> diferentes estándares </w:t>
      </w:r>
      <w:r w:rsidRPr="00152EEA">
        <w:rPr>
          <w:rFonts w:ascii="Titillium" w:eastAsiaTheme="minorHAnsi" w:hAnsi="Titillium" w:cs="Arial"/>
          <w:bCs/>
          <w:color w:val="000000"/>
          <w:szCs w:val="22"/>
          <w:lang w:val="es-ES" w:eastAsia="en-US"/>
        </w:rPr>
        <w:t>hace difícil para los productores y operadores definir cuál</w:t>
      </w:r>
      <w:r w:rsidR="00C11CC5" w:rsidRPr="00152EEA">
        <w:rPr>
          <w:rFonts w:ascii="Titillium" w:eastAsiaTheme="minorHAnsi" w:hAnsi="Titillium" w:cs="Arial"/>
          <w:bCs/>
          <w:color w:val="000000"/>
          <w:szCs w:val="22"/>
          <w:lang w:val="es-ES" w:eastAsia="en-US"/>
        </w:rPr>
        <w:t xml:space="preserve"> de ellos aplicar, por lo que l</w:t>
      </w:r>
      <w:r w:rsidRPr="00152EEA">
        <w:rPr>
          <w:rFonts w:ascii="Titillium" w:eastAsiaTheme="minorHAnsi" w:hAnsi="Titillium" w:cs="Arial"/>
          <w:bCs/>
          <w:color w:val="000000"/>
          <w:szCs w:val="22"/>
          <w:lang w:val="es-ES" w:eastAsia="en-US"/>
        </w:rPr>
        <w:t>a elección de la norma más adecuada de certificación orgánica depende principalmente del mercado final de los productos orgánicos a exportarse.</w:t>
      </w:r>
      <w:r w:rsidR="00C11CC5" w:rsidRPr="00152EEA">
        <w:rPr>
          <w:rFonts w:ascii="Titillium" w:eastAsiaTheme="minorHAnsi" w:hAnsi="Titillium" w:cs="Arial"/>
          <w:bCs/>
          <w:color w:val="000000"/>
          <w:szCs w:val="22"/>
          <w:lang w:val="es-ES" w:eastAsia="en-US"/>
        </w:rPr>
        <w:t xml:space="preserve"> </w:t>
      </w:r>
      <w:r w:rsidR="001B7746">
        <w:rPr>
          <w:rFonts w:ascii="Titillium" w:eastAsiaTheme="minorHAnsi" w:hAnsi="Titillium" w:cs="Arial"/>
          <w:bCs/>
          <w:color w:val="000000"/>
          <w:szCs w:val="22"/>
          <w:lang w:val="es-ES" w:eastAsia="en-US"/>
        </w:rPr>
        <w:t>El 8%  y el 22%, MYPE y Grande respectivamente, poseen certificación orgánica.</w:t>
      </w:r>
      <w:r w:rsidR="004A28A7">
        <w:rPr>
          <w:rFonts w:ascii="Titillium" w:eastAsiaTheme="minorHAnsi" w:hAnsi="Titillium" w:cs="Arial"/>
          <w:bCs/>
          <w:color w:val="000000"/>
          <w:szCs w:val="22"/>
          <w:lang w:val="es-ES" w:eastAsia="en-US"/>
        </w:rPr>
        <w:t xml:space="preserve"> </w:t>
      </w:r>
      <w:r w:rsidR="004A3448" w:rsidRPr="004A3448">
        <w:rPr>
          <w:rFonts w:ascii="Titillium" w:eastAsiaTheme="minorHAnsi" w:hAnsi="Titillium" w:cs="Arial"/>
          <w:bCs/>
          <w:color w:val="000000"/>
          <w:szCs w:val="22"/>
          <w:lang w:val="es-ES" w:eastAsia="en-US"/>
        </w:rPr>
        <w:t>(Figura 34</w:t>
      </w:r>
      <w:r w:rsidR="004A3448">
        <w:rPr>
          <w:rFonts w:ascii="Titillium" w:eastAsiaTheme="minorHAnsi" w:hAnsi="Titillium" w:cs="Arial"/>
          <w:bCs/>
          <w:color w:val="000000"/>
          <w:szCs w:val="22"/>
          <w:lang w:val="es-ES" w:eastAsia="en-US"/>
        </w:rPr>
        <w:t>).</w:t>
      </w:r>
    </w:p>
    <w:p w14:paraId="70384278" w14:textId="7CF830A6" w:rsidR="006643C4" w:rsidRPr="00152EEA" w:rsidRDefault="00AB29C1" w:rsidP="0092090F">
      <w:pPr>
        <w:pStyle w:val="NormalWeb"/>
        <w:shd w:val="clear" w:color="auto" w:fill="FFFFFF"/>
        <w:spacing w:line="276" w:lineRule="auto"/>
        <w:ind w:firstLine="709"/>
        <w:jc w:val="both"/>
        <w:rPr>
          <w:rFonts w:ascii="Titillium" w:eastAsiaTheme="minorHAnsi" w:hAnsi="Titillium" w:cs="Arial"/>
          <w:bCs/>
          <w:color w:val="000000"/>
          <w:szCs w:val="22"/>
          <w:lang w:val="es-ES" w:eastAsia="en-US"/>
        </w:rPr>
      </w:pPr>
      <w:proofErr w:type="spellStart"/>
      <w:r w:rsidRPr="00AB29C1">
        <w:rPr>
          <w:rFonts w:ascii="Titillium" w:eastAsiaTheme="minorHAnsi" w:hAnsi="Titillium" w:cs="Arial"/>
          <w:bCs/>
          <w:color w:val="000000"/>
          <w:szCs w:val="22"/>
          <w:lang w:val="es-ES" w:eastAsia="en-US"/>
        </w:rPr>
        <w:t>Friend</w:t>
      </w:r>
      <w:proofErr w:type="spellEnd"/>
      <w:r w:rsidRPr="00AB29C1">
        <w:rPr>
          <w:rFonts w:ascii="Titillium" w:eastAsiaTheme="minorHAnsi" w:hAnsi="Titillium" w:cs="Arial"/>
          <w:bCs/>
          <w:color w:val="000000"/>
          <w:szCs w:val="22"/>
          <w:lang w:val="es-ES" w:eastAsia="en-US"/>
        </w:rPr>
        <w:t xml:space="preserve"> of </w:t>
      </w:r>
      <w:proofErr w:type="spellStart"/>
      <w:r w:rsidRPr="00AB29C1">
        <w:rPr>
          <w:rFonts w:ascii="Titillium" w:eastAsiaTheme="minorHAnsi" w:hAnsi="Titillium" w:cs="Arial"/>
          <w:bCs/>
          <w:color w:val="000000"/>
          <w:szCs w:val="22"/>
          <w:lang w:val="es-ES" w:eastAsia="en-US"/>
        </w:rPr>
        <w:t>the</w:t>
      </w:r>
      <w:proofErr w:type="spellEnd"/>
      <w:r w:rsidRPr="00AB29C1">
        <w:rPr>
          <w:rFonts w:ascii="Titillium" w:eastAsiaTheme="minorHAnsi" w:hAnsi="Titillium" w:cs="Arial"/>
          <w:bCs/>
          <w:color w:val="000000"/>
          <w:szCs w:val="22"/>
          <w:lang w:val="es-ES" w:eastAsia="en-US"/>
        </w:rPr>
        <w:t xml:space="preserve"> </w:t>
      </w:r>
      <w:r>
        <w:rPr>
          <w:rFonts w:ascii="Titillium" w:eastAsiaTheme="minorHAnsi" w:hAnsi="Titillium" w:cs="Arial"/>
          <w:bCs/>
          <w:color w:val="000000"/>
          <w:szCs w:val="22"/>
          <w:lang w:val="es-ES" w:eastAsia="en-US"/>
        </w:rPr>
        <w:t xml:space="preserve">Sea (FOS), es una </w:t>
      </w:r>
      <w:r w:rsidRPr="00AB29C1">
        <w:rPr>
          <w:rFonts w:ascii="Titillium" w:eastAsiaTheme="minorHAnsi" w:hAnsi="Titillium" w:cs="Arial"/>
          <w:bCs/>
          <w:color w:val="000000"/>
          <w:szCs w:val="22"/>
          <w:lang w:val="es-ES" w:eastAsia="en-US"/>
        </w:rPr>
        <w:t>certificación internacional para productos de pesquería y acuicultura sostenibles</w:t>
      </w:r>
      <w:r>
        <w:rPr>
          <w:rFonts w:ascii="Titillium" w:eastAsiaTheme="minorHAnsi" w:hAnsi="Titillium" w:cs="Arial"/>
          <w:bCs/>
          <w:color w:val="000000"/>
          <w:szCs w:val="22"/>
          <w:lang w:val="es-ES" w:eastAsia="en-US"/>
        </w:rPr>
        <w:t xml:space="preserve">, </w:t>
      </w:r>
      <w:r w:rsidRPr="00AB29C1">
        <w:rPr>
          <w:rFonts w:ascii="Titillium" w:eastAsiaTheme="minorHAnsi" w:hAnsi="Titillium" w:cs="Arial"/>
          <w:bCs/>
          <w:color w:val="000000"/>
          <w:szCs w:val="22"/>
          <w:lang w:val="es-ES" w:eastAsia="en-US"/>
        </w:rPr>
        <w:t>cuya misión es la conservación del hábitat marino.</w:t>
      </w:r>
      <w:r>
        <w:rPr>
          <w:rFonts w:ascii="Titillium" w:eastAsiaTheme="minorHAnsi" w:hAnsi="Titillium" w:cs="Arial"/>
          <w:bCs/>
          <w:color w:val="000000"/>
          <w:szCs w:val="22"/>
          <w:lang w:val="es-ES" w:eastAsia="en-US"/>
        </w:rPr>
        <w:t xml:space="preserve"> </w:t>
      </w:r>
      <w:r w:rsidRPr="00AB29C1">
        <w:rPr>
          <w:rFonts w:ascii="Titillium" w:eastAsiaTheme="minorHAnsi" w:hAnsi="Titillium" w:cs="Arial"/>
          <w:bCs/>
          <w:color w:val="000000"/>
          <w:szCs w:val="22"/>
          <w:lang w:val="es-ES" w:eastAsia="en-US"/>
        </w:rPr>
        <w:t>Los productos certificados procedentes de todos los continentes incluyen la mayoría de las especies comercializadas, harina de pescado, alimento para peces y aceite de pescado Omega-3.</w:t>
      </w:r>
      <w:r>
        <w:rPr>
          <w:rFonts w:ascii="Titillium" w:eastAsiaTheme="minorHAnsi" w:hAnsi="Titillium" w:cs="Arial"/>
          <w:bCs/>
          <w:color w:val="000000"/>
          <w:szCs w:val="22"/>
          <w:lang w:val="es-ES" w:eastAsia="en-US"/>
        </w:rPr>
        <w:t xml:space="preserve"> </w:t>
      </w:r>
      <w:r w:rsidRPr="00AB29C1">
        <w:rPr>
          <w:rFonts w:ascii="Titillium" w:eastAsiaTheme="minorHAnsi" w:hAnsi="Titillium" w:cs="Arial"/>
          <w:bCs/>
          <w:color w:val="000000"/>
          <w:szCs w:val="22"/>
          <w:lang w:val="es-ES" w:eastAsia="en-US"/>
        </w:rPr>
        <w:t>Los productos y su procedencia son examinados in situ por organismos independientes de certificación internacional, siguiendo los estrictos criterios de soste</w:t>
      </w:r>
      <w:r>
        <w:rPr>
          <w:rFonts w:ascii="Titillium" w:eastAsiaTheme="minorHAnsi" w:hAnsi="Titillium" w:cs="Arial"/>
          <w:bCs/>
          <w:color w:val="000000"/>
          <w:szCs w:val="22"/>
          <w:lang w:val="es-ES" w:eastAsia="en-US"/>
        </w:rPr>
        <w:t xml:space="preserve">nibilidad de </w:t>
      </w:r>
      <w:proofErr w:type="spellStart"/>
      <w:r>
        <w:rPr>
          <w:rFonts w:ascii="Titillium" w:eastAsiaTheme="minorHAnsi" w:hAnsi="Titillium" w:cs="Arial"/>
          <w:bCs/>
          <w:color w:val="000000"/>
          <w:szCs w:val="22"/>
          <w:lang w:val="es-ES" w:eastAsia="en-US"/>
        </w:rPr>
        <w:t>Friend</w:t>
      </w:r>
      <w:proofErr w:type="spellEnd"/>
      <w:r>
        <w:rPr>
          <w:rFonts w:ascii="Titillium" w:eastAsiaTheme="minorHAnsi" w:hAnsi="Titillium" w:cs="Arial"/>
          <w:bCs/>
          <w:color w:val="000000"/>
          <w:szCs w:val="22"/>
          <w:lang w:val="es-ES" w:eastAsia="en-US"/>
        </w:rPr>
        <w:t xml:space="preserve"> of </w:t>
      </w:r>
      <w:proofErr w:type="spellStart"/>
      <w:r>
        <w:rPr>
          <w:rFonts w:ascii="Titillium" w:eastAsiaTheme="minorHAnsi" w:hAnsi="Titillium" w:cs="Arial"/>
          <w:bCs/>
          <w:color w:val="000000"/>
          <w:szCs w:val="22"/>
          <w:lang w:val="es-ES" w:eastAsia="en-US"/>
        </w:rPr>
        <w:t>the</w:t>
      </w:r>
      <w:proofErr w:type="spellEnd"/>
      <w:r>
        <w:rPr>
          <w:rFonts w:ascii="Titillium" w:eastAsiaTheme="minorHAnsi" w:hAnsi="Titillium" w:cs="Arial"/>
          <w:bCs/>
          <w:color w:val="000000"/>
          <w:szCs w:val="22"/>
          <w:lang w:val="es-ES" w:eastAsia="en-US"/>
        </w:rPr>
        <w:t xml:space="preserve"> Sea. </w:t>
      </w:r>
      <w:r w:rsidRPr="00AB29C1">
        <w:rPr>
          <w:rFonts w:ascii="Titillium" w:eastAsiaTheme="minorHAnsi" w:hAnsi="Titillium" w:cs="Arial"/>
          <w:bCs/>
          <w:color w:val="000000"/>
          <w:szCs w:val="22"/>
          <w:lang w:val="es-ES" w:eastAsia="en-US"/>
        </w:rPr>
        <w:t>En concreto, sólo pueden ser certificados los productos procedentes de poblaciones que no estén sobreexplotadas</w:t>
      </w:r>
      <w:r w:rsidR="001B7746">
        <w:rPr>
          <w:rFonts w:ascii="Titillium" w:eastAsiaTheme="minorHAnsi" w:hAnsi="Titillium" w:cs="Arial"/>
          <w:bCs/>
          <w:color w:val="000000"/>
          <w:szCs w:val="22"/>
          <w:lang w:val="es-ES" w:eastAsia="en-US"/>
        </w:rPr>
        <w:t xml:space="preserve">. </w:t>
      </w:r>
      <w:r w:rsidR="00323318">
        <w:rPr>
          <w:rFonts w:ascii="Titillium" w:eastAsiaTheme="minorHAnsi" w:hAnsi="Titillium" w:cs="Arial"/>
          <w:bCs/>
          <w:color w:val="000000"/>
          <w:szCs w:val="22"/>
          <w:lang w:val="es-ES" w:eastAsia="en-US"/>
        </w:rPr>
        <w:t xml:space="preserve"> Destacar que el 67% de las empresas de categoría Grande poseen certificación FOS (6 empresas), en cambio la totalidad de los centros MYPE no la poseen.</w:t>
      </w:r>
      <w:r w:rsidR="00323318" w:rsidRPr="004A3448">
        <w:rPr>
          <w:rFonts w:ascii="Titillium" w:eastAsiaTheme="minorHAnsi" w:hAnsi="Titillium" w:cs="Arial"/>
          <w:bCs/>
          <w:color w:val="000000"/>
          <w:szCs w:val="22"/>
          <w:lang w:val="es-ES" w:eastAsia="en-US"/>
        </w:rPr>
        <w:t xml:space="preserve"> </w:t>
      </w:r>
      <w:r w:rsidR="004A3448" w:rsidRPr="004A3448">
        <w:rPr>
          <w:rFonts w:ascii="Titillium" w:eastAsiaTheme="minorHAnsi" w:hAnsi="Titillium" w:cs="Arial"/>
          <w:bCs/>
          <w:color w:val="000000"/>
          <w:szCs w:val="22"/>
          <w:lang w:val="es-ES" w:eastAsia="en-US"/>
        </w:rPr>
        <w:t>(Figura 34</w:t>
      </w:r>
      <w:r w:rsidR="004A3448">
        <w:rPr>
          <w:rFonts w:ascii="Titillium" w:eastAsiaTheme="minorHAnsi" w:hAnsi="Titillium" w:cs="Arial"/>
          <w:bCs/>
          <w:color w:val="000000"/>
          <w:szCs w:val="22"/>
          <w:lang w:val="es-ES" w:eastAsia="en-US"/>
        </w:rPr>
        <w:t>).</w:t>
      </w:r>
    </w:p>
    <w:p w14:paraId="6F5EB3D6" w14:textId="7F364216" w:rsidR="00B1366F" w:rsidRPr="00B1366F" w:rsidRDefault="00B1366F" w:rsidP="0092090F">
      <w:pPr>
        <w:pStyle w:val="NormalWeb"/>
        <w:shd w:val="clear" w:color="auto" w:fill="FFFFFF"/>
        <w:spacing w:line="276" w:lineRule="auto"/>
        <w:ind w:firstLine="709"/>
        <w:jc w:val="both"/>
        <w:rPr>
          <w:rFonts w:ascii="Titillium" w:eastAsiaTheme="minorHAnsi" w:hAnsi="Titillium" w:cs="Arial"/>
          <w:bCs/>
          <w:color w:val="000000"/>
          <w:szCs w:val="22"/>
          <w:lang w:val="es-ES" w:eastAsia="en-US"/>
        </w:rPr>
      </w:pPr>
      <w:proofErr w:type="spellStart"/>
      <w:r>
        <w:rPr>
          <w:rFonts w:ascii="Titillium" w:eastAsiaTheme="minorHAnsi" w:hAnsi="Titillium" w:cs="Arial"/>
          <w:bCs/>
          <w:color w:val="000000"/>
          <w:szCs w:val="22"/>
          <w:lang w:val="es-ES" w:eastAsia="en-US"/>
        </w:rPr>
        <w:t>Best</w:t>
      </w:r>
      <w:proofErr w:type="spellEnd"/>
      <w:r>
        <w:rPr>
          <w:rFonts w:ascii="Titillium" w:eastAsiaTheme="minorHAnsi" w:hAnsi="Titillium" w:cs="Arial"/>
          <w:bCs/>
          <w:color w:val="000000"/>
          <w:szCs w:val="22"/>
          <w:lang w:val="es-ES" w:eastAsia="en-US"/>
        </w:rPr>
        <w:t xml:space="preserve"> </w:t>
      </w:r>
      <w:proofErr w:type="spellStart"/>
      <w:r>
        <w:rPr>
          <w:rFonts w:ascii="Titillium" w:eastAsiaTheme="minorHAnsi" w:hAnsi="Titillium" w:cs="Arial"/>
          <w:bCs/>
          <w:color w:val="000000"/>
          <w:szCs w:val="22"/>
          <w:lang w:val="es-ES" w:eastAsia="en-US"/>
        </w:rPr>
        <w:t>Aquaculture</w:t>
      </w:r>
      <w:proofErr w:type="spellEnd"/>
      <w:r>
        <w:rPr>
          <w:rFonts w:ascii="Titillium" w:eastAsiaTheme="minorHAnsi" w:hAnsi="Titillium" w:cs="Arial"/>
          <w:bCs/>
          <w:color w:val="000000"/>
          <w:szCs w:val="22"/>
          <w:lang w:val="es-ES" w:eastAsia="en-US"/>
        </w:rPr>
        <w:t xml:space="preserve"> </w:t>
      </w:r>
      <w:proofErr w:type="spellStart"/>
      <w:r>
        <w:rPr>
          <w:rFonts w:ascii="Titillium" w:eastAsiaTheme="minorHAnsi" w:hAnsi="Titillium" w:cs="Arial"/>
          <w:bCs/>
          <w:color w:val="000000"/>
          <w:szCs w:val="22"/>
          <w:lang w:val="es-ES" w:eastAsia="en-US"/>
        </w:rPr>
        <w:t>Practices</w:t>
      </w:r>
      <w:proofErr w:type="spellEnd"/>
      <w:r>
        <w:rPr>
          <w:rFonts w:ascii="Titillium" w:eastAsiaTheme="minorHAnsi" w:hAnsi="Titillium" w:cs="Arial"/>
          <w:bCs/>
          <w:color w:val="000000"/>
          <w:szCs w:val="22"/>
          <w:lang w:val="es-ES" w:eastAsia="en-US"/>
        </w:rPr>
        <w:t xml:space="preserve"> (BAP), fue desarrollada por l</w:t>
      </w:r>
      <w:r w:rsidRPr="00B1366F">
        <w:rPr>
          <w:rFonts w:ascii="Titillium" w:eastAsiaTheme="minorHAnsi" w:hAnsi="Titillium" w:cs="Arial"/>
          <w:bCs/>
          <w:color w:val="000000"/>
          <w:szCs w:val="22"/>
          <w:lang w:val="es-ES" w:eastAsia="en-US"/>
        </w:rPr>
        <w:t>a Alianza Mundial de Acuicultura (GAA)</w:t>
      </w:r>
      <w:r>
        <w:rPr>
          <w:rFonts w:ascii="Titillium" w:eastAsiaTheme="minorHAnsi" w:hAnsi="Titillium" w:cs="Arial"/>
          <w:bCs/>
          <w:color w:val="000000"/>
          <w:szCs w:val="22"/>
          <w:lang w:val="es-ES" w:eastAsia="en-US"/>
        </w:rPr>
        <w:t>. BAP, es un</w:t>
      </w:r>
      <w:r w:rsidRPr="00B1366F">
        <w:rPr>
          <w:rFonts w:ascii="Titillium" w:eastAsiaTheme="minorHAnsi" w:hAnsi="Titillium" w:cs="Arial"/>
          <w:bCs/>
          <w:color w:val="000000"/>
          <w:szCs w:val="22"/>
          <w:lang w:val="es-ES" w:eastAsia="en-US"/>
        </w:rPr>
        <w:t xml:space="preserve"> programa voluntario de certificación para las instalaciones acuícolas, que aborda la responsabilidad social y medioambiental, el bienestar animal, la seguridad alimentaria y la trazabilidad. La certificación BAP permite a piscifactorías, plantas de procesamiento, fábricas de alimentos y explotaciones acuícolas garantizar a todos los involucrados en el sector, incluidos los consumidores, que sus productos pesqueros se obtienen y se procesan conforme a las mejores prácticas de la industria. </w:t>
      </w:r>
      <w:r w:rsidR="00323318">
        <w:rPr>
          <w:rFonts w:ascii="Titillium" w:eastAsiaTheme="minorHAnsi" w:hAnsi="Titillium" w:cs="Arial"/>
          <w:bCs/>
          <w:color w:val="000000"/>
          <w:szCs w:val="22"/>
          <w:lang w:val="es-ES" w:eastAsia="en-US"/>
        </w:rPr>
        <w:t xml:space="preserve">Se evidenció que sólo el 56% de empresas Grande está </w:t>
      </w:r>
      <w:proofErr w:type="gramStart"/>
      <w:r w:rsidR="00323318">
        <w:rPr>
          <w:rFonts w:ascii="Titillium" w:eastAsiaTheme="minorHAnsi" w:hAnsi="Titillium" w:cs="Arial"/>
          <w:bCs/>
          <w:color w:val="000000"/>
          <w:szCs w:val="22"/>
          <w:lang w:val="es-ES" w:eastAsia="en-US"/>
        </w:rPr>
        <w:t>certificada</w:t>
      </w:r>
      <w:proofErr w:type="gramEnd"/>
      <w:r w:rsidR="00323318">
        <w:rPr>
          <w:rFonts w:ascii="Titillium" w:eastAsiaTheme="minorHAnsi" w:hAnsi="Titillium" w:cs="Arial"/>
          <w:bCs/>
          <w:color w:val="000000"/>
          <w:szCs w:val="22"/>
          <w:lang w:val="es-ES" w:eastAsia="en-US"/>
        </w:rPr>
        <w:t xml:space="preserve"> con BAP, </w:t>
      </w:r>
      <w:r w:rsidR="00AA6DD7">
        <w:rPr>
          <w:rFonts w:ascii="Titillium" w:eastAsiaTheme="minorHAnsi" w:hAnsi="Titillium" w:cs="Arial"/>
          <w:bCs/>
          <w:color w:val="000000"/>
          <w:szCs w:val="22"/>
          <w:lang w:val="es-ES" w:eastAsia="en-US"/>
        </w:rPr>
        <w:t xml:space="preserve">en cambio el 100% de </w:t>
      </w:r>
      <w:r w:rsidR="00323318">
        <w:rPr>
          <w:rFonts w:ascii="Titillium" w:eastAsiaTheme="minorHAnsi" w:hAnsi="Titillium" w:cs="Arial"/>
          <w:bCs/>
          <w:color w:val="000000"/>
          <w:szCs w:val="22"/>
          <w:lang w:val="es-ES" w:eastAsia="en-US"/>
        </w:rPr>
        <w:t xml:space="preserve">empresas MYPE, </w:t>
      </w:r>
      <w:r w:rsidR="00AA6DD7">
        <w:rPr>
          <w:rFonts w:ascii="Titillium" w:eastAsiaTheme="minorHAnsi" w:hAnsi="Titillium" w:cs="Arial"/>
          <w:bCs/>
          <w:color w:val="000000"/>
          <w:szCs w:val="22"/>
          <w:lang w:val="es-ES" w:eastAsia="en-US"/>
        </w:rPr>
        <w:t xml:space="preserve">no </w:t>
      </w:r>
      <w:r w:rsidR="00323318">
        <w:rPr>
          <w:rFonts w:ascii="Titillium" w:eastAsiaTheme="minorHAnsi" w:hAnsi="Titillium" w:cs="Arial"/>
          <w:bCs/>
          <w:color w:val="000000"/>
          <w:szCs w:val="22"/>
          <w:lang w:val="es-ES" w:eastAsia="en-US"/>
        </w:rPr>
        <w:t>la posee</w:t>
      </w:r>
      <w:r w:rsidR="004A3448">
        <w:rPr>
          <w:rFonts w:ascii="Titillium" w:eastAsiaTheme="minorHAnsi" w:hAnsi="Titillium" w:cs="Arial"/>
          <w:bCs/>
          <w:color w:val="000000"/>
          <w:szCs w:val="22"/>
          <w:lang w:val="es-ES" w:eastAsia="en-US"/>
        </w:rPr>
        <w:t xml:space="preserve">. </w:t>
      </w:r>
      <w:r w:rsidR="004A3448" w:rsidRPr="004A3448">
        <w:rPr>
          <w:rFonts w:ascii="Titillium" w:eastAsiaTheme="minorHAnsi" w:hAnsi="Titillium" w:cs="Arial"/>
          <w:bCs/>
          <w:color w:val="000000"/>
          <w:szCs w:val="22"/>
          <w:lang w:val="es-ES" w:eastAsia="en-US"/>
        </w:rPr>
        <w:t>(Figura 34</w:t>
      </w:r>
      <w:r w:rsidR="004A3448">
        <w:rPr>
          <w:rFonts w:ascii="Titillium" w:eastAsiaTheme="minorHAnsi" w:hAnsi="Titillium" w:cs="Arial"/>
          <w:bCs/>
          <w:color w:val="000000"/>
          <w:szCs w:val="22"/>
          <w:lang w:val="es-ES" w:eastAsia="en-US"/>
        </w:rPr>
        <w:t>).</w:t>
      </w:r>
    </w:p>
    <w:p w14:paraId="1F2617BF" w14:textId="09E0BAD0" w:rsidR="00B1366F" w:rsidRDefault="00323318" w:rsidP="004A3448">
      <w:pPr>
        <w:pStyle w:val="NormalWeb"/>
        <w:shd w:val="clear" w:color="auto" w:fill="FFFFFF"/>
        <w:spacing w:line="276" w:lineRule="auto"/>
        <w:ind w:firstLine="709"/>
        <w:jc w:val="both"/>
        <w:rPr>
          <w:rFonts w:ascii="Titillium" w:eastAsiaTheme="minorHAnsi" w:hAnsi="Titillium" w:cs="Arial"/>
          <w:bCs/>
          <w:color w:val="000000"/>
          <w:szCs w:val="22"/>
          <w:lang w:val="es-ES" w:eastAsia="en-US"/>
        </w:rPr>
      </w:pPr>
      <w:r w:rsidRPr="00152EEA">
        <w:rPr>
          <w:rFonts w:ascii="Titillium" w:eastAsiaTheme="minorHAnsi" w:hAnsi="Titillium" w:cs="Arial"/>
          <w:bCs/>
          <w:color w:val="000000"/>
          <w:szCs w:val="22"/>
          <w:lang w:val="es-ES" w:eastAsia="en-US"/>
        </w:rPr>
        <w:lastRenderedPageBreak/>
        <w:t xml:space="preserve">Finalmente, cabe mencionar que el </w:t>
      </w:r>
      <w:r w:rsidR="00AA6DD7">
        <w:rPr>
          <w:rFonts w:ascii="Titillium" w:eastAsiaTheme="minorHAnsi" w:hAnsi="Titillium" w:cs="Arial"/>
          <w:bCs/>
          <w:color w:val="000000"/>
          <w:szCs w:val="22"/>
          <w:lang w:val="es-ES" w:eastAsia="en-US"/>
        </w:rPr>
        <w:t xml:space="preserve">8% y el 11%, MYPE y Grande respectivamente, </w:t>
      </w:r>
      <w:r w:rsidRPr="00152EEA">
        <w:rPr>
          <w:rFonts w:ascii="Titillium" w:eastAsiaTheme="minorHAnsi" w:hAnsi="Titillium" w:cs="Arial"/>
          <w:bCs/>
          <w:color w:val="000000"/>
          <w:szCs w:val="22"/>
          <w:lang w:val="es-ES" w:eastAsia="en-US"/>
        </w:rPr>
        <w:t xml:space="preserve">utilizan la norma </w:t>
      </w:r>
      <w:proofErr w:type="spellStart"/>
      <w:r w:rsidRPr="00152EEA">
        <w:rPr>
          <w:rFonts w:ascii="Titillium" w:eastAsiaTheme="minorHAnsi" w:hAnsi="Titillium" w:cs="Arial"/>
          <w:bCs/>
          <w:color w:val="000000"/>
          <w:szCs w:val="22"/>
          <w:lang w:val="es-ES" w:eastAsia="en-US"/>
        </w:rPr>
        <w:t>NCh</w:t>
      </w:r>
      <w:proofErr w:type="spellEnd"/>
      <w:r w:rsidRPr="00152EEA">
        <w:rPr>
          <w:rFonts w:ascii="Titillium" w:eastAsiaTheme="minorHAnsi" w:hAnsi="Titillium" w:cs="Arial"/>
          <w:bCs/>
          <w:color w:val="000000"/>
          <w:szCs w:val="22"/>
          <w:lang w:val="es-ES" w:eastAsia="en-US"/>
        </w:rPr>
        <w:t xml:space="preserve"> 336</w:t>
      </w:r>
      <w:r>
        <w:rPr>
          <w:rFonts w:ascii="Titillium" w:eastAsiaTheme="minorHAnsi" w:hAnsi="Titillium" w:cs="Arial"/>
          <w:bCs/>
          <w:color w:val="000000"/>
          <w:szCs w:val="22"/>
          <w:lang w:val="es-ES" w:eastAsia="en-US"/>
        </w:rPr>
        <w:t>0</w:t>
      </w:r>
      <w:r w:rsidRPr="00152EEA">
        <w:rPr>
          <w:rFonts w:ascii="Titillium" w:eastAsiaTheme="minorHAnsi" w:hAnsi="Titillium" w:cs="Arial"/>
          <w:bCs/>
          <w:color w:val="000000"/>
          <w:szCs w:val="22"/>
          <w:lang w:val="es-ES" w:eastAsia="en-US"/>
        </w:rPr>
        <w:t>/2014,</w:t>
      </w:r>
      <w:r w:rsidRPr="00804100">
        <w:rPr>
          <w:rFonts w:ascii="Titillium" w:eastAsiaTheme="minorHAnsi" w:hAnsi="Titillium" w:cs="Arial"/>
          <w:bCs/>
          <w:color w:val="000000"/>
          <w:szCs w:val="22"/>
          <w:lang w:val="es-ES" w:eastAsia="en-US"/>
        </w:rPr>
        <w:t xml:space="preserve"> </w:t>
      </w:r>
      <w:r w:rsidR="00804100" w:rsidRPr="00804100">
        <w:rPr>
          <w:rFonts w:ascii="Titillium" w:eastAsiaTheme="minorHAnsi" w:hAnsi="Titillium" w:cs="Arial"/>
          <w:bCs/>
          <w:color w:val="000000"/>
          <w:szCs w:val="22"/>
          <w:lang w:val="es-ES" w:eastAsia="en-US"/>
        </w:rPr>
        <w:t>la cual es</w:t>
      </w:r>
      <w:r w:rsidRPr="00D96AD0">
        <w:rPr>
          <w:rFonts w:ascii="Titillium" w:eastAsiaTheme="minorHAnsi" w:hAnsi="Titillium" w:cs="Arial"/>
          <w:bCs/>
          <w:color w:val="000000"/>
          <w:szCs w:val="22"/>
          <w:lang w:val="es-ES" w:eastAsia="en-US"/>
        </w:rPr>
        <w:t xml:space="preserve">pecífica los requisitos y los parámetros para la evaluación de </w:t>
      </w:r>
      <w:proofErr w:type="spellStart"/>
      <w:r w:rsidRPr="00D96AD0">
        <w:rPr>
          <w:rFonts w:ascii="Titillium" w:eastAsiaTheme="minorHAnsi" w:hAnsi="Titillium" w:cs="Arial"/>
          <w:bCs/>
          <w:color w:val="000000"/>
          <w:szCs w:val="22"/>
          <w:lang w:val="es-ES" w:eastAsia="en-US"/>
        </w:rPr>
        <w:t>choritos</w:t>
      </w:r>
      <w:proofErr w:type="spellEnd"/>
      <w:r w:rsidRPr="00D96AD0">
        <w:rPr>
          <w:rFonts w:ascii="Titillium" w:eastAsiaTheme="minorHAnsi" w:hAnsi="Titillium" w:cs="Arial"/>
          <w:bCs/>
          <w:color w:val="000000"/>
          <w:szCs w:val="22"/>
          <w:lang w:val="es-ES" w:eastAsia="en-US"/>
        </w:rPr>
        <w:t xml:space="preserve"> de cultivos</w:t>
      </w:r>
      <w:r>
        <w:rPr>
          <w:rFonts w:ascii="Titillium" w:eastAsiaTheme="minorHAnsi" w:hAnsi="Titillium" w:cs="Arial"/>
          <w:bCs/>
          <w:color w:val="000000"/>
          <w:szCs w:val="22"/>
          <w:lang w:val="es-ES" w:eastAsia="en-US"/>
        </w:rPr>
        <w:t xml:space="preserve"> </w:t>
      </w:r>
      <w:r w:rsidRPr="00D96AD0">
        <w:rPr>
          <w:rFonts w:ascii="Titillium" w:eastAsiaTheme="minorHAnsi" w:hAnsi="Titillium" w:cs="Arial"/>
          <w:bCs/>
          <w:color w:val="000000"/>
          <w:szCs w:val="22"/>
          <w:lang w:val="es-ES" w:eastAsia="en-US"/>
        </w:rPr>
        <w:t>vivos</w:t>
      </w:r>
      <w:r>
        <w:rPr>
          <w:rFonts w:ascii="Titillium" w:eastAsiaTheme="minorHAnsi" w:hAnsi="Titillium" w:cs="Arial"/>
          <w:bCs/>
          <w:color w:val="000000"/>
          <w:szCs w:val="22"/>
          <w:lang w:val="es-ES" w:eastAsia="en-US"/>
        </w:rPr>
        <w:t xml:space="preserve"> sin procesamiento</w:t>
      </w:r>
      <w:r w:rsidRPr="00D96AD0">
        <w:rPr>
          <w:rFonts w:ascii="Titillium" w:eastAsiaTheme="minorHAnsi" w:hAnsi="Titillium" w:cs="Arial"/>
          <w:bCs/>
          <w:color w:val="000000"/>
          <w:szCs w:val="22"/>
          <w:lang w:val="es-ES" w:eastAsia="en-US"/>
        </w:rPr>
        <w:t xml:space="preserve"> </w:t>
      </w:r>
      <w:r w:rsidR="00804100">
        <w:rPr>
          <w:rFonts w:ascii="Titillium" w:eastAsiaTheme="minorHAnsi" w:hAnsi="Titillium" w:cs="Arial"/>
          <w:bCs/>
          <w:color w:val="000000"/>
          <w:szCs w:val="22"/>
          <w:lang w:val="es-ES" w:eastAsia="en-US"/>
        </w:rPr>
        <w:t xml:space="preserve">y </w:t>
      </w:r>
      <w:r w:rsidRPr="00D96AD0">
        <w:rPr>
          <w:rFonts w:ascii="Titillium" w:eastAsiaTheme="minorHAnsi" w:hAnsi="Titillium" w:cs="Arial"/>
          <w:bCs/>
          <w:color w:val="000000"/>
          <w:szCs w:val="22"/>
          <w:lang w:val="es-ES" w:eastAsia="en-US"/>
        </w:rPr>
        <w:t>destino a un proceso</w:t>
      </w:r>
      <w:r w:rsidR="00804100">
        <w:rPr>
          <w:rFonts w:ascii="Titillium" w:eastAsiaTheme="minorHAnsi" w:hAnsi="Titillium" w:cs="Arial"/>
          <w:bCs/>
          <w:color w:val="000000"/>
          <w:szCs w:val="22"/>
          <w:lang w:val="es-ES" w:eastAsia="en-US"/>
        </w:rPr>
        <w:t xml:space="preserve"> industrial para consumo humano. </w:t>
      </w:r>
      <w:r w:rsidR="00526E9F">
        <w:rPr>
          <w:rFonts w:ascii="Titillium" w:eastAsiaTheme="minorHAnsi" w:hAnsi="Titillium" w:cs="Arial"/>
          <w:bCs/>
          <w:color w:val="000000"/>
          <w:szCs w:val="22"/>
          <w:lang w:val="es-ES" w:eastAsia="en-US"/>
        </w:rPr>
        <w:t>Señalar, que es esta norma n</w:t>
      </w:r>
      <w:r w:rsidRPr="00D96AD0">
        <w:rPr>
          <w:rFonts w:ascii="Titillium" w:eastAsiaTheme="minorHAnsi" w:hAnsi="Titillium" w:cs="Arial"/>
          <w:bCs/>
          <w:color w:val="000000"/>
          <w:szCs w:val="22"/>
          <w:lang w:val="es-ES" w:eastAsia="en-US"/>
        </w:rPr>
        <w:t xml:space="preserve">o establece requisitos sanitarios de </w:t>
      </w:r>
      <w:proofErr w:type="spellStart"/>
      <w:r w:rsidRPr="00D96AD0">
        <w:rPr>
          <w:rFonts w:ascii="Titillium" w:eastAsiaTheme="minorHAnsi" w:hAnsi="Titillium" w:cs="Arial"/>
          <w:bCs/>
          <w:color w:val="000000"/>
          <w:szCs w:val="22"/>
          <w:lang w:val="es-ES" w:eastAsia="en-US"/>
        </w:rPr>
        <w:t>choritos</w:t>
      </w:r>
      <w:proofErr w:type="spellEnd"/>
      <w:r>
        <w:rPr>
          <w:rFonts w:ascii="Titillium" w:eastAsiaTheme="minorHAnsi" w:hAnsi="Titillium" w:cs="Arial"/>
          <w:bCs/>
          <w:color w:val="000000"/>
          <w:szCs w:val="22"/>
          <w:lang w:val="es-ES" w:eastAsia="en-US"/>
        </w:rPr>
        <w:t xml:space="preserve"> </w:t>
      </w:r>
      <w:r w:rsidRPr="00D96AD0">
        <w:rPr>
          <w:rFonts w:ascii="Titillium" w:eastAsiaTheme="minorHAnsi" w:hAnsi="Titillium" w:cs="Arial"/>
          <w:bCs/>
          <w:color w:val="000000"/>
          <w:szCs w:val="22"/>
          <w:lang w:val="es-ES" w:eastAsia="en-US"/>
        </w:rPr>
        <w:t>destinados a la reproducción o siembra, ni a consumo directo</w:t>
      </w:r>
      <w:r>
        <w:rPr>
          <w:rFonts w:ascii="Titillium" w:eastAsiaTheme="minorHAnsi" w:hAnsi="Titillium" w:cs="Arial"/>
          <w:bCs/>
          <w:color w:val="000000"/>
          <w:szCs w:val="22"/>
          <w:lang w:val="es-ES" w:eastAsia="en-US"/>
        </w:rPr>
        <w:t>.</w:t>
      </w:r>
      <w:r w:rsidRPr="004A28A7">
        <w:rPr>
          <w:rFonts w:ascii="Titillium" w:eastAsiaTheme="minorHAnsi" w:hAnsi="Titillium" w:cs="Arial"/>
          <w:bCs/>
          <w:color w:val="000000"/>
          <w:szCs w:val="22"/>
          <w:lang w:val="es-ES" w:eastAsia="en-US"/>
        </w:rPr>
        <w:t xml:space="preserve"> </w:t>
      </w:r>
      <w:r w:rsidR="004A3448" w:rsidRPr="004A3448">
        <w:rPr>
          <w:rFonts w:ascii="Titillium" w:eastAsiaTheme="minorHAnsi" w:hAnsi="Titillium" w:cs="Arial"/>
          <w:bCs/>
          <w:color w:val="000000"/>
          <w:szCs w:val="22"/>
          <w:lang w:val="es-ES" w:eastAsia="en-US"/>
        </w:rPr>
        <w:t>(Figura 34</w:t>
      </w:r>
      <w:r w:rsidR="004A3448">
        <w:rPr>
          <w:rFonts w:ascii="Titillium" w:eastAsiaTheme="minorHAnsi" w:hAnsi="Titillium" w:cs="Arial"/>
          <w:bCs/>
          <w:color w:val="000000"/>
          <w:szCs w:val="22"/>
          <w:lang w:val="es-ES" w:eastAsia="en-US"/>
        </w:rPr>
        <w:t>).</w:t>
      </w:r>
    </w:p>
    <w:p w14:paraId="60EBEB3B" w14:textId="77777777" w:rsidR="00323318" w:rsidRPr="00B1366F" w:rsidRDefault="00323318" w:rsidP="00B1366F">
      <w:pPr>
        <w:pStyle w:val="NormalWeb"/>
        <w:shd w:val="clear" w:color="auto" w:fill="FFFFFF"/>
        <w:ind w:firstLine="709"/>
        <w:jc w:val="both"/>
        <w:rPr>
          <w:rFonts w:ascii="Titillium" w:eastAsiaTheme="minorHAnsi" w:hAnsi="Titillium" w:cs="Arial"/>
          <w:bCs/>
          <w:color w:val="000000"/>
          <w:szCs w:val="22"/>
          <w:lang w:val="es-ES" w:eastAsia="en-US"/>
        </w:rPr>
      </w:pPr>
    </w:p>
    <w:p w14:paraId="2E6AAD37" w14:textId="199FE90D" w:rsidR="004A177F" w:rsidRPr="00C11CC5" w:rsidRDefault="00BE5379" w:rsidP="0002507F">
      <w:pPr>
        <w:pStyle w:val="NormalWeb"/>
        <w:shd w:val="clear" w:color="auto" w:fill="FFFFFF"/>
        <w:spacing w:before="0" w:beforeAutospacing="0" w:after="150" w:afterAutospacing="0" w:line="276" w:lineRule="auto"/>
        <w:ind w:firstLine="709"/>
        <w:jc w:val="both"/>
        <w:rPr>
          <w:rFonts w:ascii="Titillium" w:eastAsiaTheme="minorHAnsi" w:hAnsi="Titillium" w:cs="Arial"/>
          <w:bCs/>
          <w:color w:val="000000"/>
          <w:szCs w:val="22"/>
          <w:lang w:val="es-ES" w:eastAsia="en-US"/>
        </w:rPr>
      </w:pPr>
      <w:r>
        <w:rPr>
          <w:noProof/>
        </w:rPr>
        <w:drawing>
          <wp:inline distT="0" distB="0" distL="0" distR="0" wp14:anchorId="43ACD4EA" wp14:editId="6896902C">
            <wp:extent cx="2371061" cy="4486939"/>
            <wp:effectExtent l="0" t="0" r="10795" b="27940"/>
            <wp:docPr id="478" name="Gráfico 478"/>
            <wp:cNvGraphicFramePr/>
            <a:graphic xmlns:a="http://schemas.openxmlformats.org/drawingml/2006/main">
              <a:graphicData uri="http://schemas.openxmlformats.org/drawingml/2006/chart">
                <c:chart xmlns:c="http://schemas.openxmlformats.org/drawingml/2006/chart" xmlns:r="http://schemas.openxmlformats.org/officeDocument/2006/relationships" r:id="rId81"/>
              </a:graphicData>
            </a:graphic>
          </wp:inline>
        </w:drawing>
      </w:r>
      <w:r>
        <w:rPr>
          <w:noProof/>
        </w:rPr>
        <w:drawing>
          <wp:inline distT="0" distB="0" distL="0" distR="0" wp14:anchorId="00680DE2" wp14:editId="7325E44A">
            <wp:extent cx="2371061" cy="4486939"/>
            <wp:effectExtent l="0" t="0" r="10795" b="27940"/>
            <wp:docPr id="479" name="Gráfico 479"/>
            <wp:cNvGraphicFramePr/>
            <a:graphic xmlns:a="http://schemas.openxmlformats.org/drawingml/2006/main">
              <a:graphicData uri="http://schemas.openxmlformats.org/drawingml/2006/chart">
                <c:chart xmlns:c="http://schemas.openxmlformats.org/drawingml/2006/chart" xmlns:r="http://schemas.openxmlformats.org/officeDocument/2006/relationships" r:id="rId82"/>
              </a:graphicData>
            </a:graphic>
          </wp:inline>
        </w:drawing>
      </w:r>
      <w:r w:rsidR="004A3448">
        <w:rPr>
          <w:rFonts w:ascii="Titillium" w:eastAsiaTheme="minorHAnsi" w:hAnsi="Titillium" w:cs="Arial"/>
          <w:b/>
          <w:bCs/>
          <w:color w:val="000000"/>
          <w:szCs w:val="22"/>
          <w:lang w:val="es-ES" w:eastAsia="en-US"/>
        </w:rPr>
        <w:t>F</w:t>
      </w:r>
      <w:r w:rsidR="004A177F" w:rsidRPr="00C11CC5">
        <w:rPr>
          <w:rFonts w:ascii="Titillium" w:eastAsiaTheme="minorHAnsi" w:hAnsi="Titillium" w:cs="Arial"/>
          <w:b/>
          <w:bCs/>
          <w:color w:val="000000"/>
          <w:szCs w:val="22"/>
          <w:lang w:val="es-ES" w:eastAsia="en-US"/>
        </w:rPr>
        <w:t xml:space="preserve">igura </w:t>
      </w:r>
      <w:r w:rsidR="004A3448">
        <w:rPr>
          <w:rFonts w:ascii="Titillium" w:eastAsiaTheme="minorHAnsi" w:hAnsi="Titillium" w:cs="Arial"/>
          <w:b/>
          <w:bCs/>
          <w:color w:val="000000"/>
          <w:szCs w:val="22"/>
          <w:lang w:val="es-ES" w:eastAsia="en-US"/>
        </w:rPr>
        <w:t>34</w:t>
      </w:r>
      <w:r w:rsidR="004A177F" w:rsidRPr="00C11CC5">
        <w:rPr>
          <w:rFonts w:ascii="Titillium" w:eastAsiaTheme="minorHAnsi" w:hAnsi="Titillium" w:cs="Arial"/>
          <w:b/>
          <w:bCs/>
          <w:color w:val="000000"/>
          <w:szCs w:val="22"/>
          <w:lang w:val="es-ES" w:eastAsia="en-US"/>
        </w:rPr>
        <w:t>.</w:t>
      </w:r>
      <w:r w:rsidR="004A177F">
        <w:rPr>
          <w:rFonts w:cs="Arial"/>
          <w:bCs/>
          <w:color w:val="000000"/>
        </w:rPr>
        <w:t xml:space="preserve"> </w:t>
      </w:r>
      <w:r w:rsidR="004A177F" w:rsidRPr="00C11CC5">
        <w:rPr>
          <w:rFonts w:ascii="Titillium" w:eastAsiaTheme="minorHAnsi" w:hAnsi="Titillium" w:cs="Arial"/>
          <w:bCs/>
          <w:color w:val="000000"/>
          <w:szCs w:val="22"/>
          <w:lang w:val="es-ES" w:eastAsia="en-US"/>
        </w:rPr>
        <w:t>Certificaciones</w:t>
      </w:r>
      <w:r w:rsidR="00741A78" w:rsidRPr="00C11CC5">
        <w:rPr>
          <w:rFonts w:ascii="Titillium" w:eastAsiaTheme="minorHAnsi" w:hAnsi="Titillium" w:cs="Arial"/>
          <w:bCs/>
          <w:color w:val="000000"/>
          <w:szCs w:val="22"/>
          <w:lang w:val="es-ES" w:eastAsia="en-US"/>
        </w:rPr>
        <w:t xml:space="preserve"> de las empresas diagnosticadas</w:t>
      </w:r>
      <w:r w:rsidR="0068122F">
        <w:rPr>
          <w:rFonts w:ascii="Titillium" w:eastAsiaTheme="minorHAnsi" w:hAnsi="Titillium" w:cs="Arial"/>
          <w:bCs/>
          <w:color w:val="000000"/>
          <w:szCs w:val="22"/>
          <w:lang w:val="es-ES" w:eastAsia="en-US"/>
        </w:rPr>
        <w:t xml:space="preserve"> (%)</w:t>
      </w:r>
      <w:r w:rsidR="00741A78" w:rsidRPr="00C11CC5">
        <w:rPr>
          <w:rFonts w:ascii="Titillium" w:eastAsiaTheme="minorHAnsi" w:hAnsi="Titillium" w:cs="Arial"/>
          <w:bCs/>
          <w:color w:val="000000"/>
          <w:szCs w:val="22"/>
          <w:lang w:val="es-ES" w:eastAsia="en-US"/>
        </w:rPr>
        <w:t>.</w:t>
      </w:r>
    </w:p>
    <w:p w14:paraId="6D291C6A" w14:textId="77777777" w:rsidR="004A177F" w:rsidRDefault="004A177F" w:rsidP="00190ADE">
      <w:pPr>
        <w:pStyle w:val="NormalWeb"/>
        <w:shd w:val="clear" w:color="auto" w:fill="FFFFFF"/>
        <w:spacing w:before="0" w:beforeAutospacing="0" w:after="150" w:afterAutospacing="0"/>
        <w:jc w:val="both"/>
        <w:rPr>
          <w:rFonts w:ascii="Titillium" w:eastAsiaTheme="minorHAnsi" w:hAnsi="Titillium" w:cs="Arial"/>
          <w:bCs/>
          <w:color w:val="000000"/>
          <w:szCs w:val="22"/>
          <w:lang w:val="es-ES" w:eastAsia="en-US"/>
        </w:rPr>
      </w:pPr>
    </w:p>
    <w:p w14:paraId="2FD26AAC" w14:textId="77777777" w:rsidR="007A225C" w:rsidRDefault="007A225C" w:rsidP="007C2A2A">
      <w:pPr>
        <w:pStyle w:val="Encabezado"/>
        <w:jc w:val="both"/>
        <w:rPr>
          <w:lang w:eastAsia="es-CL"/>
        </w:rPr>
      </w:pPr>
    </w:p>
    <w:p w14:paraId="7733FFE9" w14:textId="77777777" w:rsidR="00B362ED" w:rsidRDefault="00B362ED" w:rsidP="007C2A2A">
      <w:pPr>
        <w:pStyle w:val="Encabezado"/>
        <w:jc w:val="both"/>
        <w:rPr>
          <w:lang w:eastAsia="es-CL"/>
        </w:rPr>
      </w:pPr>
    </w:p>
    <w:p w14:paraId="184EF555" w14:textId="520FA2B2" w:rsidR="00190ADE" w:rsidRPr="004B184E" w:rsidRDefault="00190ADE" w:rsidP="00E31A3F">
      <w:pPr>
        <w:pStyle w:val="Ttulo2"/>
        <w:rPr>
          <w:b w:val="0"/>
          <w:sz w:val="32"/>
          <w:szCs w:val="32"/>
          <w:lang w:eastAsia="es-CL"/>
        </w:rPr>
      </w:pPr>
      <w:bookmarkStart w:id="27" w:name="_Toc471999133"/>
      <w:r w:rsidRPr="004B184E">
        <w:rPr>
          <w:b w:val="0"/>
          <w:sz w:val="32"/>
          <w:szCs w:val="32"/>
          <w:lang w:eastAsia="es-CL"/>
        </w:rPr>
        <w:lastRenderedPageBreak/>
        <w:t>Seguridad ocupacional</w:t>
      </w:r>
      <w:bookmarkEnd w:id="27"/>
    </w:p>
    <w:p w14:paraId="28267541" w14:textId="77777777" w:rsidR="00190ADE" w:rsidRDefault="00190ADE" w:rsidP="00190ADE">
      <w:pPr>
        <w:pStyle w:val="Encabezado"/>
        <w:rPr>
          <w:rFonts w:cs="Arial"/>
          <w:bCs/>
          <w:color w:val="000000"/>
          <w:sz w:val="24"/>
        </w:rPr>
      </w:pPr>
    </w:p>
    <w:p w14:paraId="6365C96E" w14:textId="77777777" w:rsidR="002E652C" w:rsidRDefault="00554965" w:rsidP="004A28A7">
      <w:pPr>
        <w:pStyle w:val="Encabezado"/>
        <w:spacing w:line="276" w:lineRule="auto"/>
        <w:ind w:firstLine="709"/>
        <w:jc w:val="both"/>
        <w:rPr>
          <w:rFonts w:cs="Arial"/>
          <w:bCs/>
          <w:color w:val="000000"/>
          <w:sz w:val="24"/>
        </w:rPr>
      </w:pPr>
      <w:r w:rsidRPr="00152EEA">
        <w:rPr>
          <w:rFonts w:cs="Arial"/>
          <w:bCs/>
          <w:color w:val="000000"/>
          <w:sz w:val="24"/>
        </w:rPr>
        <w:t>Salud ocupacional es la disciplina encargada de promover y mantener literalmente el más alto grado de bienestar físico, mental y social de los trabajadores, evitando en todo sentido el desmejoramiento de la salud causado por las condiciones de trabajo, protegiendo a los trabajadores en sus empresas de los riesgos resultantes de los agentes nocivos, ubicando y manteniendo a los trabajadores de manera adecuada en todas sus aptitudes fisiológicas y psicológicas.</w:t>
      </w:r>
      <w:r w:rsidRPr="00554965">
        <w:rPr>
          <w:rFonts w:cs="Arial"/>
          <w:bCs/>
          <w:color w:val="000000"/>
          <w:sz w:val="24"/>
        </w:rPr>
        <w:t xml:space="preserve"> </w:t>
      </w:r>
    </w:p>
    <w:p w14:paraId="1C3F94B1" w14:textId="77777777" w:rsidR="00526E9F" w:rsidRDefault="00526E9F" w:rsidP="004A28A7">
      <w:pPr>
        <w:pStyle w:val="Encabezado"/>
        <w:spacing w:line="276" w:lineRule="auto"/>
        <w:ind w:firstLine="709"/>
        <w:jc w:val="both"/>
        <w:rPr>
          <w:rFonts w:cs="Arial"/>
          <w:bCs/>
          <w:color w:val="000000"/>
          <w:sz w:val="24"/>
        </w:rPr>
      </w:pPr>
    </w:p>
    <w:p w14:paraId="1AE43457" w14:textId="3FB89E76" w:rsidR="00C04E6A" w:rsidRDefault="002E652C" w:rsidP="00C04E6A">
      <w:pPr>
        <w:pStyle w:val="Encabezado"/>
        <w:spacing w:line="276" w:lineRule="auto"/>
        <w:ind w:firstLine="709"/>
        <w:jc w:val="both"/>
        <w:rPr>
          <w:rFonts w:cs="Arial"/>
          <w:bCs/>
          <w:color w:val="000000"/>
          <w:sz w:val="24"/>
        </w:rPr>
      </w:pPr>
      <w:r w:rsidRPr="00152EEA">
        <w:rPr>
          <w:rFonts w:cs="Arial"/>
          <w:bCs/>
          <w:color w:val="000000"/>
          <w:sz w:val="24"/>
        </w:rPr>
        <w:t>L</w:t>
      </w:r>
      <w:r w:rsidR="00C11CC5" w:rsidRPr="00152EEA">
        <w:rPr>
          <w:rFonts w:cs="Arial"/>
          <w:bCs/>
          <w:color w:val="000000"/>
          <w:sz w:val="24"/>
        </w:rPr>
        <w:t>a rel</w:t>
      </w:r>
      <w:r w:rsidR="00527D0B" w:rsidRPr="00152EEA">
        <w:rPr>
          <w:rFonts w:cs="Arial"/>
          <w:bCs/>
          <w:color w:val="000000"/>
          <w:sz w:val="24"/>
        </w:rPr>
        <w:t>ación entre situación de salud,</w:t>
      </w:r>
      <w:r w:rsidR="00C11CC5" w:rsidRPr="00152EEA">
        <w:rPr>
          <w:rFonts w:cs="Arial"/>
          <w:bCs/>
          <w:color w:val="000000"/>
          <w:sz w:val="24"/>
        </w:rPr>
        <w:t xml:space="preserve"> calidad del empleo y condiciones de trabajo, es hoy en día, incuestionable, razón por la </w:t>
      </w:r>
      <w:r w:rsidR="00527D0B" w:rsidRPr="00152EEA">
        <w:rPr>
          <w:rFonts w:cs="Arial"/>
          <w:bCs/>
          <w:color w:val="000000"/>
          <w:sz w:val="24"/>
        </w:rPr>
        <w:t>cual</w:t>
      </w:r>
      <w:r w:rsidR="00C11CC5" w:rsidRPr="00152EEA">
        <w:rPr>
          <w:rFonts w:cs="Arial"/>
          <w:bCs/>
          <w:color w:val="000000"/>
          <w:sz w:val="24"/>
        </w:rPr>
        <w:t xml:space="preserve"> constituye una preocupación primord</w:t>
      </w:r>
      <w:r w:rsidR="00527D0B" w:rsidRPr="00152EEA">
        <w:rPr>
          <w:rFonts w:cs="Arial"/>
          <w:bCs/>
          <w:color w:val="000000"/>
          <w:sz w:val="24"/>
        </w:rPr>
        <w:t>ial para el Ministerio de Salud, cuyo objetivo es velar para que</w:t>
      </w:r>
      <w:r w:rsidR="00C11CC5" w:rsidRPr="00152EEA">
        <w:rPr>
          <w:rFonts w:cs="Arial"/>
          <w:bCs/>
          <w:color w:val="000000"/>
          <w:sz w:val="24"/>
        </w:rPr>
        <w:t xml:space="preserve"> todas las actividades laborales se realicen sin deterioro </w:t>
      </w:r>
      <w:r w:rsidR="00527D0B" w:rsidRPr="00152EEA">
        <w:rPr>
          <w:rFonts w:cs="Arial"/>
          <w:bCs/>
          <w:color w:val="000000"/>
          <w:sz w:val="24"/>
        </w:rPr>
        <w:t xml:space="preserve">en la </w:t>
      </w:r>
      <w:r w:rsidR="00C11CC5" w:rsidRPr="00152EEA">
        <w:rPr>
          <w:rFonts w:cs="Arial"/>
          <w:bCs/>
          <w:color w:val="000000"/>
          <w:sz w:val="24"/>
        </w:rPr>
        <w:t>calidad de vida de las personas y se conviertan en un pilar fundamental para su desarrollo.</w:t>
      </w:r>
    </w:p>
    <w:p w14:paraId="7151D2A2" w14:textId="77777777" w:rsidR="00C04E6A" w:rsidRDefault="00C04E6A" w:rsidP="004A28A7">
      <w:pPr>
        <w:pStyle w:val="Encabezado"/>
        <w:spacing w:line="276" w:lineRule="auto"/>
        <w:ind w:firstLine="709"/>
        <w:jc w:val="both"/>
        <w:rPr>
          <w:rFonts w:cs="Arial"/>
          <w:bCs/>
          <w:color w:val="000000"/>
          <w:sz w:val="24"/>
        </w:rPr>
      </w:pPr>
    </w:p>
    <w:p w14:paraId="1F80D1EA" w14:textId="15825EBB" w:rsidR="00C04E6A" w:rsidRDefault="00CA7F5B" w:rsidP="008B0044">
      <w:pPr>
        <w:pStyle w:val="Encabezado"/>
        <w:spacing w:line="276" w:lineRule="auto"/>
        <w:ind w:firstLine="709"/>
        <w:jc w:val="both"/>
        <w:rPr>
          <w:rFonts w:cs="Arial"/>
          <w:bCs/>
          <w:color w:val="000000"/>
          <w:sz w:val="24"/>
        </w:rPr>
      </w:pPr>
      <w:r>
        <w:rPr>
          <w:rFonts w:cs="Arial"/>
          <w:bCs/>
          <w:color w:val="000000"/>
          <w:sz w:val="24"/>
        </w:rPr>
        <w:t>La Ley 16.744</w:t>
      </w:r>
      <w:r w:rsidR="00A4216C">
        <w:rPr>
          <w:rFonts w:cs="Arial"/>
          <w:bCs/>
          <w:color w:val="000000"/>
          <w:sz w:val="24"/>
        </w:rPr>
        <w:t>, que “Establece N</w:t>
      </w:r>
      <w:r w:rsidR="00A4216C" w:rsidRPr="00A4216C">
        <w:rPr>
          <w:rFonts w:cs="Arial"/>
          <w:bCs/>
          <w:color w:val="000000"/>
          <w:sz w:val="24"/>
        </w:rPr>
        <w:t>o</w:t>
      </w:r>
      <w:r w:rsidR="00A4216C">
        <w:rPr>
          <w:rFonts w:cs="Arial"/>
          <w:bCs/>
          <w:color w:val="000000"/>
          <w:sz w:val="24"/>
        </w:rPr>
        <w:t>rmas sobre Accidentes del Trabajo y Enfermedades P</w:t>
      </w:r>
      <w:r w:rsidR="00A4216C" w:rsidRPr="00A4216C">
        <w:rPr>
          <w:rFonts w:cs="Arial"/>
          <w:bCs/>
          <w:color w:val="000000"/>
          <w:sz w:val="24"/>
        </w:rPr>
        <w:t>rofesionales</w:t>
      </w:r>
      <w:r w:rsidR="00A4216C">
        <w:rPr>
          <w:rFonts w:cs="Arial"/>
          <w:bCs/>
          <w:color w:val="000000"/>
          <w:sz w:val="24"/>
        </w:rPr>
        <w:t xml:space="preserve">”. </w:t>
      </w:r>
      <w:r w:rsidR="00A4216C" w:rsidRPr="00A4216C">
        <w:rPr>
          <w:rFonts w:cs="Arial"/>
          <w:bCs/>
          <w:color w:val="000000"/>
          <w:sz w:val="24"/>
        </w:rPr>
        <w:t>Decl</w:t>
      </w:r>
      <w:r w:rsidR="00A4216C">
        <w:rPr>
          <w:rFonts w:cs="Arial"/>
          <w:bCs/>
          <w:color w:val="000000"/>
          <w:sz w:val="24"/>
        </w:rPr>
        <w:t>a</w:t>
      </w:r>
      <w:r w:rsidR="00A4216C" w:rsidRPr="00A4216C">
        <w:rPr>
          <w:rFonts w:cs="Arial"/>
          <w:bCs/>
          <w:color w:val="000000"/>
          <w:sz w:val="24"/>
        </w:rPr>
        <w:t xml:space="preserve">ra obligatorio el Seguro Social contra Riesgos de Accidentes del Trabajo y Enfermedades Profesionales, en la forma y condiciones </w:t>
      </w:r>
      <w:r w:rsidR="008B0044">
        <w:rPr>
          <w:rFonts w:cs="Arial"/>
          <w:bCs/>
          <w:color w:val="000000"/>
          <w:sz w:val="24"/>
        </w:rPr>
        <w:t xml:space="preserve">establecidas en la ley. </w:t>
      </w:r>
      <w:r w:rsidR="002D3329">
        <w:rPr>
          <w:rFonts w:cs="Arial"/>
          <w:bCs/>
          <w:color w:val="000000"/>
          <w:sz w:val="24"/>
        </w:rPr>
        <w:t>Se evidenció que el 100% de los centros de cultivo MYPE</w:t>
      </w:r>
      <w:r w:rsidR="00526E9F">
        <w:rPr>
          <w:rFonts w:cs="Arial"/>
          <w:bCs/>
          <w:color w:val="000000"/>
          <w:sz w:val="24"/>
        </w:rPr>
        <w:t xml:space="preserve"> y Grande, se encuentra afiliados</w:t>
      </w:r>
      <w:r w:rsidR="002D3329">
        <w:rPr>
          <w:rFonts w:cs="Arial"/>
          <w:bCs/>
          <w:color w:val="000000"/>
          <w:sz w:val="24"/>
        </w:rPr>
        <w:t xml:space="preserve"> a una mutual de seguridad, poseen registros de la tasa de accidentabilidad histórica y actual.</w:t>
      </w:r>
      <w:r w:rsidR="00F229B2">
        <w:rPr>
          <w:rFonts w:cs="Arial"/>
          <w:bCs/>
          <w:color w:val="000000"/>
          <w:sz w:val="24"/>
        </w:rPr>
        <w:t xml:space="preserve"> </w:t>
      </w:r>
      <w:r w:rsidR="004A3448" w:rsidRPr="004A3448">
        <w:rPr>
          <w:rFonts w:cs="Arial"/>
          <w:bCs/>
          <w:color w:val="000000"/>
          <w:sz w:val="24"/>
        </w:rPr>
        <w:t>(Figura 35</w:t>
      </w:r>
      <w:r w:rsidR="00C238A2">
        <w:rPr>
          <w:rFonts w:cs="Arial"/>
          <w:bCs/>
          <w:color w:val="000000"/>
          <w:sz w:val="24"/>
        </w:rPr>
        <w:t>-36</w:t>
      </w:r>
      <w:r w:rsidR="00F229B2" w:rsidRPr="004A3448">
        <w:rPr>
          <w:rFonts w:cs="Arial"/>
          <w:bCs/>
          <w:color w:val="000000"/>
          <w:sz w:val="24"/>
        </w:rPr>
        <w:t>).</w:t>
      </w:r>
    </w:p>
    <w:p w14:paraId="7385F26B" w14:textId="77777777" w:rsidR="00C238A2" w:rsidRDefault="00C238A2" w:rsidP="000754E1">
      <w:pPr>
        <w:pStyle w:val="Encabezado"/>
        <w:spacing w:line="276" w:lineRule="auto"/>
        <w:ind w:firstLine="709"/>
        <w:jc w:val="both"/>
        <w:rPr>
          <w:rFonts w:cs="Arial"/>
          <w:bCs/>
          <w:color w:val="000000"/>
          <w:sz w:val="24"/>
        </w:rPr>
      </w:pPr>
    </w:p>
    <w:p w14:paraId="2D16D7B3" w14:textId="2F9EA0A7" w:rsidR="000754E1" w:rsidRDefault="004C48EC" w:rsidP="000754E1">
      <w:pPr>
        <w:pStyle w:val="Encabezado"/>
        <w:spacing w:line="276" w:lineRule="auto"/>
        <w:ind w:firstLine="709"/>
        <w:jc w:val="both"/>
        <w:rPr>
          <w:rFonts w:cs="Arial"/>
          <w:bCs/>
          <w:color w:val="000000"/>
          <w:sz w:val="24"/>
        </w:rPr>
      </w:pPr>
      <w:r>
        <w:rPr>
          <w:rFonts w:cs="Arial"/>
          <w:bCs/>
          <w:color w:val="000000"/>
          <w:sz w:val="24"/>
        </w:rPr>
        <w:t>Además, se evidenció que el 15% de centros de cultivo MYPE, sólo dos empresas</w:t>
      </w:r>
      <w:r w:rsidR="00BF1F39">
        <w:rPr>
          <w:rFonts w:cs="Arial"/>
          <w:bCs/>
          <w:color w:val="000000"/>
          <w:sz w:val="24"/>
        </w:rPr>
        <w:t>, han i</w:t>
      </w:r>
      <w:r w:rsidR="00BF1F39" w:rsidRPr="00BF1F39">
        <w:rPr>
          <w:rFonts w:cs="Arial"/>
          <w:bCs/>
          <w:color w:val="000000"/>
          <w:sz w:val="24"/>
        </w:rPr>
        <w:t>dentifica</w:t>
      </w:r>
      <w:r w:rsidR="00BF1F39">
        <w:rPr>
          <w:rFonts w:cs="Arial"/>
          <w:bCs/>
          <w:color w:val="000000"/>
          <w:sz w:val="24"/>
        </w:rPr>
        <w:t>do</w:t>
      </w:r>
      <w:r w:rsidR="00BF1F39" w:rsidRPr="00BF1F39">
        <w:rPr>
          <w:rFonts w:cs="Arial"/>
          <w:bCs/>
          <w:color w:val="000000"/>
          <w:sz w:val="24"/>
        </w:rPr>
        <w:t xml:space="preserve"> y evalua</w:t>
      </w:r>
      <w:r w:rsidR="00BF1F39">
        <w:rPr>
          <w:rFonts w:cs="Arial"/>
          <w:bCs/>
          <w:color w:val="000000"/>
          <w:sz w:val="24"/>
        </w:rPr>
        <w:t>do</w:t>
      </w:r>
      <w:r w:rsidR="00BF1F39" w:rsidRPr="00BF1F39">
        <w:rPr>
          <w:rFonts w:cs="Arial"/>
          <w:bCs/>
          <w:color w:val="000000"/>
          <w:sz w:val="24"/>
        </w:rPr>
        <w:t xml:space="preserve"> </w:t>
      </w:r>
      <w:r w:rsidR="00BF1F39">
        <w:rPr>
          <w:rFonts w:cs="Arial"/>
          <w:bCs/>
          <w:color w:val="000000"/>
          <w:sz w:val="24"/>
        </w:rPr>
        <w:t>los riesgos de seguridad al que se encuentran expuestos sus trabajadores, mientras que la totalidad de los centros</w:t>
      </w:r>
      <w:r w:rsidR="00B6587A">
        <w:rPr>
          <w:rFonts w:cs="Arial"/>
          <w:bCs/>
          <w:color w:val="000000"/>
          <w:sz w:val="24"/>
        </w:rPr>
        <w:t xml:space="preserve"> de cultivo </w:t>
      </w:r>
      <w:r w:rsidR="00BF1F39">
        <w:rPr>
          <w:rFonts w:cs="Arial"/>
          <w:bCs/>
          <w:color w:val="000000"/>
          <w:sz w:val="24"/>
        </w:rPr>
        <w:t>Grande informan haber realizado la identificación y evaluación de riesgos</w:t>
      </w:r>
      <w:r w:rsidR="00B6587A">
        <w:rPr>
          <w:rFonts w:cs="Arial"/>
          <w:bCs/>
          <w:color w:val="000000"/>
          <w:sz w:val="24"/>
        </w:rPr>
        <w:t xml:space="preserve"> asociados a su actividad.</w:t>
      </w:r>
      <w:r w:rsidR="00C238A2">
        <w:rPr>
          <w:rFonts w:cs="Arial"/>
          <w:bCs/>
          <w:color w:val="000000"/>
          <w:sz w:val="24"/>
        </w:rPr>
        <w:t xml:space="preserve"> </w:t>
      </w:r>
      <w:r w:rsidR="00C238A2" w:rsidRPr="004A3448">
        <w:rPr>
          <w:rFonts w:cs="Arial"/>
          <w:bCs/>
          <w:color w:val="000000"/>
          <w:sz w:val="24"/>
        </w:rPr>
        <w:t>(Figura 35</w:t>
      </w:r>
      <w:r w:rsidR="00C238A2">
        <w:rPr>
          <w:rFonts w:cs="Arial"/>
          <w:bCs/>
          <w:color w:val="000000"/>
          <w:sz w:val="24"/>
        </w:rPr>
        <w:t>-36</w:t>
      </w:r>
      <w:r w:rsidR="00C238A2" w:rsidRPr="004A3448">
        <w:rPr>
          <w:rFonts w:cs="Arial"/>
          <w:bCs/>
          <w:color w:val="000000"/>
          <w:sz w:val="24"/>
        </w:rPr>
        <w:t>).</w:t>
      </w:r>
      <w:r w:rsidR="00B6587A">
        <w:rPr>
          <w:rFonts w:cs="Arial"/>
          <w:bCs/>
          <w:color w:val="000000"/>
          <w:sz w:val="24"/>
        </w:rPr>
        <w:t xml:space="preserve"> </w:t>
      </w:r>
    </w:p>
    <w:p w14:paraId="466F0B71" w14:textId="77777777" w:rsidR="000754E1" w:rsidRDefault="000754E1" w:rsidP="000754E1">
      <w:pPr>
        <w:pStyle w:val="Encabezado"/>
        <w:spacing w:line="276" w:lineRule="auto"/>
        <w:ind w:firstLine="709"/>
        <w:jc w:val="both"/>
        <w:rPr>
          <w:rFonts w:cs="Arial"/>
          <w:bCs/>
          <w:color w:val="000000"/>
          <w:sz w:val="24"/>
        </w:rPr>
      </w:pPr>
    </w:p>
    <w:p w14:paraId="1045A596" w14:textId="038EBA01" w:rsidR="009E4038" w:rsidRPr="009E4038" w:rsidRDefault="00A4216C" w:rsidP="004F0FC6">
      <w:pPr>
        <w:ind w:firstLine="709"/>
        <w:jc w:val="both"/>
        <w:rPr>
          <w:rFonts w:cs="Arial"/>
          <w:bCs/>
          <w:color w:val="000000"/>
          <w:sz w:val="24"/>
        </w:rPr>
      </w:pPr>
      <w:r w:rsidRPr="00A4216C">
        <w:rPr>
          <w:rFonts w:cs="Arial"/>
          <w:bCs/>
          <w:color w:val="000000"/>
          <w:sz w:val="24"/>
        </w:rPr>
        <w:t>El D.S. 594, que “Aprueba Reglamento sobre Condiciones Sanitarias y Ambientales Básicas en los Lugares de Trabajo”</w:t>
      </w:r>
      <w:r w:rsidR="00420B14">
        <w:rPr>
          <w:rFonts w:cs="Arial"/>
          <w:bCs/>
          <w:color w:val="000000"/>
          <w:sz w:val="24"/>
        </w:rPr>
        <w:t xml:space="preserve">. </w:t>
      </w:r>
      <w:r w:rsidR="00420B14" w:rsidRPr="00420B14">
        <w:rPr>
          <w:rFonts w:cs="Arial"/>
          <w:bCs/>
          <w:color w:val="000000"/>
          <w:sz w:val="24"/>
        </w:rPr>
        <w:t>Señala que</w:t>
      </w:r>
      <w:r w:rsidRPr="00420B14">
        <w:rPr>
          <w:rFonts w:cs="Arial"/>
          <w:bCs/>
          <w:color w:val="000000"/>
          <w:sz w:val="24"/>
        </w:rPr>
        <w:t xml:space="preserve"> </w:t>
      </w:r>
      <w:r w:rsidR="00420B14" w:rsidRPr="00420B14">
        <w:rPr>
          <w:rFonts w:cs="Arial"/>
          <w:bCs/>
          <w:color w:val="000000"/>
          <w:sz w:val="24"/>
        </w:rPr>
        <w:t>t</w:t>
      </w:r>
      <w:r w:rsidRPr="00420B14">
        <w:rPr>
          <w:rFonts w:cs="Arial"/>
          <w:bCs/>
          <w:color w:val="000000"/>
          <w:sz w:val="24"/>
        </w:rPr>
        <w:t xml:space="preserve">oda empresa o entidad estará obligada a establecer y mantener al día un reglamento interno de </w:t>
      </w:r>
      <w:r w:rsidRPr="00420B14">
        <w:rPr>
          <w:rFonts w:cs="Arial"/>
          <w:bCs/>
          <w:color w:val="000000"/>
          <w:sz w:val="24"/>
        </w:rPr>
        <w:lastRenderedPageBreak/>
        <w:t>seguridad e higiene en el trabajo, cuyo cumplimiento será obligatorio para los trabajadores.</w:t>
      </w:r>
      <w:r w:rsidR="00420B14" w:rsidRPr="00420B14">
        <w:rPr>
          <w:rFonts w:cs="Arial"/>
          <w:bCs/>
          <w:color w:val="000000"/>
          <w:sz w:val="24"/>
        </w:rPr>
        <w:t xml:space="preserve"> </w:t>
      </w:r>
      <w:r w:rsidRPr="00420B14">
        <w:rPr>
          <w:rFonts w:cs="Arial"/>
          <w:bCs/>
          <w:color w:val="000000"/>
          <w:sz w:val="24"/>
        </w:rPr>
        <w:t>Los empleadores deberán dar cumplimiento a las obligaciones que establece el artículo 21 a través de los Comités Paritarios de Higiene y Seguridad y los Departamentos de Prevención de Riesgos, al momento de contratar a los trabajadores o de crear actividades que implican riesgos.</w:t>
      </w:r>
      <w:r w:rsidR="00F229B2">
        <w:rPr>
          <w:rFonts w:cs="Arial"/>
          <w:bCs/>
          <w:color w:val="000000"/>
          <w:sz w:val="24"/>
        </w:rPr>
        <w:t xml:space="preserve"> </w:t>
      </w:r>
      <w:r w:rsidR="009E4038" w:rsidRPr="009E4038">
        <w:rPr>
          <w:rFonts w:cs="Arial"/>
          <w:bCs/>
          <w:color w:val="000000"/>
          <w:sz w:val="24"/>
        </w:rPr>
        <w:t>Sólo 1 e</w:t>
      </w:r>
      <w:r w:rsidR="009E4038">
        <w:rPr>
          <w:rFonts w:cs="Arial"/>
          <w:bCs/>
          <w:color w:val="000000"/>
          <w:sz w:val="24"/>
        </w:rPr>
        <w:t>m</w:t>
      </w:r>
      <w:r w:rsidR="009E4038" w:rsidRPr="009E4038">
        <w:rPr>
          <w:rFonts w:cs="Arial"/>
          <w:bCs/>
          <w:color w:val="000000"/>
          <w:sz w:val="24"/>
        </w:rPr>
        <w:t>presa</w:t>
      </w:r>
      <w:r w:rsidR="009E4038">
        <w:rPr>
          <w:rFonts w:cs="Arial"/>
          <w:bCs/>
          <w:color w:val="000000"/>
          <w:sz w:val="24"/>
        </w:rPr>
        <w:t xml:space="preserve"> MYPE</w:t>
      </w:r>
      <w:r w:rsidR="009E4038" w:rsidRPr="009E4038">
        <w:rPr>
          <w:rFonts w:cs="Arial"/>
          <w:bCs/>
          <w:color w:val="000000"/>
          <w:sz w:val="24"/>
        </w:rPr>
        <w:t xml:space="preserve"> (8%) </w:t>
      </w:r>
      <w:r w:rsidR="009E4038">
        <w:rPr>
          <w:rFonts w:cs="Arial"/>
          <w:bCs/>
          <w:color w:val="000000"/>
          <w:sz w:val="24"/>
        </w:rPr>
        <w:t>y 3 centros de cultivo Grande (30%) informaron haber recibido sanciones por incumplimiento del D.S. 594</w:t>
      </w:r>
      <w:r w:rsidR="00E87AD6">
        <w:rPr>
          <w:rFonts w:cs="Arial"/>
          <w:bCs/>
          <w:color w:val="000000"/>
          <w:sz w:val="24"/>
        </w:rPr>
        <w:t>.</w:t>
      </w:r>
      <w:r w:rsidR="001E3BDE">
        <w:rPr>
          <w:rFonts w:cs="Arial"/>
          <w:bCs/>
          <w:color w:val="000000"/>
          <w:sz w:val="24"/>
        </w:rPr>
        <w:t xml:space="preserve"> </w:t>
      </w:r>
      <w:r w:rsidR="004A3448" w:rsidRPr="004A3448">
        <w:rPr>
          <w:rFonts w:cs="Arial"/>
          <w:bCs/>
          <w:color w:val="000000"/>
          <w:sz w:val="24"/>
        </w:rPr>
        <w:t>(Figura 35</w:t>
      </w:r>
      <w:r w:rsidR="00C238A2">
        <w:rPr>
          <w:rFonts w:cs="Arial"/>
          <w:bCs/>
          <w:color w:val="000000"/>
          <w:sz w:val="24"/>
        </w:rPr>
        <w:t>-36</w:t>
      </w:r>
      <w:r w:rsidR="004A3448" w:rsidRPr="004A3448">
        <w:rPr>
          <w:rFonts w:cs="Arial"/>
          <w:bCs/>
          <w:color w:val="000000"/>
          <w:sz w:val="24"/>
        </w:rPr>
        <w:t>).</w:t>
      </w:r>
    </w:p>
    <w:p w14:paraId="15AF6D35" w14:textId="6107CEA0" w:rsidR="00173A68" w:rsidRDefault="00F229B2" w:rsidP="00173A68">
      <w:pPr>
        <w:ind w:firstLine="709"/>
        <w:jc w:val="both"/>
        <w:rPr>
          <w:rFonts w:cs="Arial"/>
          <w:bCs/>
          <w:color w:val="000000"/>
          <w:sz w:val="24"/>
        </w:rPr>
      </w:pPr>
      <w:r>
        <w:rPr>
          <w:rFonts w:cs="Arial"/>
          <w:bCs/>
          <w:color w:val="000000"/>
          <w:sz w:val="24"/>
        </w:rPr>
        <w:t xml:space="preserve">Se evidenció que el 46% de los centros de cultivo MYPE posee reglamento interno a diferencia del 100% de centros categoría Grande que si lo poseen. </w:t>
      </w:r>
      <w:r w:rsidR="004A3448" w:rsidRPr="004A3448">
        <w:rPr>
          <w:rFonts w:cs="Arial"/>
          <w:bCs/>
          <w:color w:val="000000"/>
          <w:sz w:val="24"/>
        </w:rPr>
        <w:t>(Figura 35</w:t>
      </w:r>
      <w:r w:rsidR="00C238A2">
        <w:rPr>
          <w:rFonts w:cs="Arial"/>
          <w:bCs/>
          <w:color w:val="000000"/>
          <w:sz w:val="24"/>
        </w:rPr>
        <w:t>-36</w:t>
      </w:r>
      <w:r w:rsidR="004A3448" w:rsidRPr="004A3448">
        <w:rPr>
          <w:rFonts w:cs="Arial"/>
          <w:bCs/>
          <w:color w:val="000000"/>
          <w:sz w:val="24"/>
        </w:rPr>
        <w:t>).</w:t>
      </w:r>
    </w:p>
    <w:p w14:paraId="52F1E219" w14:textId="4C11C6E3" w:rsidR="0042682A" w:rsidRDefault="00173A68" w:rsidP="004F0FC6">
      <w:pPr>
        <w:ind w:firstLine="709"/>
        <w:jc w:val="both"/>
      </w:pPr>
      <w:r>
        <w:rPr>
          <w:rFonts w:cs="Arial"/>
          <w:bCs/>
          <w:color w:val="000000"/>
          <w:sz w:val="24"/>
        </w:rPr>
        <w:t>Con respecto a las instalaciones higiénicas,</w:t>
      </w:r>
      <w:r w:rsidR="00692F60">
        <w:rPr>
          <w:rFonts w:cs="Arial"/>
          <w:bCs/>
          <w:color w:val="000000"/>
          <w:sz w:val="24"/>
        </w:rPr>
        <w:t xml:space="preserve"> los centros de cultivo MYPE informan que</w:t>
      </w:r>
      <w:r>
        <w:rPr>
          <w:rFonts w:cs="Arial"/>
          <w:bCs/>
          <w:color w:val="000000"/>
          <w:sz w:val="24"/>
        </w:rPr>
        <w:t xml:space="preserve"> el </w:t>
      </w:r>
      <w:r w:rsidR="00692F60">
        <w:rPr>
          <w:rFonts w:cs="Arial"/>
          <w:bCs/>
          <w:color w:val="000000"/>
          <w:sz w:val="24"/>
        </w:rPr>
        <w:t xml:space="preserve">77% posee instalaciones higiénicas en tierra  y el 23% </w:t>
      </w:r>
      <w:r w:rsidR="00F7442D">
        <w:rPr>
          <w:rFonts w:cs="Arial"/>
          <w:bCs/>
          <w:color w:val="000000"/>
          <w:sz w:val="24"/>
        </w:rPr>
        <w:t xml:space="preserve">en el mar, en cambio el 100% de los centros </w:t>
      </w:r>
      <w:r w:rsidR="00B55C6D">
        <w:rPr>
          <w:rFonts w:cs="Arial"/>
          <w:bCs/>
          <w:color w:val="000000"/>
          <w:sz w:val="24"/>
        </w:rPr>
        <w:t xml:space="preserve">de cultivo </w:t>
      </w:r>
      <w:r w:rsidR="00F7442D">
        <w:rPr>
          <w:rFonts w:cs="Arial"/>
          <w:bCs/>
          <w:color w:val="000000"/>
          <w:sz w:val="24"/>
        </w:rPr>
        <w:t>Grande</w:t>
      </w:r>
      <w:r w:rsidR="009E4038">
        <w:rPr>
          <w:rFonts w:cs="Arial"/>
          <w:bCs/>
          <w:color w:val="000000"/>
          <w:sz w:val="24"/>
        </w:rPr>
        <w:t xml:space="preserve">, </w:t>
      </w:r>
      <w:r w:rsidR="00F7442D">
        <w:rPr>
          <w:rFonts w:cs="Arial"/>
          <w:bCs/>
          <w:color w:val="000000"/>
          <w:sz w:val="24"/>
        </w:rPr>
        <w:t>posee instalaciones en ti</w:t>
      </w:r>
      <w:r w:rsidR="00B55C6D">
        <w:rPr>
          <w:rFonts w:cs="Arial"/>
          <w:bCs/>
          <w:color w:val="000000"/>
          <w:sz w:val="24"/>
        </w:rPr>
        <w:t>erra y el 60% posee en mar.</w:t>
      </w:r>
      <w:r w:rsidR="001E3BDE" w:rsidRPr="001E3BDE">
        <w:rPr>
          <w:rFonts w:cs="Arial"/>
          <w:bCs/>
          <w:color w:val="000000"/>
          <w:sz w:val="24"/>
        </w:rPr>
        <w:t xml:space="preserve"> </w:t>
      </w:r>
      <w:r w:rsidR="004A3448" w:rsidRPr="004A3448">
        <w:rPr>
          <w:rFonts w:cs="Arial"/>
          <w:bCs/>
          <w:color w:val="000000"/>
          <w:sz w:val="24"/>
        </w:rPr>
        <w:t>(Figura 35</w:t>
      </w:r>
      <w:r w:rsidR="00C238A2">
        <w:rPr>
          <w:rFonts w:cs="Arial"/>
          <w:bCs/>
          <w:color w:val="000000"/>
          <w:sz w:val="24"/>
        </w:rPr>
        <w:t>-36</w:t>
      </w:r>
      <w:r w:rsidR="004A3448" w:rsidRPr="004A3448">
        <w:rPr>
          <w:rFonts w:cs="Arial"/>
          <w:bCs/>
          <w:color w:val="000000"/>
          <w:sz w:val="24"/>
        </w:rPr>
        <w:t>).</w:t>
      </w:r>
    </w:p>
    <w:p w14:paraId="37E1D858" w14:textId="20D5FB2E" w:rsidR="00420B14" w:rsidRDefault="00407399" w:rsidP="00407399">
      <w:pPr>
        <w:ind w:firstLine="709"/>
        <w:jc w:val="both"/>
        <w:rPr>
          <w:rFonts w:cs="Arial"/>
          <w:bCs/>
          <w:color w:val="000000"/>
          <w:sz w:val="24"/>
        </w:rPr>
      </w:pPr>
      <w:r>
        <w:rPr>
          <w:rFonts w:cs="Arial"/>
          <w:bCs/>
          <w:color w:val="000000"/>
          <w:sz w:val="24"/>
        </w:rPr>
        <w:t>Por su parte, el D.S 40.</w:t>
      </w:r>
      <w:r w:rsidR="00DD1BE9" w:rsidRPr="00DD1BE9">
        <w:rPr>
          <w:rFonts w:cs="Arial"/>
          <w:bCs/>
          <w:color w:val="000000"/>
          <w:sz w:val="24"/>
        </w:rPr>
        <w:t xml:space="preserve"> </w:t>
      </w:r>
      <w:proofErr w:type="gramStart"/>
      <w:r w:rsidR="00DD1BE9" w:rsidRPr="00DD1BE9">
        <w:rPr>
          <w:rFonts w:cs="Arial"/>
          <w:bCs/>
          <w:color w:val="000000"/>
          <w:sz w:val="24"/>
        </w:rPr>
        <w:t>que</w:t>
      </w:r>
      <w:proofErr w:type="gramEnd"/>
      <w:r w:rsidR="00DD1BE9" w:rsidRPr="00DD1BE9">
        <w:rPr>
          <w:rFonts w:cs="Arial"/>
          <w:bCs/>
          <w:color w:val="000000"/>
          <w:sz w:val="24"/>
        </w:rPr>
        <w:t xml:space="preserve"> “Aprueba Reglamento sobre Prevención de Riesgos Profesionales</w:t>
      </w:r>
      <w:r w:rsidR="00F229B2">
        <w:rPr>
          <w:rFonts w:cs="Arial"/>
          <w:bCs/>
          <w:color w:val="000000"/>
          <w:sz w:val="24"/>
        </w:rPr>
        <w:t>”, s</w:t>
      </w:r>
      <w:r w:rsidR="00DD1BE9" w:rsidRPr="00DD1BE9">
        <w:rPr>
          <w:rFonts w:cs="Arial"/>
          <w:bCs/>
          <w:color w:val="000000"/>
          <w:sz w:val="24"/>
        </w:rPr>
        <w:t>e</w:t>
      </w:r>
      <w:r w:rsidR="00420B14" w:rsidRPr="00DD1BE9">
        <w:rPr>
          <w:rFonts w:cs="Arial"/>
          <w:bCs/>
          <w:color w:val="000000"/>
          <w:sz w:val="24"/>
        </w:rPr>
        <w:t>ñala que los empleadores tienen la obligación de informar oportuna y convenientemente a todos sus trabajadores acerca de los riesgos que entrañan sus labores, de las medidas preventivas y de los métodos de trabajo correctos. Los riesgos son los inherentes a la actividad de cada empresa</w:t>
      </w:r>
      <w:r w:rsidR="00F229B2">
        <w:rPr>
          <w:rFonts w:cs="Arial"/>
          <w:bCs/>
          <w:color w:val="000000"/>
          <w:sz w:val="24"/>
        </w:rPr>
        <w:t>. El 38% informa que e</w:t>
      </w:r>
      <w:r w:rsidR="00F229B2" w:rsidRPr="00F229B2">
        <w:rPr>
          <w:rFonts w:cs="Arial"/>
          <w:bCs/>
          <w:color w:val="000000"/>
          <w:sz w:val="24"/>
        </w:rPr>
        <w:t>xisten r</w:t>
      </w:r>
      <w:r w:rsidR="00F229B2">
        <w:rPr>
          <w:rFonts w:cs="Arial"/>
          <w:bCs/>
          <w:color w:val="000000"/>
          <w:sz w:val="24"/>
        </w:rPr>
        <w:t>egistros de capacitaciones, Derecho a Saber (DAS) u obligación de informar riesgos laborales, y</w:t>
      </w:r>
      <w:r w:rsidR="00F229B2" w:rsidRPr="00F229B2">
        <w:rPr>
          <w:rFonts w:cs="Arial"/>
          <w:bCs/>
          <w:color w:val="000000"/>
          <w:sz w:val="24"/>
        </w:rPr>
        <w:t xml:space="preserve"> entrega de e</w:t>
      </w:r>
      <w:r w:rsidR="00F229B2">
        <w:rPr>
          <w:rFonts w:cs="Arial"/>
          <w:bCs/>
          <w:color w:val="000000"/>
          <w:sz w:val="24"/>
        </w:rPr>
        <w:t>lementos de protección personal, mientras que el 100% de las empresas Grande posee registros.</w:t>
      </w:r>
      <w:r w:rsidR="001E3BDE" w:rsidRPr="001E3BDE">
        <w:rPr>
          <w:rFonts w:cs="Arial"/>
          <w:bCs/>
          <w:color w:val="000000"/>
          <w:sz w:val="24"/>
        </w:rPr>
        <w:t xml:space="preserve"> </w:t>
      </w:r>
      <w:r w:rsidR="004A3448" w:rsidRPr="004A3448">
        <w:rPr>
          <w:rFonts w:cs="Arial"/>
          <w:bCs/>
          <w:color w:val="000000"/>
          <w:sz w:val="24"/>
        </w:rPr>
        <w:t>(Figura 35</w:t>
      </w:r>
      <w:r w:rsidR="00C238A2">
        <w:rPr>
          <w:rFonts w:cs="Arial"/>
          <w:bCs/>
          <w:color w:val="000000"/>
          <w:sz w:val="24"/>
        </w:rPr>
        <w:t>-36</w:t>
      </w:r>
      <w:r w:rsidR="004A3448" w:rsidRPr="004A3448">
        <w:rPr>
          <w:rFonts w:cs="Arial"/>
          <w:bCs/>
          <w:color w:val="000000"/>
          <w:sz w:val="24"/>
        </w:rPr>
        <w:t>).</w:t>
      </w:r>
    </w:p>
    <w:p w14:paraId="009D79E5" w14:textId="460DF753" w:rsidR="009E4038" w:rsidRDefault="009E4038" w:rsidP="00DF41F3">
      <w:pPr>
        <w:pStyle w:val="Encabezado"/>
        <w:spacing w:line="276" w:lineRule="auto"/>
        <w:jc w:val="both"/>
        <w:rPr>
          <w:rFonts w:cs="Arial"/>
          <w:bCs/>
          <w:color w:val="000000"/>
          <w:sz w:val="24"/>
        </w:rPr>
      </w:pPr>
      <w:r w:rsidRPr="009E4038">
        <w:rPr>
          <w:rFonts w:cs="Arial"/>
          <w:bCs/>
          <w:color w:val="000000"/>
          <w:sz w:val="24"/>
        </w:rPr>
        <w:t xml:space="preserve">Por otro lado, </w:t>
      </w:r>
      <w:r>
        <w:rPr>
          <w:rFonts w:cs="Arial"/>
          <w:bCs/>
          <w:color w:val="000000"/>
          <w:sz w:val="24"/>
        </w:rPr>
        <w:t xml:space="preserve">señalar que el 100% de las empresas MYPE, </w:t>
      </w:r>
      <w:r w:rsidR="001F45AB">
        <w:rPr>
          <w:rFonts w:cs="Arial"/>
          <w:bCs/>
          <w:color w:val="000000"/>
          <w:sz w:val="24"/>
        </w:rPr>
        <w:t>no cuentan con un cronograma de capacitaciones para sus trabajadores, en cambio el 60% de las empresas Grande instruye a los trabajadores con un programa de capacitación establecido.</w:t>
      </w:r>
      <w:r w:rsidR="001E3BDE" w:rsidRPr="001E3BDE">
        <w:rPr>
          <w:rFonts w:cs="Arial"/>
          <w:bCs/>
          <w:color w:val="000000"/>
          <w:sz w:val="24"/>
        </w:rPr>
        <w:t xml:space="preserve"> </w:t>
      </w:r>
      <w:r w:rsidR="004A3448" w:rsidRPr="004A3448">
        <w:rPr>
          <w:rFonts w:cs="Arial"/>
          <w:bCs/>
          <w:color w:val="000000"/>
          <w:sz w:val="24"/>
        </w:rPr>
        <w:t>(Figura 35</w:t>
      </w:r>
      <w:r w:rsidR="00C238A2">
        <w:rPr>
          <w:rFonts w:cs="Arial"/>
          <w:bCs/>
          <w:color w:val="000000"/>
          <w:sz w:val="24"/>
        </w:rPr>
        <w:t>-36</w:t>
      </w:r>
      <w:r w:rsidR="004A3448" w:rsidRPr="004A3448">
        <w:rPr>
          <w:rFonts w:cs="Arial"/>
          <w:bCs/>
          <w:color w:val="000000"/>
          <w:sz w:val="24"/>
        </w:rPr>
        <w:t>).</w:t>
      </w:r>
    </w:p>
    <w:p w14:paraId="6AC0438D" w14:textId="77777777" w:rsidR="00E87AD6" w:rsidRDefault="00E87AD6" w:rsidP="001F45AB">
      <w:pPr>
        <w:pStyle w:val="Encabezado"/>
        <w:jc w:val="both"/>
        <w:rPr>
          <w:rFonts w:cs="Arial"/>
          <w:bCs/>
          <w:color w:val="000000"/>
          <w:sz w:val="24"/>
        </w:rPr>
      </w:pPr>
    </w:p>
    <w:p w14:paraId="7B47F437" w14:textId="5E7039E0" w:rsidR="00E87AD6" w:rsidRDefault="00E87AD6" w:rsidP="007812D8">
      <w:pPr>
        <w:pStyle w:val="Encabezado"/>
        <w:spacing w:line="276" w:lineRule="auto"/>
        <w:ind w:firstLine="709"/>
        <w:jc w:val="both"/>
        <w:rPr>
          <w:rFonts w:cs="Arial"/>
          <w:bCs/>
          <w:color w:val="000000"/>
          <w:sz w:val="24"/>
        </w:rPr>
      </w:pPr>
      <w:r>
        <w:rPr>
          <w:rFonts w:cs="Arial"/>
          <w:bCs/>
          <w:color w:val="000000"/>
          <w:sz w:val="24"/>
        </w:rPr>
        <w:t>El Plan de Contingencia a</w:t>
      </w:r>
      <w:r w:rsidRPr="00F00341">
        <w:rPr>
          <w:rFonts w:cs="Arial"/>
          <w:bCs/>
          <w:color w:val="000000"/>
          <w:sz w:val="24"/>
        </w:rPr>
        <w:t xml:space="preserve">yuda a controlar una situación de emergencia </w:t>
      </w:r>
      <w:r>
        <w:rPr>
          <w:rFonts w:cs="Arial"/>
          <w:bCs/>
          <w:color w:val="000000"/>
          <w:sz w:val="24"/>
        </w:rPr>
        <w:t>y a minimizar sus consecuencias, es preventivo, predictivo y reactivo.</w:t>
      </w:r>
      <w:r w:rsidR="008550DF">
        <w:rPr>
          <w:rFonts w:cs="Arial"/>
          <w:bCs/>
          <w:color w:val="000000"/>
          <w:sz w:val="24"/>
        </w:rPr>
        <w:t xml:space="preserve"> Cabe señalar que Los Planes de </w:t>
      </w:r>
      <w:r w:rsidR="008550DF">
        <w:rPr>
          <w:rFonts w:cs="Arial"/>
          <w:bCs/>
          <w:color w:val="000000"/>
          <w:sz w:val="24"/>
        </w:rPr>
        <w:lastRenderedPageBreak/>
        <w:t>Contingencia, también son una exigencia de la Autoridad Marítima y del</w:t>
      </w:r>
      <w:r w:rsidR="00061FF3">
        <w:rPr>
          <w:rFonts w:cs="Arial"/>
          <w:bCs/>
          <w:color w:val="000000"/>
          <w:sz w:val="24"/>
        </w:rPr>
        <w:t xml:space="preserve"> D.S. 320, “</w:t>
      </w:r>
      <w:r w:rsidR="008550DF">
        <w:rPr>
          <w:rFonts w:cs="Arial"/>
          <w:bCs/>
          <w:color w:val="000000"/>
          <w:sz w:val="24"/>
        </w:rPr>
        <w:t>Reglamento Ambiental para la Acuicultura</w:t>
      </w:r>
      <w:r w:rsidR="00061FF3">
        <w:rPr>
          <w:rFonts w:cs="Arial"/>
          <w:bCs/>
          <w:color w:val="000000"/>
          <w:sz w:val="24"/>
        </w:rPr>
        <w:t>”</w:t>
      </w:r>
      <w:r w:rsidR="008550DF">
        <w:rPr>
          <w:rFonts w:cs="Arial"/>
          <w:bCs/>
          <w:color w:val="000000"/>
          <w:sz w:val="24"/>
        </w:rPr>
        <w:t>, del Ministerio de Economía, Fomento y Reconstrucción; Subsecretaria de P</w:t>
      </w:r>
      <w:r w:rsidR="008550DF" w:rsidRPr="008550DF">
        <w:rPr>
          <w:rFonts w:cs="Arial"/>
          <w:bCs/>
          <w:color w:val="000000"/>
          <w:sz w:val="24"/>
        </w:rPr>
        <w:t>esca</w:t>
      </w:r>
      <w:r w:rsidR="008550DF">
        <w:rPr>
          <w:rFonts w:cs="Arial"/>
          <w:bCs/>
          <w:color w:val="000000"/>
          <w:sz w:val="24"/>
        </w:rPr>
        <w:t xml:space="preserve">, </w:t>
      </w:r>
      <w:r w:rsidR="008550DF" w:rsidRPr="008550DF">
        <w:rPr>
          <w:rFonts w:cs="Arial"/>
          <w:bCs/>
          <w:color w:val="000000"/>
          <w:sz w:val="24"/>
        </w:rPr>
        <w:t>Art.5.</w:t>
      </w:r>
      <w:r w:rsidR="008550DF">
        <w:rPr>
          <w:rFonts w:cs="Arial"/>
          <w:bCs/>
          <w:color w:val="000000"/>
          <w:sz w:val="24"/>
        </w:rPr>
        <w:t xml:space="preserve">, el cual establece que </w:t>
      </w:r>
      <w:r w:rsidR="008550DF" w:rsidRPr="008550DF">
        <w:rPr>
          <w:rFonts w:cs="Arial"/>
          <w:bCs/>
          <w:color w:val="000000"/>
          <w:sz w:val="24"/>
        </w:rPr>
        <w:t>“Todo centro debe disponer de un plan de acción ante contingencias, que establezca las acciones y responsabilidades operativas en caso de ocurrir circunstancias susceptibles de provocar efectos ambientales negativos o adversos”.</w:t>
      </w:r>
      <w:r w:rsidR="001E3BDE" w:rsidRPr="001E3BDE">
        <w:rPr>
          <w:rFonts w:cs="Arial"/>
          <w:bCs/>
          <w:color w:val="000000"/>
          <w:sz w:val="24"/>
        </w:rPr>
        <w:t xml:space="preserve"> </w:t>
      </w:r>
      <w:r w:rsidR="00061FF3" w:rsidRPr="00061FF3">
        <w:rPr>
          <w:rFonts w:cs="Arial"/>
          <w:bCs/>
          <w:color w:val="000000"/>
          <w:sz w:val="24"/>
        </w:rPr>
        <w:t>Las contingencias que se deberán considerar serán a lo menos: temporales, terremotos, el enmalle de mamíferos marinos, el choque de embarcaciones con los módulos de cultivo, las pérdidas accidentales de alimento, de estructuras de cultivo u otros materiales,</w:t>
      </w:r>
      <w:r w:rsidR="00061FF3">
        <w:rPr>
          <w:rFonts w:cs="Arial"/>
          <w:bCs/>
          <w:color w:val="000000"/>
          <w:sz w:val="24"/>
        </w:rPr>
        <w:t xml:space="preserve"> </w:t>
      </w:r>
      <w:r w:rsidR="00061FF3" w:rsidRPr="00061FF3">
        <w:rPr>
          <w:rFonts w:cs="Arial"/>
          <w:bCs/>
          <w:color w:val="000000"/>
          <w:sz w:val="24"/>
        </w:rPr>
        <w:t xml:space="preserve">florecimientos </w:t>
      </w:r>
      <w:proofErr w:type="spellStart"/>
      <w:r w:rsidR="00061FF3" w:rsidRPr="00061FF3">
        <w:rPr>
          <w:rFonts w:cs="Arial"/>
          <w:bCs/>
          <w:color w:val="000000"/>
          <w:sz w:val="24"/>
        </w:rPr>
        <w:t>algales</w:t>
      </w:r>
      <w:proofErr w:type="spellEnd"/>
      <w:r w:rsidR="00061FF3" w:rsidRPr="00061FF3">
        <w:rPr>
          <w:rFonts w:cs="Arial"/>
          <w:bCs/>
          <w:color w:val="000000"/>
          <w:sz w:val="24"/>
        </w:rPr>
        <w:t xml:space="preserve"> nocivos, los escapes, o los desprendimientos de ejemplares exóticos en cultivo.</w:t>
      </w:r>
      <w:r w:rsidR="007812D8">
        <w:rPr>
          <w:rFonts w:cs="Arial"/>
          <w:bCs/>
          <w:color w:val="000000"/>
          <w:sz w:val="24"/>
        </w:rPr>
        <w:t xml:space="preserve"> </w:t>
      </w:r>
      <w:r>
        <w:rPr>
          <w:rFonts w:cs="Arial"/>
          <w:bCs/>
          <w:color w:val="000000"/>
          <w:sz w:val="24"/>
        </w:rPr>
        <w:t>El an</w:t>
      </w:r>
      <w:r w:rsidR="001E3BDE">
        <w:rPr>
          <w:rFonts w:cs="Arial"/>
          <w:bCs/>
          <w:color w:val="000000"/>
          <w:sz w:val="24"/>
        </w:rPr>
        <w:t>álisis sobre</w:t>
      </w:r>
      <w:r>
        <w:rPr>
          <w:rFonts w:cs="Arial"/>
          <w:bCs/>
          <w:color w:val="000000"/>
          <w:sz w:val="24"/>
        </w:rPr>
        <w:t xml:space="preserve"> de Planes de Contingencia, deja en evidencia que los centros de cultivo MYPE cumplen en bajo porcentaje con esta exigencia, sólo 2 centros de cultivo (23%), cuentan con el Plan de Contingencia Hombre al agua</w:t>
      </w:r>
      <w:r w:rsidR="008550DF">
        <w:rPr>
          <w:rFonts w:cs="Arial"/>
          <w:bCs/>
          <w:color w:val="000000"/>
          <w:sz w:val="24"/>
        </w:rPr>
        <w:t>. N</w:t>
      </w:r>
      <w:r>
        <w:rPr>
          <w:rFonts w:cs="Arial"/>
          <w:bCs/>
          <w:color w:val="000000"/>
          <w:sz w:val="24"/>
        </w:rPr>
        <w:t>o poseen Plan de contingencia contra incendio, buceo y mal tiempo</w:t>
      </w:r>
      <w:r w:rsidR="008550DF">
        <w:rPr>
          <w:rFonts w:cs="Arial"/>
          <w:bCs/>
          <w:color w:val="000000"/>
          <w:sz w:val="24"/>
        </w:rPr>
        <w:t>. El 46% (6 centros), además informan que no conocen la normativa asociada a planes de contingencia.</w:t>
      </w:r>
      <w:r w:rsidR="001E3BDE" w:rsidRPr="001E3BDE">
        <w:rPr>
          <w:rFonts w:cs="Arial"/>
          <w:bCs/>
          <w:color w:val="000000"/>
          <w:sz w:val="24"/>
        </w:rPr>
        <w:t xml:space="preserve"> </w:t>
      </w:r>
      <w:r w:rsidR="004A3448" w:rsidRPr="004A3448">
        <w:rPr>
          <w:rFonts w:cs="Arial"/>
          <w:bCs/>
          <w:color w:val="000000"/>
          <w:sz w:val="24"/>
        </w:rPr>
        <w:t>(Figura 35).</w:t>
      </w:r>
    </w:p>
    <w:p w14:paraId="3A695B96" w14:textId="106D4D38" w:rsidR="008550DF" w:rsidRDefault="00BE0BAB" w:rsidP="00BE0BAB">
      <w:pPr>
        <w:spacing w:after="160" w:line="259" w:lineRule="auto"/>
        <w:jc w:val="both"/>
        <w:rPr>
          <w:rFonts w:cs="Arial"/>
          <w:bCs/>
          <w:color w:val="000000"/>
          <w:sz w:val="24"/>
        </w:rPr>
      </w:pPr>
      <w:r w:rsidRPr="00BE0BAB">
        <w:rPr>
          <w:rFonts w:cs="Arial"/>
          <w:bCs/>
          <w:color w:val="000000"/>
          <w:sz w:val="24"/>
        </w:rPr>
        <w:t>Los centros del segmento Grande declararon conocer la normativa asociada a planes de contingencia y contar con los planes de contingencia. El 80%  posee Plan de Contingencia contra incendio, buceo y mal tiempo y el 90% posee Plan Contingencia hombre al agua.</w:t>
      </w:r>
      <w:r>
        <w:rPr>
          <w:rFonts w:cs="Arial"/>
          <w:bCs/>
          <w:color w:val="000000"/>
          <w:sz w:val="24"/>
        </w:rPr>
        <w:t xml:space="preserve"> </w:t>
      </w:r>
      <w:r w:rsidR="00C238A2">
        <w:rPr>
          <w:rFonts w:cs="Arial"/>
          <w:bCs/>
          <w:color w:val="000000"/>
          <w:sz w:val="24"/>
        </w:rPr>
        <w:t>(Figura 36</w:t>
      </w:r>
      <w:r w:rsidR="004A3448" w:rsidRPr="004A3448">
        <w:rPr>
          <w:rFonts w:cs="Arial"/>
          <w:bCs/>
          <w:color w:val="000000"/>
          <w:sz w:val="24"/>
        </w:rPr>
        <w:t>).</w:t>
      </w:r>
    </w:p>
    <w:p w14:paraId="44818541" w14:textId="77777777" w:rsidR="00420B14" w:rsidRPr="009E4038" w:rsidRDefault="00420B14" w:rsidP="00A4216C">
      <w:pPr>
        <w:pStyle w:val="Encabezado"/>
        <w:rPr>
          <w:rFonts w:cs="Arial"/>
          <w:bCs/>
          <w:color w:val="000000"/>
          <w:sz w:val="24"/>
        </w:rPr>
      </w:pPr>
    </w:p>
    <w:p w14:paraId="3E340122" w14:textId="09D171C8" w:rsidR="00BD17CB" w:rsidRDefault="00420B14" w:rsidP="001E3BDE">
      <w:pPr>
        <w:pStyle w:val="Encabezado"/>
        <w:spacing w:line="276" w:lineRule="auto"/>
        <w:jc w:val="both"/>
        <w:rPr>
          <w:rFonts w:cs="Arial"/>
          <w:bCs/>
          <w:color w:val="000000"/>
          <w:sz w:val="24"/>
        </w:rPr>
      </w:pPr>
      <w:r w:rsidRPr="00420B14">
        <w:rPr>
          <w:rFonts w:cs="Arial"/>
          <w:bCs/>
          <w:color w:val="000000"/>
          <w:sz w:val="24"/>
        </w:rPr>
        <w:t>El D.S. 54, que “Aprueba Reglamento para la Constitución y Funcionamiento de los Comités Paritarios de Higiene y Seguridad”.  En toda empresa, faena, sucursal o agencia en que trabajen más de 25 personas se organizarán Comités Paritarios de Higiene y Seguridad, compuestos por representantes patronales y representantes de los trabajadores.</w:t>
      </w:r>
      <w:r w:rsidR="007753BA">
        <w:rPr>
          <w:rFonts w:cs="Arial"/>
          <w:bCs/>
          <w:color w:val="000000"/>
          <w:sz w:val="24"/>
        </w:rPr>
        <w:t xml:space="preserve"> </w:t>
      </w:r>
      <w:r w:rsidRPr="00420B14">
        <w:rPr>
          <w:rFonts w:cs="Arial"/>
          <w:bCs/>
          <w:color w:val="000000"/>
          <w:sz w:val="24"/>
        </w:rPr>
        <w:t>Si la empresa tuviera faenas, sucursales o agencias distintas, en el mismo o en diferentes lugares, en cada una de ellas deberá organizarse un Comité Paritario de Higiene y Seguridad.</w:t>
      </w:r>
      <w:r w:rsidR="007753BA">
        <w:rPr>
          <w:rFonts w:cs="Arial"/>
          <w:bCs/>
          <w:color w:val="000000"/>
          <w:sz w:val="24"/>
        </w:rPr>
        <w:t xml:space="preserve"> El 100% de las empresas de categoría Grande informa tener conformado un Comité Paritario. Señalar que de acuerdo a lo establecido en la Ley, los centros e </w:t>
      </w:r>
      <w:r w:rsidR="007753BA">
        <w:rPr>
          <w:rFonts w:cs="Arial"/>
          <w:bCs/>
          <w:color w:val="000000"/>
          <w:sz w:val="24"/>
        </w:rPr>
        <w:lastRenderedPageBreak/>
        <w:t xml:space="preserve">cultivo MYPE no están obligados a tener un Comité Paritario, ya que en promedio </w:t>
      </w:r>
      <w:r w:rsidR="00F90AD3">
        <w:rPr>
          <w:rFonts w:cs="Arial"/>
          <w:bCs/>
          <w:color w:val="000000"/>
          <w:sz w:val="24"/>
        </w:rPr>
        <w:t>el número de trabajadores que poseen, es menor  a 25 trabajadores</w:t>
      </w:r>
      <w:r w:rsidR="00C238A2">
        <w:rPr>
          <w:rFonts w:cs="Arial"/>
          <w:bCs/>
          <w:color w:val="000000"/>
          <w:sz w:val="24"/>
        </w:rPr>
        <w:t xml:space="preserve"> </w:t>
      </w:r>
      <w:r w:rsidR="004A3448" w:rsidRPr="004A3448">
        <w:rPr>
          <w:rFonts w:cs="Arial"/>
          <w:bCs/>
          <w:color w:val="000000"/>
          <w:sz w:val="24"/>
        </w:rPr>
        <w:t>(Figura 35</w:t>
      </w:r>
      <w:r w:rsidR="00C238A2">
        <w:rPr>
          <w:rFonts w:cs="Arial"/>
          <w:bCs/>
          <w:color w:val="000000"/>
          <w:sz w:val="24"/>
        </w:rPr>
        <w:t>-36</w:t>
      </w:r>
      <w:r w:rsidR="004A3448" w:rsidRPr="004A3448">
        <w:rPr>
          <w:rFonts w:cs="Arial"/>
          <w:bCs/>
          <w:color w:val="000000"/>
          <w:sz w:val="24"/>
        </w:rPr>
        <w:t>).</w:t>
      </w:r>
    </w:p>
    <w:p w14:paraId="064A4344" w14:textId="399698D6" w:rsidR="00420B14" w:rsidRDefault="00420B14" w:rsidP="00420B14">
      <w:pPr>
        <w:pStyle w:val="Encabezado"/>
        <w:jc w:val="both"/>
        <w:rPr>
          <w:rFonts w:cs="Arial"/>
          <w:bCs/>
          <w:color w:val="000000"/>
          <w:sz w:val="24"/>
        </w:rPr>
      </w:pPr>
    </w:p>
    <w:p w14:paraId="533099A6" w14:textId="6EC9D29D" w:rsidR="00A4216C" w:rsidRPr="00152EEA" w:rsidRDefault="00DD1BE9" w:rsidP="00B24328">
      <w:pPr>
        <w:pStyle w:val="Encabezado"/>
        <w:spacing w:line="276" w:lineRule="auto"/>
        <w:jc w:val="both"/>
        <w:rPr>
          <w:rFonts w:cs="Arial"/>
          <w:bCs/>
          <w:color w:val="000000"/>
          <w:sz w:val="24"/>
        </w:rPr>
      </w:pPr>
      <w:r>
        <w:rPr>
          <w:rFonts w:cs="Arial"/>
          <w:bCs/>
          <w:color w:val="000000"/>
          <w:sz w:val="24"/>
        </w:rPr>
        <w:t>La Ley 20.123 “Regula Trabajo en R</w:t>
      </w:r>
      <w:r w:rsidRPr="00DD1BE9">
        <w:rPr>
          <w:rFonts w:cs="Arial"/>
          <w:bCs/>
          <w:color w:val="000000"/>
          <w:sz w:val="24"/>
        </w:rPr>
        <w:t>égimen</w:t>
      </w:r>
      <w:r>
        <w:rPr>
          <w:rFonts w:cs="Arial"/>
          <w:bCs/>
          <w:color w:val="000000"/>
          <w:sz w:val="24"/>
        </w:rPr>
        <w:t xml:space="preserve"> de S</w:t>
      </w:r>
      <w:r w:rsidRPr="00DD1BE9">
        <w:rPr>
          <w:rFonts w:cs="Arial"/>
          <w:bCs/>
          <w:color w:val="000000"/>
          <w:sz w:val="24"/>
        </w:rPr>
        <w:t>ubcontratación</w:t>
      </w:r>
      <w:r>
        <w:rPr>
          <w:rFonts w:cs="Arial"/>
          <w:bCs/>
          <w:color w:val="000000"/>
          <w:sz w:val="24"/>
        </w:rPr>
        <w:t>, el F</w:t>
      </w:r>
      <w:r w:rsidRPr="00DD1BE9">
        <w:rPr>
          <w:rFonts w:cs="Arial"/>
          <w:bCs/>
          <w:color w:val="000000"/>
          <w:sz w:val="24"/>
        </w:rPr>
        <w:t xml:space="preserve">uncionamiento de las </w:t>
      </w:r>
      <w:r>
        <w:rPr>
          <w:rFonts w:cs="Arial"/>
          <w:bCs/>
          <w:color w:val="000000"/>
          <w:sz w:val="24"/>
        </w:rPr>
        <w:t>Empresas de Servicios Transitorios y el contrato de Trabajo de Servicios T</w:t>
      </w:r>
      <w:r w:rsidRPr="00DD1BE9">
        <w:rPr>
          <w:rFonts w:cs="Arial"/>
          <w:bCs/>
          <w:color w:val="000000"/>
          <w:sz w:val="24"/>
        </w:rPr>
        <w:t>ransitorios</w:t>
      </w:r>
      <w:r>
        <w:rPr>
          <w:rFonts w:cs="Arial"/>
          <w:bCs/>
          <w:color w:val="000000"/>
          <w:sz w:val="24"/>
        </w:rPr>
        <w:t xml:space="preserve">”. </w:t>
      </w:r>
      <w:r w:rsidRPr="00DD1BE9">
        <w:rPr>
          <w:rFonts w:cs="Arial"/>
          <w:bCs/>
          <w:color w:val="000000"/>
          <w:sz w:val="24"/>
        </w:rPr>
        <w:t>Las empresas que utilicen servicios de intermediarios agrícolas o de emp</w:t>
      </w:r>
      <w:r>
        <w:rPr>
          <w:rFonts w:cs="Arial"/>
          <w:bCs/>
          <w:color w:val="000000"/>
          <w:sz w:val="24"/>
        </w:rPr>
        <w:t xml:space="preserve">resas contratistas no inscritas, </w:t>
      </w:r>
      <w:r w:rsidRPr="00DD1BE9">
        <w:rPr>
          <w:rFonts w:cs="Arial"/>
          <w:bCs/>
          <w:color w:val="000000"/>
          <w:sz w:val="24"/>
        </w:rPr>
        <w:t>serán sancionadas con multa a beneficio fiscal</w:t>
      </w:r>
      <w:r w:rsidR="0042682A">
        <w:rPr>
          <w:rFonts w:cs="Arial"/>
          <w:bCs/>
          <w:color w:val="000000"/>
          <w:sz w:val="24"/>
        </w:rPr>
        <w:t>. En el caso de los centros de cultivo MYPE, el 8% indica cumplir con la Ley de subcontratación y el 90% de empresas Grande.</w:t>
      </w:r>
      <w:r w:rsidR="00BD17CB">
        <w:rPr>
          <w:rFonts w:cs="Arial"/>
          <w:bCs/>
          <w:color w:val="000000"/>
          <w:sz w:val="24"/>
        </w:rPr>
        <w:t xml:space="preserve"> </w:t>
      </w:r>
      <w:r w:rsidR="004A3448" w:rsidRPr="004A3448">
        <w:rPr>
          <w:rFonts w:cs="Arial"/>
          <w:bCs/>
          <w:color w:val="000000"/>
          <w:sz w:val="24"/>
        </w:rPr>
        <w:t>(Figura 35</w:t>
      </w:r>
      <w:r w:rsidR="00C238A2">
        <w:rPr>
          <w:rFonts w:cs="Arial"/>
          <w:bCs/>
          <w:color w:val="000000"/>
          <w:sz w:val="24"/>
        </w:rPr>
        <w:t>-36</w:t>
      </w:r>
      <w:r w:rsidR="004A3448" w:rsidRPr="004A3448">
        <w:rPr>
          <w:rFonts w:cs="Arial"/>
          <w:bCs/>
          <w:color w:val="000000"/>
          <w:sz w:val="24"/>
        </w:rPr>
        <w:t>).</w:t>
      </w:r>
    </w:p>
    <w:p w14:paraId="65A82D97" w14:textId="77777777" w:rsidR="00184FFC" w:rsidRDefault="00184FFC" w:rsidP="009F1F9C">
      <w:pPr>
        <w:pStyle w:val="Encabezado"/>
        <w:spacing w:line="276" w:lineRule="auto"/>
        <w:jc w:val="both"/>
        <w:rPr>
          <w:rFonts w:cs="Arial"/>
          <w:bCs/>
          <w:color w:val="000000"/>
          <w:sz w:val="24"/>
        </w:rPr>
      </w:pPr>
    </w:p>
    <w:p w14:paraId="1BFEEB98" w14:textId="0EE7D457" w:rsidR="00184FFC" w:rsidRDefault="000E2775" w:rsidP="004A28A7">
      <w:pPr>
        <w:pStyle w:val="Encabezado"/>
        <w:spacing w:line="276" w:lineRule="auto"/>
        <w:ind w:firstLine="709"/>
        <w:jc w:val="both"/>
        <w:rPr>
          <w:rFonts w:cs="Arial"/>
          <w:bCs/>
          <w:color w:val="000000"/>
          <w:sz w:val="24"/>
        </w:rPr>
      </w:pPr>
      <w:r>
        <w:rPr>
          <w:rFonts w:cs="Arial"/>
          <w:bCs/>
          <w:color w:val="000000"/>
          <w:sz w:val="24"/>
        </w:rPr>
        <w:t>Por otro lado, el 100% de lo</w:t>
      </w:r>
      <w:r w:rsidR="00184FFC" w:rsidRPr="00152EEA">
        <w:rPr>
          <w:rFonts w:cs="Arial"/>
          <w:bCs/>
          <w:color w:val="000000"/>
          <w:sz w:val="24"/>
        </w:rPr>
        <w:t xml:space="preserve">s </w:t>
      </w:r>
      <w:r>
        <w:rPr>
          <w:rFonts w:cs="Arial"/>
          <w:bCs/>
          <w:color w:val="000000"/>
          <w:sz w:val="24"/>
        </w:rPr>
        <w:t xml:space="preserve">centros de cultivo MYPE </w:t>
      </w:r>
      <w:r w:rsidR="00184FFC" w:rsidRPr="00152EEA">
        <w:rPr>
          <w:rFonts w:cs="Arial"/>
          <w:bCs/>
          <w:color w:val="000000"/>
          <w:sz w:val="24"/>
        </w:rPr>
        <w:t>diagn</w:t>
      </w:r>
      <w:r>
        <w:rPr>
          <w:rFonts w:cs="Arial"/>
          <w:bCs/>
          <w:color w:val="000000"/>
          <w:sz w:val="24"/>
        </w:rPr>
        <w:t>osticado</w:t>
      </w:r>
      <w:r w:rsidR="00184FFC" w:rsidRPr="00152EEA">
        <w:rPr>
          <w:rFonts w:cs="Arial"/>
          <w:bCs/>
          <w:color w:val="000000"/>
          <w:sz w:val="24"/>
        </w:rPr>
        <w:t xml:space="preserve">s </w:t>
      </w:r>
      <w:r>
        <w:rPr>
          <w:rFonts w:cs="Arial"/>
          <w:bCs/>
          <w:color w:val="000000"/>
          <w:sz w:val="24"/>
        </w:rPr>
        <w:t>no cumplen</w:t>
      </w:r>
      <w:r w:rsidR="00FA3E0B" w:rsidRPr="00152EEA">
        <w:rPr>
          <w:rFonts w:cs="Arial"/>
          <w:bCs/>
          <w:color w:val="000000"/>
          <w:sz w:val="24"/>
        </w:rPr>
        <w:t xml:space="preserve"> </w:t>
      </w:r>
      <w:r w:rsidR="0068122F">
        <w:rPr>
          <w:rFonts w:cs="Arial"/>
          <w:bCs/>
          <w:color w:val="000000"/>
          <w:sz w:val="24"/>
        </w:rPr>
        <w:t xml:space="preserve">con la </w:t>
      </w:r>
      <w:r w:rsidR="00190ADE" w:rsidRPr="00152EEA">
        <w:rPr>
          <w:rFonts w:cs="Arial"/>
          <w:bCs/>
          <w:color w:val="000000"/>
          <w:sz w:val="24"/>
        </w:rPr>
        <w:t>normativa técnica TMERT</w:t>
      </w:r>
      <w:r w:rsidR="00F91CC7">
        <w:rPr>
          <w:rFonts w:cs="Arial"/>
          <w:bCs/>
          <w:color w:val="000000"/>
          <w:sz w:val="24"/>
        </w:rPr>
        <w:t xml:space="preserve"> </w:t>
      </w:r>
      <w:r w:rsidR="00F91CC7" w:rsidRPr="00152EEA">
        <w:rPr>
          <w:rFonts w:cs="Arial"/>
          <w:bCs/>
          <w:color w:val="000000"/>
          <w:sz w:val="24"/>
        </w:rPr>
        <w:t xml:space="preserve">(Trastornos </w:t>
      </w:r>
      <w:proofErr w:type="spellStart"/>
      <w:r w:rsidR="00F91CC7" w:rsidRPr="004A28A7">
        <w:rPr>
          <w:rFonts w:cs="Arial"/>
          <w:bCs/>
          <w:color w:val="000000"/>
          <w:sz w:val="24"/>
        </w:rPr>
        <w:t>Muescoloesqueléticos</w:t>
      </w:r>
      <w:proofErr w:type="spellEnd"/>
      <w:r w:rsidR="00F91CC7" w:rsidRPr="004A28A7">
        <w:rPr>
          <w:rFonts w:cs="Arial"/>
          <w:bCs/>
          <w:color w:val="000000"/>
          <w:sz w:val="24"/>
        </w:rPr>
        <w:t xml:space="preserve"> de extremidades superiores relacionadas con el trabajo)</w:t>
      </w:r>
      <w:r w:rsidR="00D64AD9">
        <w:rPr>
          <w:rFonts w:cs="Arial"/>
          <w:bCs/>
          <w:color w:val="000000"/>
          <w:sz w:val="24"/>
        </w:rPr>
        <w:t>,</w:t>
      </w:r>
      <w:r w:rsidR="00F91CC7">
        <w:rPr>
          <w:rFonts w:cs="Arial"/>
          <w:bCs/>
          <w:color w:val="000000"/>
          <w:sz w:val="24"/>
        </w:rPr>
        <w:t xml:space="preserve"> </w:t>
      </w:r>
      <w:r w:rsidR="00D64AD9">
        <w:rPr>
          <w:rFonts w:cs="Arial"/>
          <w:bCs/>
          <w:color w:val="000000"/>
          <w:sz w:val="24"/>
        </w:rPr>
        <w:t xml:space="preserve">en cambio </w:t>
      </w:r>
      <w:r w:rsidR="008B2FC9">
        <w:rPr>
          <w:rFonts w:cs="Arial"/>
          <w:bCs/>
          <w:color w:val="000000"/>
          <w:sz w:val="24"/>
        </w:rPr>
        <w:t>sólo el 1</w:t>
      </w:r>
      <w:r w:rsidR="00F91CC7">
        <w:rPr>
          <w:rFonts w:cs="Arial"/>
          <w:bCs/>
          <w:color w:val="000000"/>
          <w:sz w:val="24"/>
        </w:rPr>
        <w:t>0%</w:t>
      </w:r>
      <w:r w:rsidR="008A2DA6" w:rsidRPr="00152EEA">
        <w:rPr>
          <w:rFonts w:cs="Arial"/>
          <w:bCs/>
          <w:color w:val="000000"/>
          <w:sz w:val="24"/>
        </w:rPr>
        <w:t xml:space="preserve"> </w:t>
      </w:r>
      <w:r w:rsidR="00F91CC7">
        <w:rPr>
          <w:rFonts w:cs="Arial"/>
          <w:bCs/>
          <w:color w:val="000000"/>
          <w:sz w:val="24"/>
        </w:rPr>
        <w:t xml:space="preserve">de los centros de cultivo Grande </w:t>
      </w:r>
      <w:r w:rsidR="008B2FC9">
        <w:rPr>
          <w:rFonts w:cs="Arial"/>
          <w:bCs/>
          <w:color w:val="000000"/>
          <w:sz w:val="24"/>
        </w:rPr>
        <w:t xml:space="preserve">no </w:t>
      </w:r>
      <w:r w:rsidR="00F91CC7">
        <w:rPr>
          <w:rFonts w:cs="Arial"/>
          <w:bCs/>
          <w:color w:val="000000"/>
          <w:sz w:val="24"/>
        </w:rPr>
        <w:t>cumplen</w:t>
      </w:r>
      <w:r w:rsidR="004A28A7">
        <w:rPr>
          <w:rFonts w:cs="Arial"/>
          <w:bCs/>
          <w:color w:val="000000"/>
          <w:sz w:val="24"/>
        </w:rPr>
        <w:t xml:space="preserve">. </w:t>
      </w:r>
      <w:r w:rsidR="004A3448" w:rsidRPr="004A3448">
        <w:rPr>
          <w:rFonts w:cs="Arial"/>
          <w:bCs/>
          <w:color w:val="000000"/>
          <w:sz w:val="24"/>
        </w:rPr>
        <w:t>(Figura 35</w:t>
      </w:r>
      <w:r w:rsidR="00C238A2">
        <w:rPr>
          <w:rFonts w:cs="Arial"/>
          <w:bCs/>
          <w:color w:val="000000"/>
          <w:sz w:val="24"/>
        </w:rPr>
        <w:t>-36</w:t>
      </w:r>
      <w:r w:rsidR="004A3448" w:rsidRPr="004A3448">
        <w:rPr>
          <w:rFonts w:cs="Arial"/>
          <w:bCs/>
          <w:color w:val="000000"/>
          <w:sz w:val="24"/>
        </w:rPr>
        <w:t>).</w:t>
      </w:r>
      <w:r w:rsidR="00184FFC" w:rsidRPr="00152EEA">
        <w:rPr>
          <w:rFonts w:cs="Arial"/>
          <w:bCs/>
          <w:color w:val="000000"/>
          <w:sz w:val="24"/>
        </w:rPr>
        <w:t xml:space="preserve">El protocolo TMERT, es un modelo que entrega directrices para la prevención y control de los Trastornos </w:t>
      </w:r>
      <w:proofErr w:type="spellStart"/>
      <w:r w:rsidR="00184FFC" w:rsidRPr="00152EEA">
        <w:rPr>
          <w:rFonts w:cs="Arial"/>
          <w:bCs/>
          <w:color w:val="000000"/>
          <w:sz w:val="24"/>
        </w:rPr>
        <w:t>Musculoequeléticos</w:t>
      </w:r>
      <w:proofErr w:type="spellEnd"/>
      <w:r w:rsidR="00184FFC" w:rsidRPr="00152EEA">
        <w:rPr>
          <w:rFonts w:cs="Arial"/>
          <w:bCs/>
          <w:color w:val="000000"/>
          <w:sz w:val="24"/>
        </w:rPr>
        <w:t xml:space="preserve"> (TME) de extremidades superiores en las empresas. Contempla la identificación y evaluación de factores de riesgo biomecánicos (repetición, fuerza y postura), organizacionales y psicosociales en los puestos de trabajo/tareas, además de la vigilancia a la salud de los trabajadores expuestos</w:t>
      </w:r>
      <w:r w:rsidR="00EE45EE" w:rsidRPr="00152EEA">
        <w:rPr>
          <w:rFonts w:cs="Arial"/>
          <w:bCs/>
          <w:color w:val="000000"/>
          <w:sz w:val="24"/>
        </w:rPr>
        <w:t xml:space="preserve">. Cabe señalar que dentro de las actividades y/o tareas que realizan los trabajadores en el proceso productivo de </w:t>
      </w:r>
      <w:proofErr w:type="spellStart"/>
      <w:r w:rsidR="00EE45EE" w:rsidRPr="00152EEA">
        <w:rPr>
          <w:rFonts w:cs="Arial"/>
          <w:bCs/>
          <w:color w:val="000000"/>
          <w:sz w:val="24"/>
        </w:rPr>
        <w:t>chorito</w:t>
      </w:r>
      <w:proofErr w:type="spellEnd"/>
      <w:r w:rsidR="00EE45EE" w:rsidRPr="00152EEA">
        <w:rPr>
          <w:rFonts w:cs="Arial"/>
          <w:bCs/>
          <w:color w:val="000000"/>
          <w:sz w:val="24"/>
        </w:rPr>
        <w:t xml:space="preserve"> ejecutan movimientos repetitivos y fuerza, por lo que es necesario evaluar e identificar estos riesgos.</w:t>
      </w:r>
      <w:r w:rsidR="00EE45EE">
        <w:rPr>
          <w:rFonts w:cs="Arial"/>
          <w:bCs/>
          <w:color w:val="000000"/>
          <w:sz w:val="24"/>
        </w:rPr>
        <w:t xml:space="preserve"> </w:t>
      </w:r>
    </w:p>
    <w:p w14:paraId="316938AA" w14:textId="77777777" w:rsidR="008B2FC9" w:rsidRDefault="008B2FC9" w:rsidP="004A28A7">
      <w:pPr>
        <w:pStyle w:val="Encabezado"/>
        <w:spacing w:line="276" w:lineRule="auto"/>
        <w:ind w:firstLine="709"/>
        <w:jc w:val="both"/>
        <w:rPr>
          <w:rFonts w:cs="Arial"/>
          <w:bCs/>
          <w:color w:val="000000"/>
          <w:sz w:val="24"/>
        </w:rPr>
      </w:pPr>
    </w:p>
    <w:p w14:paraId="74110682" w14:textId="5EA22EBC" w:rsidR="00EE45EE" w:rsidRPr="00152EEA" w:rsidRDefault="008B2FC9" w:rsidP="004A28A7">
      <w:pPr>
        <w:pStyle w:val="Encabezado"/>
        <w:spacing w:line="276" w:lineRule="auto"/>
        <w:ind w:firstLine="709"/>
        <w:jc w:val="both"/>
        <w:rPr>
          <w:rFonts w:cs="Arial"/>
          <w:bCs/>
          <w:color w:val="000000"/>
          <w:sz w:val="24"/>
        </w:rPr>
      </w:pPr>
      <w:r>
        <w:rPr>
          <w:rFonts w:cs="Arial"/>
          <w:bCs/>
          <w:color w:val="000000"/>
          <w:sz w:val="24"/>
        </w:rPr>
        <w:t>El 1</w:t>
      </w:r>
      <w:r w:rsidR="00FA3E0B" w:rsidRPr="00152EEA">
        <w:rPr>
          <w:rFonts w:cs="Arial"/>
          <w:bCs/>
          <w:color w:val="000000"/>
          <w:sz w:val="24"/>
        </w:rPr>
        <w:t xml:space="preserve">00% </w:t>
      </w:r>
      <w:r>
        <w:rPr>
          <w:rFonts w:cs="Arial"/>
          <w:bCs/>
          <w:color w:val="000000"/>
          <w:sz w:val="24"/>
        </w:rPr>
        <w:t xml:space="preserve">y 10% de los centros categoría MYPE y Grande respectivamente no cumplen </w:t>
      </w:r>
      <w:r w:rsidR="00FA3E0B" w:rsidRPr="00152EEA">
        <w:rPr>
          <w:rFonts w:cs="Arial"/>
          <w:bCs/>
          <w:color w:val="000000"/>
          <w:sz w:val="24"/>
        </w:rPr>
        <w:t xml:space="preserve">con </w:t>
      </w:r>
      <w:r w:rsidR="00EE45EE" w:rsidRPr="00152EEA">
        <w:rPr>
          <w:rFonts w:cs="Arial"/>
          <w:bCs/>
          <w:color w:val="000000"/>
          <w:sz w:val="24"/>
        </w:rPr>
        <w:t xml:space="preserve">el </w:t>
      </w:r>
      <w:r w:rsidR="00190ADE" w:rsidRPr="00152EEA">
        <w:rPr>
          <w:rFonts w:cs="Arial"/>
          <w:bCs/>
          <w:color w:val="000000"/>
          <w:sz w:val="24"/>
        </w:rPr>
        <w:t>protocolo PREXOR (Protocolo de exposición ocupacional a ruido)</w:t>
      </w:r>
      <w:r w:rsidR="0068122F">
        <w:rPr>
          <w:rFonts w:cs="Arial"/>
          <w:bCs/>
          <w:color w:val="000000"/>
          <w:sz w:val="24"/>
        </w:rPr>
        <w:t xml:space="preserve"> </w:t>
      </w:r>
      <w:r w:rsidR="004A3448" w:rsidRPr="004A3448">
        <w:rPr>
          <w:rFonts w:cs="Arial"/>
          <w:bCs/>
          <w:color w:val="000000"/>
          <w:sz w:val="24"/>
        </w:rPr>
        <w:t>(Figura 35</w:t>
      </w:r>
      <w:r w:rsidR="00C238A2">
        <w:rPr>
          <w:rFonts w:cs="Arial"/>
          <w:bCs/>
          <w:color w:val="000000"/>
          <w:sz w:val="24"/>
        </w:rPr>
        <w:t>-36</w:t>
      </w:r>
      <w:r w:rsidR="004A3448" w:rsidRPr="004A3448">
        <w:rPr>
          <w:rFonts w:cs="Arial"/>
          <w:bCs/>
          <w:color w:val="000000"/>
          <w:sz w:val="24"/>
        </w:rPr>
        <w:t>).</w:t>
      </w:r>
      <w:r>
        <w:rPr>
          <w:rFonts w:cs="Arial"/>
          <w:bCs/>
          <w:color w:val="000000"/>
          <w:sz w:val="24"/>
        </w:rPr>
        <w:t>El protocolo PREXOR</w:t>
      </w:r>
      <w:r w:rsidR="00FA3E0B" w:rsidRPr="00152EEA">
        <w:rPr>
          <w:rFonts w:cs="Arial"/>
          <w:bCs/>
          <w:color w:val="000000"/>
          <w:sz w:val="24"/>
        </w:rPr>
        <w:t xml:space="preserve"> se aplica a todos los trabajadores y trabajadoras expuestos ocupacionalmente a ruido, quienes debido a la actividad que desempeñan, pueden desarrollar un Hipoacusia </w:t>
      </w:r>
      <w:proofErr w:type="spellStart"/>
      <w:r w:rsidR="00FA3E0B" w:rsidRPr="00152EEA">
        <w:rPr>
          <w:rFonts w:cs="Arial"/>
          <w:bCs/>
          <w:color w:val="000000"/>
          <w:sz w:val="24"/>
        </w:rPr>
        <w:t>Sensorioneural</w:t>
      </w:r>
      <w:proofErr w:type="spellEnd"/>
      <w:r w:rsidR="00FA3E0B" w:rsidRPr="00152EEA">
        <w:rPr>
          <w:rFonts w:cs="Arial"/>
          <w:bCs/>
          <w:color w:val="000000"/>
          <w:sz w:val="24"/>
        </w:rPr>
        <w:t xml:space="preserve"> Laboral (HSNL) por dicha exposición. El objetivo del protocolo PREXOR es establecer criterios comunes sobre el concepto de exposición, para efectuar el seguimiento y establecer los plazos en las </w:t>
      </w:r>
      <w:r w:rsidR="00FA3E0B" w:rsidRPr="00152EEA">
        <w:rPr>
          <w:rFonts w:cs="Arial"/>
          <w:bCs/>
          <w:color w:val="000000"/>
          <w:sz w:val="24"/>
        </w:rPr>
        <w:lastRenderedPageBreak/>
        <w:t>acciones preventivas y sanitarias que realicen los administradores de la Ley N° 16.744, las empresas y los establecimientos de salud en general.</w:t>
      </w:r>
      <w:r w:rsidR="004269DD" w:rsidRPr="00152EEA">
        <w:rPr>
          <w:rFonts w:cs="Arial"/>
          <w:bCs/>
          <w:color w:val="000000"/>
          <w:sz w:val="24"/>
        </w:rPr>
        <w:t xml:space="preserve"> Los trabajadores </w:t>
      </w:r>
      <w:r w:rsidR="00210073" w:rsidRPr="00152EEA">
        <w:rPr>
          <w:rFonts w:cs="Arial"/>
          <w:bCs/>
          <w:color w:val="000000"/>
          <w:sz w:val="24"/>
        </w:rPr>
        <w:t>de planta</w:t>
      </w:r>
      <w:r w:rsidR="004269DD" w:rsidRPr="00152EEA">
        <w:rPr>
          <w:rFonts w:cs="Arial"/>
          <w:bCs/>
          <w:color w:val="000000"/>
          <w:sz w:val="24"/>
        </w:rPr>
        <w:t>s de proceso</w:t>
      </w:r>
      <w:r w:rsidR="00210073" w:rsidRPr="00152EEA">
        <w:rPr>
          <w:rFonts w:cs="Arial"/>
          <w:bCs/>
          <w:color w:val="000000"/>
          <w:sz w:val="24"/>
        </w:rPr>
        <w:t xml:space="preserve"> se encuentran</w:t>
      </w:r>
      <w:r w:rsidR="00FA3E0B" w:rsidRPr="00152EEA">
        <w:rPr>
          <w:rFonts w:cs="Arial"/>
          <w:bCs/>
          <w:color w:val="000000"/>
          <w:sz w:val="24"/>
        </w:rPr>
        <w:t xml:space="preserve"> constantemente expuestos durante toda la jornada laboral a las emisiones de ruido</w:t>
      </w:r>
      <w:r w:rsidR="004269DD" w:rsidRPr="00152EEA">
        <w:rPr>
          <w:rFonts w:cs="Arial"/>
          <w:bCs/>
          <w:color w:val="000000"/>
          <w:sz w:val="24"/>
        </w:rPr>
        <w:t>, las cuales son</w:t>
      </w:r>
      <w:r w:rsidR="00FA3E0B" w:rsidRPr="00152EEA">
        <w:rPr>
          <w:rFonts w:cs="Arial"/>
          <w:bCs/>
          <w:color w:val="000000"/>
          <w:sz w:val="24"/>
        </w:rPr>
        <w:t xml:space="preserve"> generadas por equipos y maquinarias </w:t>
      </w:r>
      <w:r w:rsidR="004269DD" w:rsidRPr="00152EEA">
        <w:rPr>
          <w:rFonts w:cs="Arial"/>
          <w:bCs/>
          <w:color w:val="000000"/>
          <w:sz w:val="24"/>
        </w:rPr>
        <w:t>utilizadas e</w:t>
      </w:r>
      <w:r w:rsidR="00210073" w:rsidRPr="00152EEA">
        <w:rPr>
          <w:rFonts w:cs="Arial"/>
          <w:bCs/>
          <w:color w:val="000000"/>
          <w:sz w:val="24"/>
        </w:rPr>
        <w:t xml:space="preserve">n el </w:t>
      </w:r>
      <w:r w:rsidR="00FA3E0B" w:rsidRPr="00152EEA">
        <w:rPr>
          <w:rFonts w:cs="Arial"/>
          <w:bCs/>
          <w:color w:val="000000"/>
          <w:sz w:val="24"/>
        </w:rPr>
        <w:t>proceso</w:t>
      </w:r>
      <w:r w:rsidR="00210073" w:rsidRPr="00152EEA">
        <w:rPr>
          <w:rFonts w:cs="Arial"/>
          <w:bCs/>
          <w:color w:val="000000"/>
          <w:sz w:val="24"/>
        </w:rPr>
        <w:t xml:space="preserve"> productivo</w:t>
      </w:r>
      <w:r w:rsidR="004269DD" w:rsidRPr="00152EEA">
        <w:rPr>
          <w:rFonts w:cs="Arial"/>
          <w:bCs/>
          <w:color w:val="000000"/>
          <w:sz w:val="24"/>
        </w:rPr>
        <w:t>.</w:t>
      </w:r>
    </w:p>
    <w:p w14:paraId="0DCA10CF" w14:textId="77777777" w:rsidR="00FA3E0B" w:rsidRPr="00152EEA" w:rsidRDefault="00FA3E0B" w:rsidP="009F1F9C">
      <w:pPr>
        <w:pStyle w:val="Encabezado"/>
        <w:spacing w:line="276" w:lineRule="auto"/>
        <w:jc w:val="both"/>
        <w:rPr>
          <w:rFonts w:cs="Arial"/>
          <w:bCs/>
          <w:color w:val="000000"/>
          <w:sz w:val="24"/>
        </w:rPr>
      </w:pPr>
    </w:p>
    <w:p w14:paraId="6B65D618" w14:textId="4B3F8370" w:rsidR="00184FFC" w:rsidRPr="00152EEA" w:rsidRDefault="00FA3E0B" w:rsidP="004A28A7">
      <w:pPr>
        <w:pStyle w:val="Encabezado"/>
        <w:spacing w:line="276" w:lineRule="auto"/>
        <w:ind w:firstLine="709"/>
        <w:jc w:val="both"/>
        <w:rPr>
          <w:rFonts w:cs="Arial"/>
          <w:bCs/>
          <w:color w:val="000000"/>
          <w:sz w:val="24"/>
        </w:rPr>
      </w:pPr>
      <w:r w:rsidRPr="00152EEA">
        <w:rPr>
          <w:rFonts w:cs="Arial"/>
          <w:bCs/>
          <w:color w:val="000000"/>
          <w:sz w:val="24"/>
        </w:rPr>
        <w:t>Al igual que en los dos casos ante</w:t>
      </w:r>
      <w:r w:rsidR="004269DD" w:rsidRPr="00152EEA">
        <w:rPr>
          <w:rFonts w:cs="Arial"/>
          <w:bCs/>
          <w:color w:val="000000"/>
          <w:sz w:val="24"/>
        </w:rPr>
        <w:t xml:space="preserve">riores, </w:t>
      </w:r>
      <w:r w:rsidR="0023429A">
        <w:rPr>
          <w:rFonts w:cs="Arial"/>
          <w:bCs/>
          <w:color w:val="000000"/>
          <w:sz w:val="24"/>
        </w:rPr>
        <w:t xml:space="preserve">el 100% de </w:t>
      </w:r>
      <w:r w:rsidR="004269DD" w:rsidRPr="00152EEA">
        <w:rPr>
          <w:rFonts w:cs="Arial"/>
          <w:bCs/>
          <w:color w:val="000000"/>
          <w:sz w:val="24"/>
        </w:rPr>
        <w:t>las empresas</w:t>
      </w:r>
      <w:r w:rsidR="0023429A">
        <w:rPr>
          <w:rFonts w:cs="Arial"/>
          <w:bCs/>
          <w:color w:val="000000"/>
          <w:sz w:val="24"/>
        </w:rPr>
        <w:t xml:space="preserve"> MYPE</w:t>
      </w:r>
      <w:r w:rsidR="004269DD" w:rsidRPr="00152EEA">
        <w:rPr>
          <w:rFonts w:cs="Arial"/>
          <w:bCs/>
          <w:color w:val="000000"/>
          <w:sz w:val="24"/>
        </w:rPr>
        <w:t xml:space="preserve"> </w:t>
      </w:r>
      <w:r w:rsidR="0023429A">
        <w:rPr>
          <w:rFonts w:cs="Arial"/>
          <w:bCs/>
          <w:color w:val="000000"/>
          <w:sz w:val="24"/>
        </w:rPr>
        <w:t xml:space="preserve">y el 10% de los centros de cultivo Grande, no </w:t>
      </w:r>
      <w:r w:rsidR="004269DD" w:rsidRPr="00152EEA">
        <w:rPr>
          <w:rFonts w:cs="Arial"/>
          <w:bCs/>
          <w:color w:val="000000"/>
          <w:sz w:val="24"/>
        </w:rPr>
        <w:t xml:space="preserve">cumplen </w:t>
      </w:r>
      <w:r w:rsidR="0023429A">
        <w:rPr>
          <w:rFonts w:cs="Arial"/>
          <w:bCs/>
          <w:color w:val="000000"/>
          <w:sz w:val="24"/>
        </w:rPr>
        <w:t>con</w:t>
      </w:r>
      <w:r w:rsidRPr="00152EEA">
        <w:rPr>
          <w:rFonts w:cs="Arial"/>
          <w:bCs/>
          <w:color w:val="000000"/>
          <w:sz w:val="24"/>
        </w:rPr>
        <w:t xml:space="preserve"> </w:t>
      </w:r>
      <w:r w:rsidR="00210073" w:rsidRPr="00152EEA">
        <w:rPr>
          <w:rFonts w:cs="Arial"/>
          <w:bCs/>
          <w:color w:val="000000"/>
          <w:sz w:val="24"/>
        </w:rPr>
        <w:t xml:space="preserve">lo establecido en </w:t>
      </w:r>
      <w:r w:rsidRPr="00152EEA">
        <w:rPr>
          <w:rFonts w:cs="Arial"/>
          <w:bCs/>
          <w:color w:val="000000"/>
          <w:sz w:val="24"/>
        </w:rPr>
        <w:t xml:space="preserve">el </w:t>
      </w:r>
      <w:r w:rsidR="00190ADE" w:rsidRPr="00152EEA">
        <w:rPr>
          <w:rFonts w:cs="Arial"/>
          <w:bCs/>
          <w:color w:val="000000"/>
          <w:sz w:val="24"/>
        </w:rPr>
        <w:t>Protocolo Psicosocial.</w:t>
      </w:r>
      <w:r w:rsidR="007C2A2A" w:rsidRPr="00152EEA">
        <w:rPr>
          <w:rFonts w:cs="Arial"/>
          <w:bCs/>
          <w:color w:val="000000"/>
          <w:sz w:val="24"/>
        </w:rPr>
        <w:t xml:space="preserve"> </w:t>
      </w:r>
      <w:r w:rsidR="004A3448" w:rsidRPr="004A3448">
        <w:rPr>
          <w:rFonts w:cs="Arial"/>
          <w:bCs/>
          <w:color w:val="000000"/>
          <w:sz w:val="24"/>
        </w:rPr>
        <w:t>(Figura 35</w:t>
      </w:r>
      <w:r w:rsidR="00C238A2">
        <w:rPr>
          <w:rFonts w:cs="Arial"/>
          <w:bCs/>
          <w:color w:val="000000"/>
          <w:sz w:val="24"/>
        </w:rPr>
        <w:t>-36</w:t>
      </w:r>
      <w:r w:rsidR="004A3448" w:rsidRPr="004A3448">
        <w:rPr>
          <w:rFonts w:cs="Arial"/>
          <w:bCs/>
          <w:color w:val="000000"/>
          <w:sz w:val="24"/>
        </w:rPr>
        <w:t>).</w:t>
      </w:r>
      <w:r w:rsidR="004A3448">
        <w:rPr>
          <w:rFonts w:cs="Arial"/>
          <w:bCs/>
          <w:color w:val="000000"/>
          <w:sz w:val="24"/>
        </w:rPr>
        <w:t xml:space="preserve"> </w:t>
      </w:r>
      <w:r w:rsidR="004269DD" w:rsidRPr="00152EEA">
        <w:rPr>
          <w:rFonts w:cs="Arial"/>
          <w:bCs/>
          <w:color w:val="000000"/>
          <w:sz w:val="24"/>
        </w:rPr>
        <w:t>El Protocolo P</w:t>
      </w:r>
      <w:r w:rsidR="00CE6575" w:rsidRPr="00152EEA">
        <w:rPr>
          <w:rFonts w:cs="Arial"/>
          <w:bCs/>
          <w:color w:val="000000"/>
          <w:sz w:val="24"/>
        </w:rPr>
        <w:t>sicosocial es una herramienta reglamentaria y unificadora de criterios en el proceso de identificación y evaluación de factores de riesgo de las tareas laborales y puestos de trabajo, como también de su control y seguimiento estableciendo una metodología con un estándar mínimo de salud del ambiente psicosocial laboral. El objetivo de</w:t>
      </w:r>
      <w:r w:rsidR="004269DD" w:rsidRPr="00152EEA">
        <w:rPr>
          <w:rFonts w:cs="Arial"/>
          <w:bCs/>
          <w:color w:val="000000"/>
          <w:sz w:val="24"/>
        </w:rPr>
        <w:t>l</w:t>
      </w:r>
      <w:r w:rsidR="00CE6575" w:rsidRPr="00152EEA">
        <w:rPr>
          <w:rFonts w:cs="Arial"/>
          <w:bCs/>
          <w:color w:val="000000"/>
          <w:sz w:val="24"/>
        </w:rPr>
        <w:t xml:space="preserve"> protocolo es identificar la presencia y nivel de exposición a riesgos psicosociales al interior de una organización, empresas, organismos públicos y privados que se </w:t>
      </w:r>
      <w:r w:rsidR="004269DD" w:rsidRPr="00152EEA">
        <w:rPr>
          <w:rFonts w:cs="Arial"/>
          <w:bCs/>
          <w:color w:val="000000"/>
          <w:sz w:val="24"/>
        </w:rPr>
        <w:t xml:space="preserve">encuentren </w:t>
      </w:r>
      <w:r w:rsidR="00CE6575" w:rsidRPr="00152EEA">
        <w:rPr>
          <w:rFonts w:cs="Arial"/>
          <w:bCs/>
          <w:color w:val="000000"/>
          <w:sz w:val="24"/>
        </w:rPr>
        <w:t>legal y forma</w:t>
      </w:r>
      <w:r w:rsidR="004269DD" w:rsidRPr="00152EEA">
        <w:rPr>
          <w:rFonts w:cs="Arial"/>
          <w:bCs/>
          <w:color w:val="000000"/>
          <w:sz w:val="24"/>
        </w:rPr>
        <w:t xml:space="preserve">lmente constituidas, </w:t>
      </w:r>
      <w:r w:rsidR="00CE6575" w:rsidRPr="00152EEA">
        <w:rPr>
          <w:rFonts w:cs="Arial"/>
          <w:bCs/>
          <w:color w:val="000000"/>
          <w:sz w:val="24"/>
        </w:rPr>
        <w:t>con independencia del rubro o sector de la producción en la cual participen, o del número de sus trabajadores.</w:t>
      </w:r>
      <w:r w:rsidR="00CE6575" w:rsidRPr="00152EEA">
        <w:t xml:space="preserve"> </w:t>
      </w:r>
    </w:p>
    <w:p w14:paraId="75940DA9" w14:textId="77777777" w:rsidR="00CE6575" w:rsidRPr="00152EEA" w:rsidRDefault="00CE6575" w:rsidP="009F1F9C">
      <w:pPr>
        <w:pStyle w:val="Encabezado"/>
        <w:spacing w:line="276" w:lineRule="auto"/>
        <w:jc w:val="both"/>
        <w:rPr>
          <w:rFonts w:cs="Arial"/>
          <w:bCs/>
          <w:color w:val="000000"/>
          <w:sz w:val="24"/>
        </w:rPr>
      </w:pPr>
    </w:p>
    <w:p w14:paraId="7DE63EA2" w14:textId="5AF09E28" w:rsidR="00190ADE" w:rsidRDefault="00190ADE" w:rsidP="004A28A7">
      <w:pPr>
        <w:pStyle w:val="Encabezado"/>
        <w:spacing w:line="276" w:lineRule="auto"/>
        <w:ind w:firstLine="709"/>
        <w:jc w:val="both"/>
        <w:rPr>
          <w:rFonts w:cs="Arial"/>
          <w:bCs/>
          <w:color w:val="000000"/>
          <w:sz w:val="24"/>
        </w:rPr>
      </w:pPr>
      <w:r w:rsidRPr="00152EEA">
        <w:rPr>
          <w:rFonts w:cs="Arial"/>
          <w:bCs/>
          <w:color w:val="000000"/>
          <w:sz w:val="24"/>
        </w:rPr>
        <w:t>Los factores psicosociales en el trabajo pueden ser elementos positivos que llevan al bienestar de los trabajadores, y secundariamente a un aumento de su rendimiento laboral, así como también elementos negativos, constituyéndose en este caso en riesgos para la salud y relacionados entre otros</w:t>
      </w:r>
      <w:r w:rsidR="00B97DE4" w:rsidRPr="00152EEA">
        <w:rPr>
          <w:rFonts w:cs="Arial"/>
          <w:bCs/>
          <w:color w:val="000000"/>
          <w:sz w:val="24"/>
        </w:rPr>
        <w:t>. Cabe señalar, que los</w:t>
      </w:r>
      <w:r w:rsidRPr="00152EEA">
        <w:rPr>
          <w:rFonts w:cs="Arial"/>
          <w:bCs/>
          <w:color w:val="000000"/>
          <w:sz w:val="24"/>
        </w:rPr>
        <w:t xml:space="preserve"> protocolos</w:t>
      </w:r>
      <w:r w:rsidR="00B97DE4" w:rsidRPr="00152EEA">
        <w:rPr>
          <w:rFonts w:cs="Arial"/>
          <w:bCs/>
          <w:color w:val="000000"/>
          <w:sz w:val="24"/>
        </w:rPr>
        <w:t xml:space="preserve"> mencionados anteriormente</w:t>
      </w:r>
      <w:r w:rsidRPr="00152EEA">
        <w:rPr>
          <w:rFonts w:cs="Arial"/>
          <w:bCs/>
          <w:color w:val="000000"/>
          <w:sz w:val="24"/>
        </w:rPr>
        <w:t xml:space="preserve"> están sien</w:t>
      </w:r>
      <w:r w:rsidR="00B97DE4" w:rsidRPr="00152EEA">
        <w:rPr>
          <w:rFonts w:cs="Arial"/>
          <w:bCs/>
          <w:color w:val="000000"/>
          <w:sz w:val="24"/>
        </w:rPr>
        <w:t>do fiscalizados fuertemente</w:t>
      </w:r>
      <w:r w:rsidRPr="00152EEA">
        <w:rPr>
          <w:rFonts w:cs="Arial"/>
          <w:bCs/>
          <w:color w:val="000000"/>
          <w:sz w:val="24"/>
        </w:rPr>
        <w:t xml:space="preserve"> el último tiempo</w:t>
      </w:r>
      <w:r w:rsidR="00CE6575" w:rsidRPr="00152EEA">
        <w:rPr>
          <w:rFonts w:cs="Arial"/>
          <w:bCs/>
          <w:color w:val="000000"/>
          <w:sz w:val="24"/>
        </w:rPr>
        <w:t xml:space="preserve"> por la Autoridad Sanitaria e</w:t>
      </w:r>
      <w:r w:rsidRPr="00152EEA">
        <w:rPr>
          <w:rFonts w:cs="Arial"/>
          <w:bCs/>
          <w:color w:val="000000"/>
          <w:sz w:val="24"/>
        </w:rPr>
        <w:t xml:space="preserve"> inspección de Trabajo.</w:t>
      </w:r>
    </w:p>
    <w:p w14:paraId="7BA8B96F" w14:textId="77777777" w:rsidR="00165F25" w:rsidRDefault="00165F25" w:rsidP="004A28A7">
      <w:pPr>
        <w:pStyle w:val="Encabezado"/>
        <w:spacing w:line="276" w:lineRule="auto"/>
        <w:ind w:firstLine="709"/>
        <w:jc w:val="both"/>
        <w:rPr>
          <w:rFonts w:cs="Arial"/>
          <w:bCs/>
          <w:color w:val="000000"/>
          <w:sz w:val="24"/>
        </w:rPr>
      </w:pPr>
    </w:p>
    <w:p w14:paraId="4E0D3A2D" w14:textId="5838FE26" w:rsidR="00E2705D" w:rsidRDefault="0023429A" w:rsidP="004A28A7">
      <w:pPr>
        <w:pStyle w:val="Encabezado"/>
        <w:spacing w:line="276" w:lineRule="auto"/>
        <w:ind w:firstLine="709"/>
        <w:jc w:val="both"/>
        <w:rPr>
          <w:rFonts w:cs="Arial"/>
          <w:bCs/>
          <w:color w:val="000000"/>
          <w:sz w:val="24"/>
        </w:rPr>
      </w:pPr>
      <w:r>
        <w:rPr>
          <w:rFonts w:cs="Arial"/>
          <w:bCs/>
          <w:color w:val="000000"/>
          <w:sz w:val="24"/>
        </w:rPr>
        <w:t xml:space="preserve">Finalmente, señalar que los centros de cultivo MYPE a diferencia de los centros de cultivo Grande, </w:t>
      </w:r>
      <w:r w:rsidR="00165F25">
        <w:rPr>
          <w:rFonts w:cs="Arial"/>
          <w:bCs/>
          <w:color w:val="000000"/>
          <w:sz w:val="24"/>
        </w:rPr>
        <w:t xml:space="preserve">requieren trabajar en conjunto con sus organismos administradores o mutualidades para cumplir con las exigencia de la normativa legal vigente en beneficio de la salud y seguridad ocupacional, ya que </w:t>
      </w:r>
      <w:r w:rsidR="001D7760">
        <w:rPr>
          <w:rFonts w:cs="Arial"/>
          <w:bCs/>
          <w:color w:val="000000"/>
          <w:sz w:val="24"/>
        </w:rPr>
        <w:t xml:space="preserve">todos los porcentajes de </w:t>
      </w:r>
      <w:r w:rsidR="00B77D09">
        <w:rPr>
          <w:rFonts w:cs="Arial"/>
          <w:bCs/>
          <w:color w:val="000000"/>
          <w:sz w:val="24"/>
        </w:rPr>
        <w:t xml:space="preserve">cumplimiento </w:t>
      </w:r>
      <w:r w:rsidR="00B77D09">
        <w:rPr>
          <w:rFonts w:cs="Arial"/>
          <w:bCs/>
          <w:color w:val="000000"/>
          <w:sz w:val="24"/>
        </w:rPr>
        <w:lastRenderedPageBreak/>
        <w:t>evidenciado</w:t>
      </w:r>
      <w:r w:rsidR="001D7760">
        <w:rPr>
          <w:rFonts w:cs="Arial"/>
          <w:bCs/>
          <w:color w:val="000000"/>
          <w:sz w:val="24"/>
        </w:rPr>
        <w:t>s</w:t>
      </w:r>
      <w:r w:rsidR="00165F25">
        <w:rPr>
          <w:rFonts w:cs="Arial"/>
          <w:bCs/>
          <w:color w:val="000000"/>
          <w:sz w:val="24"/>
        </w:rPr>
        <w:t xml:space="preserve"> por la categoría MYPE en todos los aspectos analizados</w:t>
      </w:r>
      <w:r w:rsidR="001D7760">
        <w:rPr>
          <w:rFonts w:cs="Arial"/>
          <w:bCs/>
          <w:color w:val="000000"/>
          <w:sz w:val="24"/>
        </w:rPr>
        <w:t xml:space="preserve"> fueron bajos.</w:t>
      </w:r>
    </w:p>
    <w:p w14:paraId="662EBEF9" w14:textId="74B1E535" w:rsidR="007C2A2A" w:rsidRDefault="00112C40" w:rsidP="00112C40">
      <w:pPr>
        <w:pStyle w:val="Encabezado"/>
        <w:spacing w:line="276" w:lineRule="auto"/>
        <w:ind w:firstLine="709"/>
        <w:jc w:val="both"/>
        <w:rPr>
          <w:rFonts w:cs="Arial"/>
          <w:bCs/>
          <w:color w:val="000000"/>
          <w:sz w:val="24"/>
        </w:rPr>
      </w:pPr>
      <w:r>
        <w:rPr>
          <w:noProof/>
          <w:lang w:val="es-CL" w:eastAsia="es-CL"/>
        </w:rPr>
        <w:lastRenderedPageBreak/>
        <w:drawing>
          <wp:inline distT="0" distB="0" distL="0" distR="0" wp14:anchorId="134FC0EB" wp14:editId="39C3F0EA">
            <wp:extent cx="4994695" cy="7668883"/>
            <wp:effectExtent l="0" t="0" r="15875" b="27940"/>
            <wp:docPr id="96" name="Gráfico 96"/>
            <wp:cNvGraphicFramePr/>
            <a:graphic xmlns:a="http://schemas.openxmlformats.org/drawingml/2006/main">
              <a:graphicData uri="http://schemas.openxmlformats.org/drawingml/2006/chart">
                <c:chart xmlns:c="http://schemas.openxmlformats.org/drawingml/2006/chart" xmlns:r="http://schemas.openxmlformats.org/officeDocument/2006/relationships" r:id="rId83"/>
              </a:graphicData>
            </a:graphic>
          </wp:inline>
        </w:drawing>
      </w:r>
      <w:r>
        <w:rPr>
          <w:rFonts w:cs="Arial"/>
          <w:b/>
          <w:bCs/>
          <w:color w:val="000000"/>
          <w:sz w:val="24"/>
        </w:rPr>
        <w:t>F</w:t>
      </w:r>
      <w:r w:rsidR="007C2A2A" w:rsidRPr="007F6A01">
        <w:rPr>
          <w:rFonts w:cs="Arial"/>
          <w:b/>
          <w:bCs/>
          <w:color w:val="000000"/>
          <w:sz w:val="24"/>
        </w:rPr>
        <w:t xml:space="preserve">igura </w:t>
      </w:r>
      <w:r w:rsidR="0068122F">
        <w:rPr>
          <w:rFonts w:cs="Arial"/>
          <w:b/>
          <w:bCs/>
          <w:color w:val="000000"/>
          <w:sz w:val="24"/>
        </w:rPr>
        <w:t>3</w:t>
      </w:r>
      <w:r w:rsidR="004A3448">
        <w:rPr>
          <w:rFonts w:cs="Arial"/>
          <w:b/>
          <w:bCs/>
          <w:color w:val="000000"/>
          <w:sz w:val="24"/>
        </w:rPr>
        <w:t>5</w:t>
      </w:r>
      <w:r w:rsidR="007C2A2A" w:rsidRPr="007F6A01">
        <w:rPr>
          <w:rFonts w:cs="Arial"/>
          <w:b/>
          <w:bCs/>
          <w:color w:val="000000"/>
          <w:sz w:val="24"/>
        </w:rPr>
        <w:t>.</w:t>
      </w:r>
      <w:r w:rsidR="007C2A2A">
        <w:rPr>
          <w:rFonts w:cs="Arial"/>
          <w:bCs/>
          <w:color w:val="000000"/>
          <w:sz w:val="24"/>
        </w:rPr>
        <w:t xml:space="preserve"> </w:t>
      </w:r>
      <w:r w:rsidR="00C238A2">
        <w:rPr>
          <w:rFonts w:cs="Arial"/>
          <w:bCs/>
          <w:color w:val="000000"/>
          <w:sz w:val="24"/>
        </w:rPr>
        <w:t xml:space="preserve">MYPE: </w:t>
      </w:r>
      <w:r w:rsidR="007C2A2A">
        <w:rPr>
          <w:rFonts w:cs="Arial"/>
          <w:bCs/>
          <w:color w:val="000000"/>
          <w:sz w:val="24"/>
        </w:rPr>
        <w:t>Seguridad ocupacional</w:t>
      </w:r>
      <w:r w:rsidR="0068122F">
        <w:rPr>
          <w:rFonts w:cs="Arial"/>
          <w:bCs/>
          <w:color w:val="000000"/>
          <w:sz w:val="24"/>
        </w:rPr>
        <w:t xml:space="preserve"> (%).</w:t>
      </w:r>
    </w:p>
    <w:p w14:paraId="1FF49113" w14:textId="64359D3A" w:rsidR="003E21BA" w:rsidRDefault="003E21BA" w:rsidP="00112C40">
      <w:pPr>
        <w:pStyle w:val="Encabezado"/>
        <w:spacing w:line="276" w:lineRule="auto"/>
        <w:ind w:firstLine="709"/>
        <w:jc w:val="both"/>
        <w:rPr>
          <w:rFonts w:cs="Arial"/>
          <w:bCs/>
          <w:color w:val="000000"/>
          <w:sz w:val="24"/>
        </w:rPr>
      </w:pPr>
      <w:r>
        <w:rPr>
          <w:noProof/>
          <w:lang w:val="es-CL" w:eastAsia="es-CL"/>
        </w:rPr>
        <w:lastRenderedPageBreak/>
        <w:drawing>
          <wp:inline distT="0" distB="0" distL="0" distR="0" wp14:anchorId="77DDB09B" wp14:editId="3D2E194F">
            <wp:extent cx="5184476" cy="7806906"/>
            <wp:effectExtent l="0" t="0" r="16510" b="22860"/>
            <wp:docPr id="97" name="Gráfico 97"/>
            <wp:cNvGraphicFramePr/>
            <a:graphic xmlns:a="http://schemas.openxmlformats.org/drawingml/2006/main">
              <a:graphicData uri="http://schemas.openxmlformats.org/drawingml/2006/chart">
                <c:chart xmlns:c="http://schemas.openxmlformats.org/drawingml/2006/chart" xmlns:r="http://schemas.openxmlformats.org/officeDocument/2006/relationships" r:id="rId84"/>
              </a:graphicData>
            </a:graphic>
          </wp:inline>
        </w:drawing>
      </w:r>
    </w:p>
    <w:p w14:paraId="372B572E" w14:textId="27660BDA" w:rsidR="00112C40" w:rsidRPr="00D53567" w:rsidRDefault="004A3448" w:rsidP="00112C40">
      <w:pPr>
        <w:pStyle w:val="Encabezado"/>
        <w:spacing w:line="276" w:lineRule="auto"/>
        <w:ind w:firstLine="709"/>
        <w:jc w:val="both"/>
        <w:rPr>
          <w:highlight w:val="yellow"/>
          <w:lang w:eastAsia="es-CL"/>
        </w:rPr>
      </w:pPr>
      <w:r>
        <w:rPr>
          <w:rFonts w:cs="Arial"/>
          <w:b/>
          <w:bCs/>
          <w:color w:val="000000"/>
          <w:sz w:val="24"/>
        </w:rPr>
        <w:lastRenderedPageBreak/>
        <w:t>F</w:t>
      </w:r>
      <w:r w:rsidRPr="007F6A01">
        <w:rPr>
          <w:rFonts w:cs="Arial"/>
          <w:b/>
          <w:bCs/>
          <w:color w:val="000000"/>
          <w:sz w:val="24"/>
        </w:rPr>
        <w:t xml:space="preserve">igura </w:t>
      </w:r>
      <w:r>
        <w:rPr>
          <w:rFonts w:cs="Arial"/>
          <w:b/>
          <w:bCs/>
          <w:color w:val="000000"/>
          <w:sz w:val="24"/>
        </w:rPr>
        <w:t>36</w:t>
      </w:r>
      <w:r w:rsidRPr="007F6A01">
        <w:rPr>
          <w:rFonts w:cs="Arial"/>
          <w:b/>
          <w:bCs/>
          <w:color w:val="000000"/>
          <w:sz w:val="24"/>
        </w:rPr>
        <w:t>.</w:t>
      </w:r>
      <w:r>
        <w:rPr>
          <w:rFonts w:cs="Arial"/>
          <w:bCs/>
          <w:color w:val="000000"/>
          <w:sz w:val="24"/>
        </w:rPr>
        <w:t xml:space="preserve"> </w:t>
      </w:r>
      <w:r w:rsidR="00706986">
        <w:rPr>
          <w:rFonts w:cs="Arial"/>
          <w:bCs/>
          <w:color w:val="000000"/>
          <w:sz w:val="24"/>
        </w:rPr>
        <w:t>Grande:</w:t>
      </w:r>
      <w:r w:rsidR="00C238A2">
        <w:rPr>
          <w:rFonts w:cs="Arial"/>
          <w:bCs/>
          <w:color w:val="000000"/>
          <w:sz w:val="24"/>
        </w:rPr>
        <w:t xml:space="preserve"> </w:t>
      </w:r>
      <w:r>
        <w:rPr>
          <w:rFonts w:cs="Arial"/>
          <w:bCs/>
          <w:color w:val="000000"/>
          <w:sz w:val="24"/>
        </w:rPr>
        <w:t>Seguridad ocupacional (%).</w:t>
      </w:r>
    </w:p>
    <w:p w14:paraId="32F7FE6A" w14:textId="77777777" w:rsidR="007C2A2A" w:rsidRPr="00F35F29" w:rsidRDefault="007C2A2A" w:rsidP="00190ADE">
      <w:pPr>
        <w:pStyle w:val="Encabezado"/>
        <w:jc w:val="both"/>
        <w:rPr>
          <w:rFonts w:cs="Arial"/>
          <w:bCs/>
          <w:color w:val="000000"/>
          <w:sz w:val="24"/>
        </w:rPr>
      </w:pPr>
    </w:p>
    <w:p w14:paraId="0FF461AD" w14:textId="77777777" w:rsidR="00190ADE" w:rsidRDefault="00190ADE" w:rsidP="001852D4">
      <w:pPr>
        <w:pStyle w:val="Encabezado"/>
        <w:jc w:val="both"/>
        <w:rPr>
          <w:rFonts w:cs="Arial"/>
          <w:bCs/>
          <w:color w:val="000000"/>
          <w:sz w:val="24"/>
        </w:rPr>
      </w:pPr>
    </w:p>
    <w:p w14:paraId="3258C826" w14:textId="77777777" w:rsidR="00190ADE" w:rsidRDefault="00190ADE" w:rsidP="001852D4">
      <w:pPr>
        <w:pStyle w:val="Encabezado"/>
        <w:jc w:val="both"/>
        <w:rPr>
          <w:rFonts w:cs="Arial"/>
          <w:bCs/>
          <w:color w:val="000000"/>
          <w:sz w:val="24"/>
        </w:rPr>
      </w:pPr>
    </w:p>
    <w:p w14:paraId="6B11A8D5" w14:textId="337C63F0" w:rsidR="00B362ED" w:rsidRPr="004B184E" w:rsidRDefault="00B362ED" w:rsidP="00E31A3F">
      <w:pPr>
        <w:pStyle w:val="Ttulo2"/>
        <w:rPr>
          <w:b w:val="0"/>
          <w:sz w:val="32"/>
          <w:szCs w:val="32"/>
          <w:lang w:eastAsia="es-CL"/>
        </w:rPr>
      </w:pPr>
      <w:bookmarkStart w:id="28" w:name="_Toc471999134"/>
      <w:r w:rsidRPr="004B184E">
        <w:rPr>
          <w:b w:val="0"/>
          <w:sz w:val="32"/>
          <w:szCs w:val="32"/>
          <w:lang w:eastAsia="es-CL"/>
        </w:rPr>
        <w:t>Conclusiones</w:t>
      </w:r>
      <w:bookmarkEnd w:id="28"/>
    </w:p>
    <w:p w14:paraId="1F86F2D6" w14:textId="77777777" w:rsidR="00B362ED" w:rsidRDefault="00B362ED" w:rsidP="001852D4">
      <w:pPr>
        <w:pStyle w:val="Encabezado"/>
        <w:jc w:val="both"/>
        <w:rPr>
          <w:lang w:eastAsia="es-CL"/>
        </w:rPr>
      </w:pPr>
    </w:p>
    <w:p w14:paraId="7F674499" w14:textId="77777777" w:rsidR="00B362ED" w:rsidRPr="00706986" w:rsidRDefault="00B362ED" w:rsidP="00B362ED">
      <w:pPr>
        <w:pStyle w:val="Encabezado"/>
        <w:jc w:val="both"/>
        <w:rPr>
          <w:rFonts w:cs="Arial"/>
          <w:bCs/>
          <w:color w:val="000000"/>
          <w:sz w:val="24"/>
        </w:rPr>
      </w:pPr>
      <w:r w:rsidRPr="00706986">
        <w:rPr>
          <w:rFonts w:cs="Arial"/>
          <w:bCs/>
          <w:color w:val="000000"/>
          <w:sz w:val="24"/>
        </w:rPr>
        <w:t>Las siguientes conclusiones se refieren al universo muestreado, 23 centros, y considerando los datos productivos del año 2015.</w:t>
      </w:r>
    </w:p>
    <w:p w14:paraId="37BFACCD" w14:textId="77777777" w:rsidR="00B362ED" w:rsidRPr="00706986" w:rsidRDefault="00B362ED" w:rsidP="00B362ED">
      <w:pPr>
        <w:pStyle w:val="Encabezado"/>
        <w:jc w:val="both"/>
        <w:rPr>
          <w:rFonts w:cs="Arial"/>
          <w:bCs/>
          <w:color w:val="000000"/>
          <w:sz w:val="24"/>
        </w:rPr>
      </w:pPr>
    </w:p>
    <w:p w14:paraId="0FD106A6" w14:textId="60F8BD22" w:rsidR="00706986" w:rsidRPr="00706986" w:rsidRDefault="00B362ED" w:rsidP="00B362ED">
      <w:pPr>
        <w:pStyle w:val="Encabezado"/>
        <w:jc w:val="both"/>
        <w:rPr>
          <w:rFonts w:cs="Arial"/>
          <w:bCs/>
          <w:sz w:val="24"/>
          <w:u w:val="single"/>
        </w:rPr>
      </w:pPr>
      <w:r w:rsidRPr="00706986">
        <w:rPr>
          <w:rFonts w:cs="Arial"/>
          <w:bCs/>
          <w:sz w:val="24"/>
          <w:u w:val="single"/>
        </w:rPr>
        <w:t>Fuerza laboral</w:t>
      </w:r>
    </w:p>
    <w:p w14:paraId="0A21C69F"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Los centros mantuvieron 202 trabajadores en total. Un 85% de estos, 172 trabajadores, fueron hombres y el restante 15%, 30 trabajadores, mujeres. Al analizar por segmentos, en el MYPES, el promedio es de 4 trabajadores hombres y 1 trabajador mujer, mientras que en el Grande este promedio asciende a 17 trabajadores hombres y 3 trabajadores mujeres.</w:t>
      </w:r>
    </w:p>
    <w:p w14:paraId="417CAF59" w14:textId="77777777" w:rsidR="00706986" w:rsidRPr="00706986" w:rsidRDefault="00706986" w:rsidP="00B362ED">
      <w:pPr>
        <w:pStyle w:val="Encabezado"/>
        <w:jc w:val="both"/>
        <w:rPr>
          <w:rFonts w:cs="Arial"/>
          <w:bCs/>
          <w:color w:val="000000"/>
          <w:sz w:val="24"/>
        </w:rPr>
      </w:pPr>
    </w:p>
    <w:p w14:paraId="4CCD7A55"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Un 81% de los trabajadores cuenta con contrato indefinido, mientras que el restante 19% cuenta con contrato temporal. Al analizar por segmentos, en el MYPES, el promedio de trabajadores con contrato indefinido es de 4 mientras que, en el Grande, este promedio asciende a 16 trabajadores. Con respecto al contrato temporal, el promedio de trabajadores en los centros MYPES es de 1 trabajador mientras que en el Grande de 4 trabajadores.</w:t>
      </w:r>
    </w:p>
    <w:p w14:paraId="675FB5AF" w14:textId="77777777" w:rsidR="00706986" w:rsidRPr="00706986" w:rsidRDefault="00706986" w:rsidP="00B362ED">
      <w:pPr>
        <w:pStyle w:val="Encabezado"/>
        <w:jc w:val="both"/>
        <w:rPr>
          <w:rFonts w:cs="Arial"/>
          <w:bCs/>
          <w:color w:val="000000"/>
          <w:sz w:val="24"/>
        </w:rPr>
      </w:pPr>
    </w:p>
    <w:p w14:paraId="01DAEE0B"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El número promedio de trabajadores por centro fue de 10 trabajadores. Al analizar por segmentos, en el MYPES el promedio es de 5 trabajadores mientras que, en el Grande, este promedio asciende a 20 trabajadores.</w:t>
      </w:r>
    </w:p>
    <w:p w14:paraId="5DC9D7EF" w14:textId="77777777" w:rsidR="00706986" w:rsidRPr="00706986" w:rsidRDefault="00706986" w:rsidP="00B362ED">
      <w:pPr>
        <w:pStyle w:val="Encabezado"/>
        <w:jc w:val="both"/>
        <w:rPr>
          <w:rFonts w:cs="Arial"/>
          <w:bCs/>
          <w:color w:val="000000"/>
          <w:sz w:val="24"/>
        </w:rPr>
      </w:pPr>
    </w:p>
    <w:p w14:paraId="46EAC355"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El 100% de los centros MYPES registran el nivel de escolaridad de sus trabajadores. Es así como un 43% ha cursado educación básica, un 49% enseñanza media, un 4% estudios superiores, un 3% enseñanza profesional técnica y un 1% enseñanza superior.  Un 80% de los centros Grande registran el nivel de escolaridad de sus trabajadores. Es así como un 64% ha cursado educación básica, un 34% enseñanza media y un 2% enseñanza profesional técnica. </w:t>
      </w:r>
    </w:p>
    <w:p w14:paraId="236DD21A" w14:textId="77777777" w:rsidR="00706986" w:rsidRPr="00706986" w:rsidRDefault="00706986" w:rsidP="00B362ED">
      <w:pPr>
        <w:pStyle w:val="Encabezado"/>
        <w:jc w:val="both"/>
        <w:rPr>
          <w:rFonts w:cs="Arial"/>
          <w:bCs/>
          <w:color w:val="000000"/>
          <w:sz w:val="24"/>
        </w:rPr>
      </w:pPr>
    </w:p>
    <w:p w14:paraId="37547B95"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Al considerar los datos de producción de los centros se obtienen una relación promedio de 157 Ton/trabajador en los centros MYPES y 122 Ton/trabajador en los centros Grande.</w:t>
      </w:r>
    </w:p>
    <w:p w14:paraId="3F15DC98" w14:textId="77777777" w:rsidR="00B362ED" w:rsidRPr="00706986" w:rsidRDefault="00B362ED" w:rsidP="00B362ED">
      <w:pPr>
        <w:pStyle w:val="Encabezado"/>
        <w:jc w:val="both"/>
        <w:rPr>
          <w:rFonts w:cs="Arial"/>
          <w:bCs/>
          <w:color w:val="000000"/>
          <w:sz w:val="24"/>
        </w:rPr>
      </w:pPr>
    </w:p>
    <w:p w14:paraId="44BC886A" w14:textId="77777777" w:rsidR="00B362ED" w:rsidRPr="00706986" w:rsidRDefault="00B362ED" w:rsidP="00B362ED">
      <w:pPr>
        <w:pStyle w:val="Encabezado"/>
        <w:jc w:val="both"/>
        <w:rPr>
          <w:rFonts w:cs="Arial"/>
          <w:bCs/>
          <w:sz w:val="24"/>
          <w:u w:val="single"/>
        </w:rPr>
      </w:pPr>
      <w:r w:rsidRPr="00706986">
        <w:rPr>
          <w:rFonts w:cs="Arial"/>
          <w:bCs/>
          <w:sz w:val="24"/>
          <w:u w:val="single"/>
        </w:rPr>
        <w:t>Insumos</w:t>
      </w:r>
    </w:p>
    <w:p w14:paraId="0FCA1224"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La mayor parte de los insumos utilizados por los centros están relacionados con insumos de producción, específicamente semillas, cabos, cabo </w:t>
      </w:r>
      <w:proofErr w:type="spellStart"/>
      <w:r w:rsidRPr="00706986">
        <w:rPr>
          <w:rFonts w:cs="Arial"/>
          <w:bCs/>
          <w:color w:val="000000"/>
          <w:sz w:val="24"/>
        </w:rPr>
        <w:t>mussels</w:t>
      </w:r>
      <w:proofErr w:type="spellEnd"/>
      <w:r w:rsidRPr="00706986">
        <w:rPr>
          <w:rFonts w:cs="Arial"/>
          <w:bCs/>
          <w:color w:val="000000"/>
          <w:sz w:val="24"/>
        </w:rPr>
        <w:t xml:space="preserve">, colector de red, boyas, flotadores de </w:t>
      </w:r>
      <w:proofErr w:type="spellStart"/>
      <w:r w:rsidRPr="00706986">
        <w:rPr>
          <w:rFonts w:cs="Arial"/>
          <w:bCs/>
          <w:color w:val="000000"/>
          <w:sz w:val="24"/>
        </w:rPr>
        <w:t>plumavit</w:t>
      </w:r>
      <w:proofErr w:type="spellEnd"/>
      <w:r w:rsidRPr="00706986">
        <w:rPr>
          <w:rFonts w:cs="Arial"/>
          <w:bCs/>
          <w:color w:val="000000"/>
          <w:sz w:val="24"/>
        </w:rPr>
        <w:t>, mallas de cosecha, sacos paperos y elementos de protección personal, como guantes, chalecos salvavidas, trajes de agua y botas.</w:t>
      </w:r>
    </w:p>
    <w:p w14:paraId="472206F6" w14:textId="77777777" w:rsidR="00706986" w:rsidRPr="00706986" w:rsidRDefault="00706986" w:rsidP="00B362ED">
      <w:pPr>
        <w:pStyle w:val="Encabezado"/>
        <w:jc w:val="both"/>
        <w:rPr>
          <w:rFonts w:cs="Arial"/>
          <w:bCs/>
          <w:color w:val="000000"/>
          <w:sz w:val="24"/>
        </w:rPr>
      </w:pPr>
    </w:p>
    <w:p w14:paraId="5626BB6E"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El principal insumo en promedio utilizado por los centros fue colector red seguido por cabos, cabo </w:t>
      </w:r>
      <w:proofErr w:type="spellStart"/>
      <w:r w:rsidRPr="00706986">
        <w:rPr>
          <w:rFonts w:cs="Arial"/>
          <w:bCs/>
          <w:color w:val="000000"/>
          <w:sz w:val="24"/>
        </w:rPr>
        <w:t>mussel</w:t>
      </w:r>
      <w:proofErr w:type="spellEnd"/>
      <w:r w:rsidRPr="00706986">
        <w:rPr>
          <w:rFonts w:cs="Arial"/>
          <w:bCs/>
          <w:color w:val="000000"/>
          <w:sz w:val="24"/>
        </w:rPr>
        <w:t xml:space="preserve"> y mallas de cosecha. El promedio utilizado de colector red en los centros MYPES fue de 175 metros por tonelada de MMPP producida (Mt/Ton) mientras que en los Grandes de 92 (Mt/Ton). El promedio utilizado cabos en los centros MYPES fue de 102 (Mt/Ton) mientras que en los Grandes de 55 (Mt/Ton).</w:t>
      </w:r>
    </w:p>
    <w:p w14:paraId="26F14853"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Los centros del segmento Grande utilizan 7,8 MT/Ton de cabo </w:t>
      </w:r>
      <w:proofErr w:type="spellStart"/>
      <w:r w:rsidRPr="00706986">
        <w:rPr>
          <w:rFonts w:cs="Arial"/>
          <w:bCs/>
          <w:color w:val="000000"/>
          <w:sz w:val="24"/>
        </w:rPr>
        <w:t>mussel</w:t>
      </w:r>
      <w:proofErr w:type="spellEnd"/>
      <w:r w:rsidRPr="00706986">
        <w:rPr>
          <w:rFonts w:cs="Arial"/>
          <w:bCs/>
          <w:color w:val="000000"/>
          <w:sz w:val="24"/>
        </w:rPr>
        <w:t xml:space="preserve"> mientras que en el segmento MYPES este insumo no fue utilizado.</w:t>
      </w:r>
    </w:p>
    <w:p w14:paraId="11705812" w14:textId="77777777" w:rsidR="00B362ED" w:rsidRPr="00706986" w:rsidRDefault="00B362ED" w:rsidP="00B362ED">
      <w:pPr>
        <w:pStyle w:val="Encabezado"/>
        <w:jc w:val="both"/>
        <w:rPr>
          <w:rFonts w:cs="Arial"/>
          <w:bCs/>
          <w:color w:val="000000"/>
          <w:sz w:val="24"/>
        </w:rPr>
      </w:pPr>
    </w:p>
    <w:p w14:paraId="1DEF5BB2" w14:textId="77777777" w:rsidR="00B362ED" w:rsidRPr="00706986" w:rsidRDefault="00B362ED" w:rsidP="00B362ED">
      <w:pPr>
        <w:pStyle w:val="Encabezado"/>
        <w:jc w:val="both"/>
        <w:rPr>
          <w:rFonts w:cs="Arial"/>
          <w:bCs/>
          <w:sz w:val="24"/>
          <w:u w:val="single"/>
        </w:rPr>
      </w:pPr>
      <w:r w:rsidRPr="00706986">
        <w:rPr>
          <w:rFonts w:cs="Arial"/>
          <w:bCs/>
          <w:sz w:val="24"/>
          <w:u w:val="single"/>
        </w:rPr>
        <w:t>Agua</w:t>
      </w:r>
    </w:p>
    <w:p w14:paraId="029D7523"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El consumo de agua promedio de los centros MYPES fue de 77 (M3) mientras que el de los Grandes de 126 (M3). </w:t>
      </w:r>
    </w:p>
    <w:p w14:paraId="6DA37F67"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Para producir una tonelada de MMPP los centros MYPES consumieron, en promedio, 0,09 (M3/Ton) de agua mientras que los Grandes 0,04 M3/Ton.</w:t>
      </w:r>
    </w:p>
    <w:p w14:paraId="345B7B65"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El agua consumida por los centros es utilizada principalmente para las instalaciones en tierra.</w:t>
      </w:r>
    </w:p>
    <w:p w14:paraId="3499AE87" w14:textId="77777777" w:rsidR="00B362ED" w:rsidRPr="00706986" w:rsidRDefault="00B362ED" w:rsidP="00B362ED">
      <w:pPr>
        <w:pStyle w:val="Encabezado"/>
        <w:jc w:val="both"/>
        <w:rPr>
          <w:rFonts w:cs="Arial"/>
          <w:bCs/>
          <w:color w:val="000000"/>
          <w:sz w:val="24"/>
        </w:rPr>
      </w:pPr>
    </w:p>
    <w:p w14:paraId="06C94CE9" w14:textId="77777777" w:rsidR="00B362ED" w:rsidRPr="00706986" w:rsidRDefault="00B362ED" w:rsidP="00B362ED">
      <w:pPr>
        <w:pStyle w:val="Encabezado"/>
        <w:jc w:val="both"/>
        <w:rPr>
          <w:rFonts w:cs="Arial"/>
          <w:bCs/>
          <w:sz w:val="24"/>
          <w:u w:val="single"/>
        </w:rPr>
      </w:pPr>
      <w:r w:rsidRPr="00706986">
        <w:rPr>
          <w:rFonts w:cs="Arial"/>
          <w:bCs/>
          <w:sz w:val="24"/>
          <w:u w:val="single"/>
        </w:rPr>
        <w:t xml:space="preserve">Consumo de Energía Eléctrica </w:t>
      </w:r>
    </w:p>
    <w:p w14:paraId="73982E47"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El consumo promedio de energía eléctrica en los centros MYPES fue de 797 (</w:t>
      </w:r>
      <w:proofErr w:type="spellStart"/>
      <w:r w:rsidRPr="00706986">
        <w:rPr>
          <w:rFonts w:cs="Arial"/>
          <w:bCs/>
          <w:color w:val="000000"/>
          <w:sz w:val="24"/>
        </w:rPr>
        <w:t>KWh</w:t>
      </w:r>
      <w:proofErr w:type="spellEnd"/>
      <w:r w:rsidRPr="00706986">
        <w:rPr>
          <w:rFonts w:cs="Arial"/>
          <w:bCs/>
          <w:color w:val="000000"/>
          <w:sz w:val="24"/>
        </w:rPr>
        <w:t xml:space="preserve">) mientras que en </w:t>
      </w:r>
      <w:proofErr w:type="gramStart"/>
      <w:r w:rsidRPr="00706986">
        <w:rPr>
          <w:rFonts w:cs="Arial"/>
          <w:bCs/>
          <w:color w:val="000000"/>
          <w:sz w:val="24"/>
        </w:rPr>
        <w:t>los Grande</w:t>
      </w:r>
      <w:proofErr w:type="gramEnd"/>
      <w:r w:rsidRPr="00706986">
        <w:rPr>
          <w:rFonts w:cs="Arial"/>
          <w:bCs/>
          <w:color w:val="000000"/>
          <w:sz w:val="24"/>
        </w:rPr>
        <w:t xml:space="preserve"> fue de 4.194 (</w:t>
      </w:r>
      <w:proofErr w:type="spellStart"/>
      <w:r w:rsidRPr="00706986">
        <w:rPr>
          <w:rFonts w:cs="Arial"/>
          <w:bCs/>
          <w:color w:val="000000"/>
          <w:sz w:val="24"/>
        </w:rPr>
        <w:t>KWh</w:t>
      </w:r>
      <w:proofErr w:type="spellEnd"/>
      <w:r w:rsidRPr="00706986">
        <w:rPr>
          <w:rFonts w:cs="Arial"/>
          <w:bCs/>
          <w:color w:val="000000"/>
          <w:sz w:val="24"/>
        </w:rPr>
        <w:t xml:space="preserve">).  Para producir una tonelada de MMPP los centros MYPES utilizaron, en promedio, 0,9 </w:t>
      </w:r>
      <w:proofErr w:type="spellStart"/>
      <w:r w:rsidRPr="00706986">
        <w:rPr>
          <w:rFonts w:cs="Arial"/>
          <w:bCs/>
          <w:color w:val="000000"/>
          <w:sz w:val="24"/>
        </w:rPr>
        <w:t>KWh</w:t>
      </w:r>
      <w:proofErr w:type="spellEnd"/>
      <w:r w:rsidRPr="00706986">
        <w:rPr>
          <w:rFonts w:cs="Arial"/>
          <w:bCs/>
          <w:color w:val="000000"/>
          <w:sz w:val="24"/>
        </w:rPr>
        <w:t xml:space="preserve">/Ton mientras que </w:t>
      </w:r>
      <w:proofErr w:type="gramStart"/>
      <w:r w:rsidRPr="00706986">
        <w:rPr>
          <w:rFonts w:cs="Arial"/>
          <w:bCs/>
          <w:color w:val="000000"/>
          <w:sz w:val="24"/>
        </w:rPr>
        <w:t>los Grande</w:t>
      </w:r>
      <w:proofErr w:type="gramEnd"/>
      <w:r w:rsidRPr="00706986">
        <w:rPr>
          <w:rFonts w:cs="Arial"/>
          <w:bCs/>
          <w:color w:val="000000"/>
          <w:sz w:val="24"/>
        </w:rPr>
        <w:t xml:space="preserve">, 1,4 </w:t>
      </w:r>
      <w:proofErr w:type="spellStart"/>
      <w:r w:rsidRPr="00706986">
        <w:rPr>
          <w:rFonts w:cs="Arial"/>
          <w:bCs/>
          <w:color w:val="000000"/>
          <w:sz w:val="24"/>
        </w:rPr>
        <w:t>KWh</w:t>
      </w:r>
      <w:proofErr w:type="spellEnd"/>
      <w:r w:rsidRPr="00706986">
        <w:rPr>
          <w:rFonts w:cs="Arial"/>
          <w:bCs/>
          <w:color w:val="000000"/>
          <w:sz w:val="24"/>
        </w:rPr>
        <w:t>/Ton.</w:t>
      </w:r>
    </w:p>
    <w:p w14:paraId="30345D5E"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Los centros utilizan energía eléctrica solo en sus instalaciones en tierra.</w:t>
      </w:r>
    </w:p>
    <w:p w14:paraId="63EEB77D" w14:textId="77777777" w:rsidR="00B362ED" w:rsidRPr="00706986" w:rsidRDefault="00B362ED" w:rsidP="00B362ED">
      <w:pPr>
        <w:pStyle w:val="Encabezado"/>
        <w:jc w:val="both"/>
        <w:rPr>
          <w:rFonts w:cs="Arial"/>
          <w:bCs/>
          <w:color w:val="000000"/>
          <w:sz w:val="24"/>
        </w:rPr>
      </w:pPr>
    </w:p>
    <w:p w14:paraId="5802162B" w14:textId="77777777" w:rsidR="00B362ED" w:rsidRPr="00706986" w:rsidRDefault="00B362ED" w:rsidP="00B362ED">
      <w:pPr>
        <w:pStyle w:val="Encabezado"/>
        <w:jc w:val="both"/>
        <w:rPr>
          <w:rFonts w:cs="Arial"/>
          <w:bCs/>
          <w:sz w:val="24"/>
          <w:u w:val="single"/>
        </w:rPr>
      </w:pPr>
      <w:r w:rsidRPr="00706986">
        <w:rPr>
          <w:rFonts w:cs="Arial"/>
          <w:bCs/>
          <w:sz w:val="24"/>
          <w:u w:val="single"/>
        </w:rPr>
        <w:t>Consumo de Combustible</w:t>
      </w:r>
    </w:p>
    <w:p w14:paraId="63194EB4"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El diésel es el combustible que se utiliza en mayor volumen para las operaciones de los centros. El consumo promedio fue de 43.216 (L). A este consumo le sigue la bencina, 11.290 (L) y el gas, 15.080 (Kg). </w:t>
      </w:r>
    </w:p>
    <w:p w14:paraId="5CED3C7C"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El consumo promedio de diésel en los centros MYPES fue de 1.749 (L) mientras que en los Grande fue de 41.467 (L). </w:t>
      </w:r>
    </w:p>
    <w:p w14:paraId="14364CDF" w14:textId="77777777" w:rsidR="00B362ED" w:rsidRPr="00706986" w:rsidRDefault="00B362ED" w:rsidP="00B362ED">
      <w:pPr>
        <w:pStyle w:val="Encabezado"/>
        <w:jc w:val="both"/>
        <w:rPr>
          <w:rFonts w:cs="Arial"/>
          <w:bCs/>
          <w:color w:val="000000"/>
          <w:sz w:val="24"/>
        </w:rPr>
      </w:pPr>
      <w:r w:rsidRPr="00706986">
        <w:rPr>
          <w:rFonts w:cs="Arial"/>
          <w:bCs/>
          <w:color w:val="000000"/>
          <w:sz w:val="24"/>
        </w:rPr>
        <w:lastRenderedPageBreak/>
        <w:t>•</w:t>
      </w:r>
      <w:r w:rsidRPr="00706986">
        <w:rPr>
          <w:rFonts w:cs="Arial"/>
          <w:bCs/>
          <w:color w:val="000000"/>
          <w:sz w:val="24"/>
        </w:rPr>
        <w:tab/>
        <w:t>El consumo promedio de bencina en los centros MYPES fue de 3.806 (L) mientras que en los Grande fue de 7.484 (L).</w:t>
      </w:r>
    </w:p>
    <w:p w14:paraId="022FC91A"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El consumo promedio de gas en los centros MYPES fue 65 (Kg) mientras que en los Grande fue de 15.015 (Kg).</w:t>
      </w:r>
    </w:p>
    <w:p w14:paraId="7E42A5DC"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La bencina es el combustible mayormente utilizado por los centros MYPES, en promedio 4,4 litros para producir una tonelada de MMPP, mientras que el diésel lo es en los centros Grande, en promedio 12,4 litros para producir una tonelada de MMPP.</w:t>
      </w:r>
    </w:p>
    <w:p w14:paraId="7F71EB32" w14:textId="77777777" w:rsidR="00706986" w:rsidRPr="00706986" w:rsidRDefault="00706986" w:rsidP="00B362ED">
      <w:pPr>
        <w:pStyle w:val="Encabezado"/>
        <w:jc w:val="both"/>
        <w:rPr>
          <w:rFonts w:cs="Arial"/>
          <w:bCs/>
          <w:color w:val="000000"/>
          <w:sz w:val="24"/>
        </w:rPr>
      </w:pPr>
    </w:p>
    <w:p w14:paraId="5DE1EAB3"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Las diferencias del consumo de combustible observado entre centros MYPES y Grande se relacionan con la operación de sus embarcaciones. Todos los centros MYPES utilizan solamente bencina para los motores fuera de borda de las embarcaciones mientras que los </w:t>
      </w:r>
      <w:proofErr w:type="gramStart"/>
      <w:r w:rsidRPr="00706986">
        <w:rPr>
          <w:rFonts w:cs="Arial"/>
          <w:bCs/>
          <w:color w:val="000000"/>
          <w:sz w:val="24"/>
        </w:rPr>
        <w:t>Grande</w:t>
      </w:r>
      <w:proofErr w:type="gramEnd"/>
      <w:r w:rsidRPr="00706986">
        <w:rPr>
          <w:rFonts w:cs="Arial"/>
          <w:bCs/>
          <w:color w:val="000000"/>
          <w:sz w:val="24"/>
        </w:rPr>
        <w:t xml:space="preserve"> utilizan bencina y gas. Por otro lado, los centros del segmento Grande poseen embarcaciones de mayor tamaño, las que utilizan diésel para su operación. </w:t>
      </w:r>
    </w:p>
    <w:p w14:paraId="3EF5B682"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Los centros MYPES utilizan gas solamente en el casino del personal mientras que los Grande, además de en el casino, lo utilizan para la operación de los motores fuera de borda.</w:t>
      </w:r>
    </w:p>
    <w:p w14:paraId="73677F20" w14:textId="77777777" w:rsidR="00B362ED" w:rsidRPr="00706986" w:rsidRDefault="00B362ED" w:rsidP="00B362ED">
      <w:pPr>
        <w:pStyle w:val="Encabezado"/>
        <w:jc w:val="both"/>
        <w:rPr>
          <w:rFonts w:cs="Arial"/>
          <w:bCs/>
          <w:color w:val="000000"/>
          <w:sz w:val="24"/>
        </w:rPr>
      </w:pPr>
    </w:p>
    <w:p w14:paraId="6484F006" w14:textId="77777777" w:rsidR="00B362ED" w:rsidRPr="00706986" w:rsidRDefault="00B362ED" w:rsidP="00B362ED">
      <w:pPr>
        <w:pStyle w:val="Encabezado"/>
        <w:jc w:val="both"/>
        <w:rPr>
          <w:rFonts w:cs="Arial"/>
          <w:bCs/>
          <w:sz w:val="24"/>
          <w:u w:val="single"/>
        </w:rPr>
      </w:pPr>
      <w:r w:rsidRPr="00706986">
        <w:rPr>
          <w:rFonts w:cs="Arial"/>
          <w:bCs/>
          <w:sz w:val="24"/>
          <w:u w:val="single"/>
        </w:rPr>
        <w:t xml:space="preserve">Residuos </w:t>
      </w:r>
    </w:p>
    <w:p w14:paraId="5AF90AB1"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La mayor parte de los residuos generados por los centros de cultivo están relacionados con residuos de producción y corresponden a residuos sólidos: 392,9 (Ton) en total, lo que corresponde a 0,023 toneladas por toneladas de MMPP producida, seguido de residuos peligrosos, 15,1 (Ton) en total, lo que corresponde a 0,001 toneladas por toneladas de MMPP producida.</w:t>
      </w:r>
    </w:p>
    <w:p w14:paraId="5058E994" w14:textId="77777777" w:rsidR="00706986" w:rsidRPr="00706986" w:rsidRDefault="00706986" w:rsidP="00B362ED">
      <w:pPr>
        <w:pStyle w:val="Encabezado"/>
        <w:jc w:val="both"/>
        <w:rPr>
          <w:rFonts w:cs="Arial"/>
          <w:bCs/>
          <w:color w:val="000000"/>
          <w:sz w:val="24"/>
        </w:rPr>
      </w:pPr>
    </w:p>
    <w:p w14:paraId="1F1C1373"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Con respecto a los residuos sólidos los centros MYPES generan, en promedio, 0,9 (Ton) mientras los centros del segmento Grande generan, en promedio, 55 (Ton). </w:t>
      </w:r>
    </w:p>
    <w:p w14:paraId="7E05BBBD" w14:textId="77777777" w:rsidR="00706986" w:rsidRPr="00706986" w:rsidRDefault="00706986" w:rsidP="00B362ED">
      <w:pPr>
        <w:pStyle w:val="Encabezado"/>
        <w:jc w:val="both"/>
        <w:rPr>
          <w:rFonts w:cs="Arial"/>
          <w:bCs/>
          <w:color w:val="000000"/>
          <w:sz w:val="24"/>
        </w:rPr>
      </w:pPr>
    </w:p>
    <w:p w14:paraId="1322F2E1"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Con respecto a los residuos sólidos generados, los cabos fueron mencionados por un 89% de los centros, seguido de restos de red, mencionados por un 44%, boyas plásticas y basura domiciliaria, un 33%, estructuras metálicas, un 22%, mallas y </w:t>
      </w:r>
      <w:proofErr w:type="spellStart"/>
      <w:r w:rsidRPr="00706986">
        <w:rPr>
          <w:rFonts w:cs="Arial"/>
          <w:bCs/>
          <w:color w:val="000000"/>
          <w:sz w:val="24"/>
        </w:rPr>
        <w:t>plumavit</w:t>
      </w:r>
      <w:proofErr w:type="spellEnd"/>
      <w:r w:rsidRPr="00706986">
        <w:rPr>
          <w:rFonts w:cs="Arial"/>
          <w:bCs/>
          <w:color w:val="000000"/>
          <w:sz w:val="24"/>
        </w:rPr>
        <w:t xml:space="preserve">, un 17%, conchas o valvas, un 11%, bidones, un 6%, cartones y plásticos, un 57%, residuos domiciliarios, un 43%, fauna acompañante y chatarra, un 29% y pecheras y guantes, mencionados por un 14% los centros. </w:t>
      </w:r>
    </w:p>
    <w:p w14:paraId="3D002DDB" w14:textId="77777777" w:rsidR="00706986" w:rsidRPr="00706986" w:rsidRDefault="00706986" w:rsidP="00B362ED">
      <w:pPr>
        <w:pStyle w:val="Encabezado"/>
        <w:jc w:val="both"/>
        <w:rPr>
          <w:rFonts w:cs="Arial"/>
          <w:bCs/>
          <w:color w:val="000000"/>
          <w:sz w:val="24"/>
        </w:rPr>
      </w:pPr>
    </w:p>
    <w:p w14:paraId="3ECC5BE2"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Se evidenció que un 43% de los centros del segmento MYPES destina los residuos sólidos a la basura municipal, donde los productores informan acumular los residuos para, </w:t>
      </w:r>
      <w:r w:rsidRPr="00706986">
        <w:rPr>
          <w:rFonts w:cs="Arial"/>
          <w:bCs/>
          <w:color w:val="000000"/>
          <w:sz w:val="24"/>
        </w:rPr>
        <w:lastRenderedPageBreak/>
        <w:t>posteriormente, depositarlos en los contenedores municipales de basura dispuestos en la ciudad. Un 21% los combustiona, seguido de un 14% que los mantiene en patio y un 7% los envía a vertedero municipal.  Un 14% de los centros MYPES no informó el destino final de sus residuos.</w:t>
      </w:r>
    </w:p>
    <w:p w14:paraId="4AEC0F7D" w14:textId="77777777" w:rsidR="00706986" w:rsidRPr="00706986" w:rsidRDefault="00706986" w:rsidP="00B362ED">
      <w:pPr>
        <w:pStyle w:val="Encabezado"/>
        <w:jc w:val="both"/>
        <w:rPr>
          <w:rFonts w:cs="Arial"/>
          <w:bCs/>
          <w:color w:val="000000"/>
          <w:sz w:val="24"/>
        </w:rPr>
      </w:pPr>
    </w:p>
    <w:p w14:paraId="40EDC524"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Se evidenció que un 33% de los centros del segmento Grande destina los residuos sólidos al vertedero municipal. Un mismo porcentaje los destina a la empresa </w:t>
      </w:r>
      <w:proofErr w:type="spellStart"/>
      <w:r w:rsidRPr="00706986">
        <w:rPr>
          <w:rFonts w:cs="Arial"/>
          <w:bCs/>
          <w:color w:val="000000"/>
          <w:sz w:val="24"/>
        </w:rPr>
        <w:t>Resiter</w:t>
      </w:r>
      <w:proofErr w:type="spellEnd"/>
      <w:r w:rsidRPr="00706986">
        <w:rPr>
          <w:rFonts w:cs="Arial"/>
          <w:bCs/>
          <w:color w:val="000000"/>
          <w:sz w:val="24"/>
        </w:rPr>
        <w:t xml:space="preserve">. Un 17% destina los residuos a la planta de proceso, la que se encarga del destino final y un 8% los envía al vertedero de </w:t>
      </w:r>
      <w:proofErr w:type="spellStart"/>
      <w:r w:rsidRPr="00706986">
        <w:rPr>
          <w:rFonts w:cs="Arial"/>
          <w:bCs/>
          <w:color w:val="000000"/>
          <w:sz w:val="24"/>
        </w:rPr>
        <w:t>Dicham</w:t>
      </w:r>
      <w:proofErr w:type="spellEnd"/>
      <w:r w:rsidRPr="00706986">
        <w:rPr>
          <w:rFonts w:cs="Arial"/>
          <w:bCs/>
          <w:color w:val="000000"/>
          <w:sz w:val="24"/>
        </w:rPr>
        <w:t>.</w:t>
      </w:r>
    </w:p>
    <w:p w14:paraId="5D1AFB96" w14:textId="77777777" w:rsidR="00706986" w:rsidRPr="00706986" w:rsidRDefault="00706986" w:rsidP="00B362ED">
      <w:pPr>
        <w:pStyle w:val="Encabezado"/>
        <w:jc w:val="both"/>
        <w:rPr>
          <w:rFonts w:cs="Arial"/>
          <w:bCs/>
          <w:color w:val="000000"/>
          <w:sz w:val="24"/>
        </w:rPr>
      </w:pPr>
    </w:p>
    <w:p w14:paraId="7CB0E053"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Respecto a los cabos en desuso, un 69% de los centros MYPES </w:t>
      </w:r>
      <w:proofErr w:type="gramStart"/>
      <w:r w:rsidRPr="00706986">
        <w:rPr>
          <w:rFonts w:cs="Arial"/>
          <w:bCs/>
          <w:color w:val="000000"/>
          <w:sz w:val="24"/>
        </w:rPr>
        <w:t>los bota</w:t>
      </w:r>
      <w:proofErr w:type="gramEnd"/>
      <w:r w:rsidRPr="00706986">
        <w:rPr>
          <w:rFonts w:cs="Arial"/>
          <w:bCs/>
          <w:color w:val="000000"/>
          <w:sz w:val="24"/>
        </w:rPr>
        <w:t xml:space="preserve"> mientras que, en el segmento de centros Grande, solo un 46% los bota. Ningún centro declaro reciclar los cabos.</w:t>
      </w:r>
    </w:p>
    <w:p w14:paraId="289ABFB9"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Respecto a las boyas plásticas en desuso, un 92% de los centros MYPES las mantiene en patio y un 77% declaró repararlas mientras que, en el segmento Grande, un 100% declaró venderlas como alternativa de revalorización. </w:t>
      </w:r>
    </w:p>
    <w:p w14:paraId="6F3286C6" w14:textId="77777777" w:rsidR="00706986" w:rsidRPr="00706986" w:rsidRDefault="00706986" w:rsidP="00B362ED">
      <w:pPr>
        <w:pStyle w:val="Encabezado"/>
        <w:jc w:val="both"/>
        <w:rPr>
          <w:rFonts w:cs="Arial"/>
          <w:bCs/>
          <w:color w:val="000000"/>
          <w:sz w:val="24"/>
        </w:rPr>
      </w:pPr>
    </w:p>
    <w:p w14:paraId="53B9E184"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Respecto a los flotadores de </w:t>
      </w:r>
      <w:proofErr w:type="spellStart"/>
      <w:r w:rsidRPr="00706986">
        <w:rPr>
          <w:rFonts w:cs="Arial"/>
          <w:bCs/>
          <w:color w:val="000000"/>
          <w:sz w:val="24"/>
        </w:rPr>
        <w:t>plumavit</w:t>
      </w:r>
      <w:proofErr w:type="spellEnd"/>
      <w:r w:rsidRPr="00706986">
        <w:rPr>
          <w:rFonts w:cs="Arial"/>
          <w:bCs/>
          <w:color w:val="000000"/>
          <w:sz w:val="24"/>
        </w:rPr>
        <w:t>, un 31% de los centros MYPES declaró haberlos regalado o los mantienen en patio. Un 25% declaró haberlos reciclado. Por su parte, de los centros del segmento Grande, un 20% declaró haberlos regalado o vendido.</w:t>
      </w:r>
    </w:p>
    <w:p w14:paraId="00695F9B" w14:textId="77777777" w:rsidR="00706986" w:rsidRPr="00706986" w:rsidRDefault="00706986" w:rsidP="00B362ED">
      <w:pPr>
        <w:pStyle w:val="Encabezado"/>
        <w:jc w:val="both"/>
        <w:rPr>
          <w:rFonts w:cs="Arial"/>
          <w:bCs/>
          <w:color w:val="000000"/>
          <w:sz w:val="24"/>
        </w:rPr>
      </w:pPr>
    </w:p>
    <w:p w14:paraId="1D0D5F78"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Respecto a la MMPP desprendida durante la cosecha, un 69% de los centros del segmento MYPES (9 centros), y un 70% de los centros Grande (7 centros), informaron no poseer un sistema de recuperación o recolección de la MMPP desprendida durante la cosecha. </w:t>
      </w:r>
    </w:p>
    <w:p w14:paraId="25144242" w14:textId="77777777" w:rsidR="00B362ED" w:rsidRPr="00706986" w:rsidRDefault="00B362ED" w:rsidP="00B362ED">
      <w:pPr>
        <w:pStyle w:val="Encabezado"/>
        <w:jc w:val="both"/>
        <w:rPr>
          <w:rFonts w:cs="Arial"/>
          <w:bCs/>
          <w:color w:val="000000"/>
          <w:sz w:val="24"/>
        </w:rPr>
      </w:pPr>
    </w:p>
    <w:p w14:paraId="153E9248" w14:textId="77777777" w:rsidR="00B362ED" w:rsidRPr="00706986" w:rsidRDefault="00B362ED" w:rsidP="00B362ED">
      <w:pPr>
        <w:pStyle w:val="Encabezado"/>
        <w:jc w:val="both"/>
        <w:rPr>
          <w:rFonts w:cs="Arial"/>
          <w:bCs/>
          <w:color w:val="000000"/>
          <w:sz w:val="24"/>
        </w:rPr>
      </w:pPr>
    </w:p>
    <w:p w14:paraId="1C7E7F64" w14:textId="77777777" w:rsidR="00B362ED" w:rsidRPr="00706986" w:rsidRDefault="00B362ED" w:rsidP="00B362ED">
      <w:pPr>
        <w:pStyle w:val="Encabezado"/>
        <w:jc w:val="both"/>
        <w:rPr>
          <w:rFonts w:cs="Arial"/>
          <w:bCs/>
          <w:sz w:val="24"/>
          <w:u w:val="single"/>
        </w:rPr>
      </w:pPr>
      <w:r w:rsidRPr="00706986">
        <w:rPr>
          <w:rFonts w:cs="Arial"/>
          <w:bCs/>
          <w:sz w:val="24"/>
          <w:u w:val="single"/>
        </w:rPr>
        <w:t>Residuos Peligrosos</w:t>
      </w:r>
    </w:p>
    <w:p w14:paraId="3BE9F1C0"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El volumen total de residuos peligrosos generados por los centros fue de 15,2 (Ton) y, en promedio, los centros del segmento MYPES generaron 0,713 (Ton), mientras que los del Grande 2,3 (Ton), lo que corresponde, en ambos segmentos, a 0,001 toneladas por toneladas de MMPP producida.</w:t>
      </w:r>
    </w:p>
    <w:p w14:paraId="65857295" w14:textId="77777777" w:rsidR="00706986" w:rsidRPr="00706986" w:rsidRDefault="00706986" w:rsidP="00B362ED">
      <w:pPr>
        <w:pStyle w:val="Encabezado"/>
        <w:jc w:val="both"/>
        <w:rPr>
          <w:rFonts w:cs="Arial"/>
          <w:bCs/>
          <w:color w:val="000000"/>
          <w:sz w:val="24"/>
        </w:rPr>
      </w:pPr>
    </w:p>
    <w:p w14:paraId="18EC2519"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Los aceites son los residuos peligrosos mencionados mayoritariamente por centros, un 93%, seguido por baterías, un 33%, filtros, un 21%, </w:t>
      </w:r>
      <w:proofErr w:type="spellStart"/>
      <w:r w:rsidRPr="00706986">
        <w:rPr>
          <w:rFonts w:cs="Arial"/>
          <w:bCs/>
          <w:color w:val="000000"/>
          <w:sz w:val="24"/>
        </w:rPr>
        <w:t>toners</w:t>
      </w:r>
      <w:proofErr w:type="spellEnd"/>
      <w:r w:rsidRPr="00706986">
        <w:rPr>
          <w:rFonts w:cs="Arial"/>
          <w:bCs/>
          <w:color w:val="000000"/>
          <w:sz w:val="24"/>
        </w:rPr>
        <w:t xml:space="preserve">, un 14%, y, finalmente, pilas y bengalas, un 7%. </w:t>
      </w:r>
    </w:p>
    <w:p w14:paraId="4B899D97" w14:textId="77777777" w:rsidR="00706986" w:rsidRPr="00706986" w:rsidRDefault="00706986" w:rsidP="00B362ED">
      <w:pPr>
        <w:pStyle w:val="Encabezado"/>
        <w:jc w:val="both"/>
        <w:rPr>
          <w:rFonts w:cs="Arial"/>
          <w:bCs/>
          <w:color w:val="000000"/>
          <w:sz w:val="24"/>
        </w:rPr>
      </w:pPr>
    </w:p>
    <w:p w14:paraId="3657FB76" w14:textId="77777777" w:rsidR="00B362ED" w:rsidRPr="00706986" w:rsidRDefault="00B362ED" w:rsidP="00B362ED">
      <w:pPr>
        <w:pStyle w:val="Encabezado"/>
        <w:jc w:val="both"/>
        <w:rPr>
          <w:rFonts w:cs="Arial"/>
          <w:bCs/>
          <w:color w:val="000000"/>
          <w:sz w:val="24"/>
        </w:rPr>
      </w:pPr>
      <w:r w:rsidRPr="00706986">
        <w:rPr>
          <w:rFonts w:cs="Arial"/>
          <w:bCs/>
          <w:color w:val="000000"/>
          <w:sz w:val="24"/>
        </w:rPr>
        <w:lastRenderedPageBreak/>
        <w:t>•</w:t>
      </w:r>
      <w:r w:rsidRPr="00706986">
        <w:rPr>
          <w:rFonts w:cs="Arial"/>
          <w:bCs/>
          <w:color w:val="000000"/>
          <w:sz w:val="24"/>
        </w:rPr>
        <w:tab/>
        <w:t>Un 54% de los centros del segmento MYPES no informó el destino final de los residuos peligrosos mientras que un 15% informó utilizarlos como lubricantes y acopiarlos en baldes y, un 8%, informó que los combustiona y pinta estacas.</w:t>
      </w:r>
    </w:p>
    <w:p w14:paraId="6856AD5D"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Un 27% de los centros del segmento Grade no informó el destino final de los residuos peligrosos. El porcentaje que sí informo declaró utilizar servicios externos autorizados para el retiro y destino final de los residuos peligrosos, los cuales hacen entrega de un certificado de disposición final.</w:t>
      </w:r>
    </w:p>
    <w:p w14:paraId="6045BE45" w14:textId="77777777" w:rsidR="00B362ED" w:rsidRPr="00706986" w:rsidRDefault="00B362ED" w:rsidP="00B362ED">
      <w:pPr>
        <w:pStyle w:val="Encabezado"/>
        <w:jc w:val="both"/>
        <w:rPr>
          <w:rFonts w:cs="Arial"/>
          <w:bCs/>
          <w:color w:val="000000"/>
          <w:sz w:val="24"/>
        </w:rPr>
      </w:pPr>
    </w:p>
    <w:p w14:paraId="6EA15613" w14:textId="77777777" w:rsidR="00B362ED" w:rsidRPr="00706986" w:rsidRDefault="00B362ED" w:rsidP="00B362ED">
      <w:pPr>
        <w:pStyle w:val="Encabezado"/>
        <w:jc w:val="both"/>
        <w:rPr>
          <w:rFonts w:cs="Arial"/>
          <w:bCs/>
          <w:sz w:val="24"/>
          <w:u w:val="single"/>
        </w:rPr>
      </w:pPr>
      <w:r w:rsidRPr="00706986">
        <w:rPr>
          <w:rFonts w:cs="Arial"/>
          <w:bCs/>
          <w:sz w:val="24"/>
          <w:u w:val="single"/>
        </w:rPr>
        <w:t>Energía y Eficiencia Energética</w:t>
      </w:r>
    </w:p>
    <w:p w14:paraId="3E6FFE27"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Al convertir todos los consumos energéticos a una unidad estandarizada de energía, MJ/Ton, se observó que, en los centros MYPES, para producir una tonelada de MMPP la bencina utilizó 167,9 (MJ/Ton), el diésel 83,5 MJ/Ton, el gas 3,9 (MJ/Ton) y la electricidad 3,2 (MJ/Ton). Asimismo, en los centros Grande, para producir una tonelada de MMPP el gas utilizó 443,9 (MJ/Ton), el diésel 199,5 MJ/Ton, la bencina 113,8 (MJ/Ton) y la electricidad 4,9 (MJ/Ton).</w:t>
      </w:r>
    </w:p>
    <w:p w14:paraId="796F7B73" w14:textId="77777777" w:rsidR="00706986" w:rsidRPr="00706986" w:rsidRDefault="00706986" w:rsidP="00B362ED">
      <w:pPr>
        <w:pStyle w:val="Encabezado"/>
        <w:jc w:val="both"/>
        <w:rPr>
          <w:rFonts w:cs="Arial"/>
          <w:bCs/>
          <w:color w:val="000000"/>
          <w:sz w:val="24"/>
        </w:rPr>
      </w:pPr>
    </w:p>
    <w:p w14:paraId="6976038B"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Solo un 15% de los centros del segmento MYPES y un 20% del Grande ha realizado acciones de innovación respecto a mejorar la eficiencia energética. La principal innovación se relaciona con el uso de sistemas de iluminación de bajo consumo, como las luces </w:t>
      </w:r>
      <w:proofErr w:type="spellStart"/>
      <w:r w:rsidRPr="00706986">
        <w:rPr>
          <w:rFonts w:cs="Arial"/>
          <w:bCs/>
          <w:color w:val="000000"/>
          <w:sz w:val="24"/>
        </w:rPr>
        <w:t>led</w:t>
      </w:r>
      <w:proofErr w:type="spellEnd"/>
      <w:r w:rsidRPr="00706986">
        <w:rPr>
          <w:rFonts w:cs="Arial"/>
          <w:bCs/>
          <w:color w:val="000000"/>
          <w:sz w:val="24"/>
        </w:rPr>
        <w:t>, acción que representa un 69% y 70% de las innovaciones, respectivamente.</w:t>
      </w:r>
    </w:p>
    <w:p w14:paraId="44DFE390" w14:textId="77777777" w:rsidR="00706986" w:rsidRPr="00706986" w:rsidRDefault="00706986" w:rsidP="00B362ED">
      <w:pPr>
        <w:pStyle w:val="Encabezado"/>
        <w:jc w:val="both"/>
        <w:rPr>
          <w:rFonts w:cs="Arial"/>
          <w:bCs/>
          <w:color w:val="000000"/>
          <w:sz w:val="24"/>
        </w:rPr>
      </w:pPr>
    </w:p>
    <w:p w14:paraId="6F72E27B"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Solo un centro del segmento MYPES utiliza tecnología de paneles solares como alternativa de energía no convencional la cual es utilizada para luminarias.</w:t>
      </w:r>
    </w:p>
    <w:p w14:paraId="2567739C" w14:textId="77777777" w:rsidR="00B362ED" w:rsidRPr="00706986" w:rsidRDefault="00B362ED" w:rsidP="00B362ED">
      <w:pPr>
        <w:pStyle w:val="Encabezado"/>
        <w:jc w:val="both"/>
        <w:rPr>
          <w:rFonts w:cs="Arial"/>
          <w:bCs/>
          <w:color w:val="000000"/>
          <w:sz w:val="24"/>
        </w:rPr>
      </w:pPr>
    </w:p>
    <w:p w14:paraId="0CCAE2F2" w14:textId="77777777" w:rsidR="00B362ED" w:rsidRPr="00706986" w:rsidRDefault="00B362ED" w:rsidP="00B362ED">
      <w:pPr>
        <w:pStyle w:val="Encabezado"/>
        <w:jc w:val="both"/>
        <w:rPr>
          <w:rFonts w:cs="Arial"/>
          <w:bCs/>
          <w:sz w:val="24"/>
          <w:u w:val="single"/>
        </w:rPr>
      </w:pPr>
      <w:r w:rsidRPr="00706986">
        <w:rPr>
          <w:rFonts w:cs="Arial"/>
          <w:bCs/>
          <w:sz w:val="24"/>
          <w:u w:val="single"/>
        </w:rPr>
        <w:t>Valoración de residuos</w:t>
      </w:r>
    </w:p>
    <w:p w14:paraId="5E710506"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Un 69%, 9 centros, del segmento MYPES, reutiliza en forma interna sus residuos, mientras que un 23%, 3 centros, valorizan sus residuos externamente. De igual manera, un 40%, 4 centros, del segmento Grande, reutiliza en forma interna sus residuos, mientras que un 20%, 3 centros, valorizan sus residuos externamente.</w:t>
      </w:r>
    </w:p>
    <w:p w14:paraId="30DAB057"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Solo un 8% de los centros del segmento MYPES y un 10% del Grande tienen propuestas para valorizar sus residuos. </w:t>
      </w:r>
    </w:p>
    <w:p w14:paraId="50ABC86E" w14:textId="77777777" w:rsidR="00B362ED" w:rsidRPr="00706986" w:rsidRDefault="00B362ED" w:rsidP="00B362ED">
      <w:pPr>
        <w:pStyle w:val="Encabezado"/>
        <w:jc w:val="both"/>
        <w:rPr>
          <w:rFonts w:cs="Arial"/>
          <w:bCs/>
          <w:color w:val="000000"/>
          <w:sz w:val="24"/>
        </w:rPr>
      </w:pPr>
    </w:p>
    <w:p w14:paraId="69350118" w14:textId="77777777" w:rsidR="00B362ED" w:rsidRPr="00706986" w:rsidRDefault="00B362ED" w:rsidP="00B362ED">
      <w:pPr>
        <w:pStyle w:val="Encabezado"/>
        <w:jc w:val="both"/>
        <w:rPr>
          <w:rFonts w:cs="Arial"/>
          <w:bCs/>
          <w:sz w:val="24"/>
          <w:u w:val="single"/>
        </w:rPr>
      </w:pPr>
      <w:r w:rsidRPr="00706986">
        <w:rPr>
          <w:rFonts w:cs="Arial"/>
          <w:bCs/>
          <w:sz w:val="24"/>
          <w:u w:val="single"/>
        </w:rPr>
        <w:t>Gestión de Emisiones Atmosféricas</w:t>
      </w:r>
    </w:p>
    <w:p w14:paraId="3177ED75"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Un 62% de los centros del segmento MYPES y un 50% del Grande informaron que generan emisiones atmosféricas, las que </w:t>
      </w:r>
      <w:r w:rsidRPr="00706986">
        <w:rPr>
          <w:rFonts w:cs="Arial"/>
          <w:bCs/>
          <w:color w:val="000000"/>
          <w:sz w:val="24"/>
        </w:rPr>
        <w:lastRenderedPageBreak/>
        <w:t>provienen de motores fuera de borda, motobombas, motores estacionarios y equipos de cosecha y siembra.</w:t>
      </w:r>
    </w:p>
    <w:p w14:paraId="60DD5F05"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El 100% de los centros declararon no haber implementado tecnologías de tratamiento. Solo un 15% de los centros del segmento MYPES cuenta con procedimientos para controlar las emisiones los que están basados, principalmente, en mantenciones preventivas a los motores estacionarios, equipos y maquinarias involucradas en el proceso de producción de la MMPP.</w:t>
      </w:r>
    </w:p>
    <w:p w14:paraId="5C29DDA8" w14:textId="77777777" w:rsidR="00706986" w:rsidRPr="00706986" w:rsidRDefault="00706986" w:rsidP="00B362ED">
      <w:pPr>
        <w:pStyle w:val="Encabezado"/>
        <w:jc w:val="both"/>
        <w:rPr>
          <w:rFonts w:cs="Arial"/>
          <w:bCs/>
          <w:color w:val="000000"/>
          <w:sz w:val="24"/>
        </w:rPr>
      </w:pPr>
    </w:p>
    <w:p w14:paraId="27932187"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Un 92% de los centros del segmento MYPES y un 50% del Grande declaró no conocer la normativa ambiental aplicable a emisiones atmosféricas.</w:t>
      </w:r>
    </w:p>
    <w:p w14:paraId="527A024C" w14:textId="77777777" w:rsidR="00B362ED" w:rsidRPr="00706986" w:rsidRDefault="00B362ED" w:rsidP="00B362ED">
      <w:pPr>
        <w:pStyle w:val="Encabezado"/>
        <w:jc w:val="both"/>
        <w:rPr>
          <w:rFonts w:cs="Arial"/>
          <w:bCs/>
          <w:color w:val="000000"/>
          <w:sz w:val="24"/>
        </w:rPr>
      </w:pPr>
    </w:p>
    <w:p w14:paraId="2DB6F7AD" w14:textId="77777777" w:rsidR="00B362ED" w:rsidRPr="00706986" w:rsidRDefault="00B362ED" w:rsidP="00B362ED">
      <w:pPr>
        <w:pStyle w:val="Encabezado"/>
        <w:jc w:val="both"/>
        <w:rPr>
          <w:rFonts w:cs="Arial"/>
          <w:bCs/>
          <w:sz w:val="24"/>
          <w:u w:val="single"/>
        </w:rPr>
      </w:pPr>
      <w:r w:rsidRPr="00706986">
        <w:rPr>
          <w:rFonts w:cs="Arial"/>
          <w:bCs/>
          <w:sz w:val="24"/>
          <w:u w:val="single"/>
        </w:rPr>
        <w:t>Gestión Ambiental</w:t>
      </w:r>
    </w:p>
    <w:p w14:paraId="5F48680F"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Un 8% de los centros del segmento MYPES y un 30% del Grande declaró no poseer datos anteriores de evaluación ambiental. De la misma manera, un 85% de los centros del segmento MYPES y un 40% del Grande declaró no asignar recursos financieros a gestión ambiental.</w:t>
      </w:r>
    </w:p>
    <w:p w14:paraId="4D2967C6" w14:textId="77777777" w:rsidR="00706986" w:rsidRPr="00706986" w:rsidRDefault="00706986" w:rsidP="00B362ED">
      <w:pPr>
        <w:pStyle w:val="Encabezado"/>
        <w:jc w:val="both"/>
        <w:rPr>
          <w:rFonts w:cs="Arial"/>
          <w:bCs/>
          <w:color w:val="000000"/>
          <w:sz w:val="24"/>
        </w:rPr>
      </w:pPr>
    </w:p>
    <w:p w14:paraId="77CCFAD6"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Un 69% de los centros del segmento MYPES y un 10% del Grande declaró no entrenar a los trabajadores en el manejo y prevención de la contaminación. Estos porcentajes ascienden a 92% y 30% respectivamente, al tratarse de capacitación en el manejo de residuos peligrosos.</w:t>
      </w:r>
    </w:p>
    <w:p w14:paraId="487EE66E" w14:textId="77777777" w:rsidR="00706986" w:rsidRPr="00706986" w:rsidRDefault="00706986" w:rsidP="00B362ED">
      <w:pPr>
        <w:pStyle w:val="Encabezado"/>
        <w:jc w:val="both"/>
        <w:rPr>
          <w:rFonts w:cs="Arial"/>
          <w:bCs/>
          <w:color w:val="000000"/>
          <w:sz w:val="24"/>
        </w:rPr>
      </w:pPr>
    </w:p>
    <w:p w14:paraId="0DBFD975"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Un 85% de los centros del segmento MYPES y un 30% del Grande declaró no poseer procedimientos para prevenir problemas de índole ambiental.</w:t>
      </w:r>
    </w:p>
    <w:p w14:paraId="475AD916" w14:textId="77777777" w:rsidR="00706986" w:rsidRPr="00706986" w:rsidRDefault="00706986" w:rsidP="00B362ED">
      <w:pPr>
        <w:pStyle w:val="Encabezado"/>
        <w:jc w:val="both"/>
        <w:rPr>
          <w:rFonts w:cs="Arial"/>
          <w:bCs/>
          <w:color w:val="000000"/>
          <w:sz w:val="24"/>
        </w:rPr>
      </w:pPr>
    </w:p>
    <w:p w14:paraId="14061EC5"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Un 69% de los centros del segmento MYPES y un 10% del Grande declaró no mantener control de la documentación de relevancia ambiental.</w:t>
      </w:r>
    </w:p>
    <w:p w14:paraId="0346F3A4" w14:textId="77777777" w:rsidR="00706986" w:rsidRPr="00706986" w:rsidRDefault="00706986" w:rsidP="00B362ED">
      <w:pPr>
        <w:pStyle w:val="Encabezado"/>
        <w:jc w:val="both"/>
        <w:rPr>
          <w:rFonts w:cs="Arial"/>
          <w:bCs/>
          <w:color w:val="000000"/>
          <w:sz w:val="24"/>
        </w:rPr>
      </w:pPr>
    </w:p>
    <w:p w14:paraId="49D7270F"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 El 100% de los centros del segmento MYPES y un 60% del Grande no posee un procedimiento de transporte entre el centro de cultivo y planta, que evite el escurrimiento de agua de la MMPP cosechada, condición que se destaca por su importancia respecto al impacto que esta acción tiene sobre comunidades donde se desarrolla la actividad y la imagen de la industria.</w:t>
      </w:r>
    </w:p>
    <w:p w14:paraId="53FD9B77" w14:textId="77777777" w:rsidR="00706986" w:rsidRPr="00706986" w:rsidRDefault="00706986" w:rsidP="00B362ED">
      <w:pPr>
        <w:pStyle w:val="Encabezado"/>
        <w:jc w:val="both"/>
        <w:rPr>
          <w:rFonts w:cs="Arial"/>
          <w:bCs/>
          <w:color w:val="000000"/>
          <w:sz w:val="24"/>
        </w:rPr>
      </w:pPr>
    </w:p>
    <w:p w14:paraId="5E024CD4"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Tanto el segmento de centros MYPES como el Grande declararon, en un 100%, realizar limpieza de playas, sin embargo, un 69% de los centros del segmento MYPES declaró no </w:t>
      </w:r>
      <w:r w:rsidRPr="00706986">
        <w:rPr>
          <w:rFonts w:cs="Arial"/>
          <w:bCs/>
          <w:color w:val="000000"/>
          <w:sz w:val="24"/>
        </w:rPr>
        <w:lastRenderedPageBreak/>
        <w:t xml:space="preserve">conocer la normativa asociada a limpieza de playas mientras que, en el segmento Grande, un 90% de los centros declaró conocer dicha normativa. </w:t>
      </w:r>
    </w:p>
    <w:p w14:paraId="194A4DD0" w14:textId="77777777" w:rsidR="00B362ED" w:rsidRPr="00706986" w:rsidRDefault="00B362ED" w:rsidP="00B362ED">
      <w:pPr>
        <w:pStyle w:val="Encabezado"/>
        <w:jc w:val="both"/>
        <w:rPr>
          <w:rFonts w:cs="Arial"/>
          <w:bCs/>
          <w:color w:val="000000"/>
          <w:sz w:val="24"/>
        </w:rPr>
      </w:pPr>
    </w:p>
    <w:p w14:paraId="5297F483" w14:textId="77777777" w:rsidR="00B362ED" w:rsidRPr="00706986" w:rsidRDefault="00B362ED" w:rsidP="00B362ED">
      <w:pPr>
        <w:pStyle w:val="Encabezado"/>
        <w:jc w:val="both"/>
        <w:rPr>
          <w:rFonts w:cs="Arial"/>
          <w:bCs/>
          <w:sz w:val="24"/>
          <w:u w:val="single"/>
        </w:rPr>
      </w:pPr>
      <w:r w:rsidRPr="00706986">
        <w:rPr>
          <w:rFonts w:cs="Arial"/>
          <w:bCs/>
          <w:sz w:val="24"/>
          <w:u w:val="single"/>
        </w:rPr>
        <w:t>Emisiones Acústicas</w:t>
      </w:r>
    </w:p>
    <w:p w14:paraId="2A8C182A"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Un 15% de los centros del segmento MYPES y un 70% del Grande declaró conocer la normativa asociada a emisiones de ruido.</w:t>
      </w:r>
    </w:p>
    <w:p w14:paraId="4342099C" w14:textId="77777777" w:rsidR="00706986" w:rsidRPr="00706986" w:rsidRDefault="00706986" w:rsidP="00B362ED">
      <w:pPr>
        <w:pStyle w:val="Encabezado"/>
        <w:jc w:val="both"/>
        <w:rPr>
          <w:rFonts w:cs="Arial"/>
          <w:bCs/>
          <w:color w:val="000000"/>
          <w:sz w:val="24"/>
        </w:rPr>
      </w:pPr>
    </w:p>
    <w:p w14:paraId="5B87BD2D"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El 100% de los centros del segmento MYPES declaró no haber realizado mediciones de ruido en los ambientes de trabajo y, por lo tanto, ninguno de ellos mantiene registros ni tampoco saben si cumplen con la normativa aplicable. En el caso de los centros del segmento Grande, un 70% (7 centros), ha realizado mediciones de ruido mientras que un 20% no las ha realizado (2 centros). El 10% restante (1 empresa), declaró no saber. De las 7 empresas que han realizado mediciones de ruido, el 50% mantiene registros actualizados y cumplen con la normativa vigente. </w:t>
      </w:r>
    </w:p>
    <w:p w14:paraId="017150DA" w14:textId="77777777" w:rsidR="00B362ED" w:rsidRPr="00706986" w:rsidRDefault="00B362ED" w:rsidP="00B362ED">
      <w:pPr>
        <w:pStyle w:val="Encabezado"/>
        <w:jc w:val="both"/>
        <w:rPr>
          <w:rFonts w:cs="Arial"/>
          <w:bCs/>
          <w:color w:val="000000"/>
          <w:sz w:val="24"/>
        </w:rPr>
      </w:pPr>
    </w:p>
    <w:p w14:paraId="73376514" w14:textId="77777777" w:rsidR="00B362ED" w:rsidRPr="00706986" w:rsidRDefault="00B362ED" w:rsidP="00B362ED">
      <w:pPr>
        <w:pStyle w:val="Encabezado"/>
        <w:jc w:val="both"/>
        <w:rPr>
          <w:rFonts w:cs="Arial"/>
          <w:bCs/>
          <w:sz w:val="24"/>
          <w:u w:val="single"/>
        </w:rPr>
      </w:pPr>
      <w:r w:rsidRPr="00706986">
        <w:rPr>
          <w:rFonts w:cs="Arial"/>
          <w:bCs/>
          <w:sz w:val="24"/>
          <w:u w:val="single"/>
        </w:rPr>
        <w:t>Luminancia e iluminancia</w:t>
      </w:r>
    </w:p>
    <w:p w14:paraId="2F2D9EB6"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Un 62% de los centros del segmento MYPES y un 50% del Grande declaró no conocer la normativa asociada a luminancia e iluminancia.</w:t>
      </w:r>
    </w:p>
    <w:p w14:paraId="57778D4C" w14:textId="77777777" w:rsidR="00706986" w:rsidRPr="00706986" w:rsidRDefault="00706986" w:rsidP="00B362ED">
      <w:pPr>
        <w:pStyle w:val="Encabezado"/>
        <w:jc w:val="both"/>
        <w:rPr>
          <w:rFonts w:cs="Arial"/>
          <w:bCs/>
          <w:color w:val="000000"/>
          <w:sz w:val="24"/>
        </w:rPr>
      </w:pPr>
    </w:p>
    <w:p w14:paraId="042E8775"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El 100% de los centros del segmento MYPES y un 90% del Grande, declaró no haber realizado mediciones y, por lo tanto, no mantienen registros ni tampoco saben si cumplen con la normativa aplicable. </w:t>
      </w:r>
    </w:p>
    <w:p w14:paraId="080F5718" w14:textId="77777777" w:rsidR="00B362ED" w:rsidRPr="00706986" w:rsidRDefault="00B362ED" w:rsidP="00B362ED">
      <w:pPr>
        <w:pStyle w:val="Encabezado"/>
        <w:jc w:val="both"/>
        <w:rPr>
          <w:rFonts w:cs="Arial"/>
          <w:bCs/>
          <w:color w:val="000000"/>
          <w:sz w:val="24"/>
        </w:rPr>
      </w:pPr>
    </w:p>
    <w:p w14:paraId="4F8CE10D" w14:textId="77777777" w:rsidR="00B362ED" w:rsidRPr="00706986" w:rsidRDefault="00B362ED" w:rsidP="00B362ED">
      <w:pPr>
        <w:pStyle w:val="Encabezado"/>
        <w:jc w:val="both"/>
        <w:rPr>
          <w:rFonts w:cs="Arial"/>
          <w:bCs/>
          <w:color w:val="000000"/>
          <w:sz w:val="24"/>
        </w:rPr>
      </w:pPr>
    </w:p>
    <w:p w14:paraId="6AA28570" w14:textId="77777777" w:rsidR="00B362ED" w:rsidRPr="00706986" w:rsidRDefault="00B362ED" w:rsidP="00B362ED">
      <w:pPr>
        <w:pStyle w:val="Encabezado"/>
        <w:jc w:val="both"/>
        <w:rPr>
          <w:rFonts w:cs="Arial"/>
          <w:bCs/>
          <w:sz w:val="24"/>
          <w:u w:val="single"/>
        </w:rPr>
      </w:pPr>
      <w:r w:rsidRPr="00706986">
        <w:rPr>
          <w:rFonts w:cs="Arial"/>
          <w:bCs/>
          <w:sz w:val="24"/>
          <w:u w:val="single"/>
        </w:rPr>
        <w:t>Certificaciones</w:t>
      </w:r>
    </w:p>
    <w:p w14:paraId="77E61218"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Con respecto a certificaciones relacionadas con sustentabilidad, un 22% de los centros del segmento Grande cuentan con la certificación ASC y un 44% se encuentra en proceso de su implementación. De igual manera, un 22% cuenta con la certificación MSC, un 67% con la certificación </w:t>
      </w:r>
      <w:proofErr w:type="spellStart"/>
      <w:r w:rsidRPr="00706986">
        <w:rPr>
          <w:rFonts w:cs="Arial"/>
          <w:bCs/>
          <w:color w:val="000000"/>
          <w:sz w:val="24"/>
        </w:rPr>
        <w:t>FoS</w:t>
      </w:r>
      <w:proofErr w:type="spellEnd"/>
      <w:r w:rsidRPr="00706986">
        <w:rPr>
          <w:rFonts w:cs="Arial"/>
          <w:bCs/>
          <w:color w:val="000000"/>
          <w:sz w:val="24"/>
        </w:rPr>
        <w:t xml:space="preserve"> y un 56% con la certificación BAP. Los centros del segmento MYPES no cuentan con estas certificaciones y solo 1 centro (8% del total de centros) se encuentra en proceso de implementación de la certificación ASC.</w:t>
      </w:r>
    </w:p>
    <w:p w14:paraId="20747E78" w14:textId="77777777" w:rsidR="00706986" w:rsidRPr="00706986" w:rsidRDefault="00706986" w:rsidP="00B362ED">
      <w:pPr>
        <w:pStyle w:val="Encabezado"/>
        <w:jc w:val="both"/>
        <w:rPr>
          <w:rFonts w:cs="Arial"/>
          <w:bCs/>
          <w:color w:val="000000"/>
          <w:sz w:val="24"/>
        </w:rPr>
      </w:pPr>
    </w:p>
    <w:p w14:paraId="50511EF3"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Un 8% de los centros del segmento MYPES y un 22% del Grande poseen algún tipo de certificación orgánica. </w:t>
      </w:r>
    </w:p>
    <w:p w14:paraId="30247D9D" w14:textId="77777777" w:rsidR="00706986" w:rsidRPr="00706986" w:rsidRDefault="00706986" w:rsidP="00B362ED">
      <w:pPr>
        <w:pStyle w:val="Encabezado"/>
        <w:jc w:val="both"/>
        <w:rPr>
          <w:rFonts w:cs="Arial"/>
          <w:bCs/>
          <w:color w:val="000000"/>
          <w:sz w:val="24"/>
        </w:rPr>
      </w:pPr>
    </w:p>
    <w:p w14:paraId="531D3042" w14:textId="77777777" w:rsidR="00B362ED" w:rsidRPr="00706986" w:rsidRDefault="00B362ED" w:rsidP="00B362ED">
      <w:pPr>
        <w:pStyle w:val="Encabezado"/>
        <w:jc w:val="both"/>
        <w:rPr>
          <w:rFonts w:cs="Arial"/>
          <w:bCs/>
          <w:color w:val="000000"/>
          <w:sz w:val="24"/>
        </w:rPr>
      </w:pPr>
      <w:r w:rsidRPr="00706986">
        <w:rPr>
          <w:rFonts w:cs="Arial"/>
          <w:bCs/>
          <w:color w:val="000000"/>
          <w:sz w:val="24"/>
        </w:rPr>
        <w:lastRenderedPageBreak/>
        <w:t>•</w:t>
      </w:r>
      <w:r w:rsidRPr="00706986">
        <w:rPr>
          <w:rFonts w:cs="Arial"/>
          <w:bCs/>
          <w:color w:val="000000"/>
          <w:sz w:val="24"/>
        </w:rPr>
        <w:tab/>
        <w:t xml:space="preserve">Respecto a certificaciones de calidad, un 8% de los centros del segmento MYPES y un 11% del Grande utilizan la norma </w:t>
      </w:r>
      <w:proofErr w:type="spellStart"/>
      <w:r w:rsidRPr="00706986">
        <w:rPr>
          <w:rFonts w:cs="Arial"/>
          <w:bCs/>
          <w:color w:val="000000"/>
          <w:sz w:val="24"/>
        </w:rPr>
        <w:t>NCh</w:t>
      </w:r>
      <w:proofErr w:type="spellEnd"/>
      <w:r w:rsidRPr="00706986">
        <w:rPr>
          <w:rFonts w:cs="Arial"/>
          <w:bCs/>
          <w:color w:val="000000"/>
          <w:sz w:val="24"/>
        </w:rPr>
        <w:t xml:space="preserve"> 3360/2014.</w:t>
      </w:r>
    </w:p>
    <w:p w14:paraId="21D147F8" w14:textId="77777777" w:rsidR="00B362ED" w:rsidRPr="00706986" w:rsidRDefault="00B362ED" w:rsidP="00B362ED">
      <w:pPr>
        <w:pStyle w:val="Encabezado"/>
        <w:jc w:val="both"/>
        <w:rPr>
          <w:rFonts w:cs="Arial"/>
          <w:bCs/>
          <w:color w:val="000000"/>
          <w:sz w:val="24"/>
        </w:rPr>
      </w:pPr>
    </w:p>
    <w:p w14:paraId="74C2AF76" w14:textId="77777777" w:rsidR="00B362ED" w:rsidRPr="00706986" w:rsidRDefault="00B362ED" w:rsidP="00B362ED">
      <w:pPr>
        <w:pStyle w:val="Encabezado"/>
        <w:jc w:val="both"/>
        <w:rPr>
          <w:rFonts w:cs="Arial"/>
          <w:bCs/>
          <w:sz w:val="24"/>
          <w:u w:val="single"/>
        </w:rPr>
      </w:pPr>
      <w:r w:rsidRPr="00706986">
        <w:rPr>
          <w:rFonts w:cs="Arial"/>
          <w:bCs/>
          <w:sz w:val="24"/>
          <w:u w:val="single"/>
        </w:rPr>
        <w:t>Bodegas o Sitios de Almacenamiento</w:t>
      </w:r>
    </w:p>
    <w:p w14:paraId="6BD22ED0"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Solo un 15% de los centros MYPES, 2 centros, poseen bodega de residuos peligrosos, sin embargo, ninguna cuenta con autorización. En el caso de los centros Grande, el 60%, 6 centros, posee bodegas, y sólo el 40% de ellas cuenta con autorización, 4 centros.</w:t>
      </w:r>
    </w:p>
    <w:p w14:paraId="02F3B679" w14:textId="77777777" w:rsidR="00706986" w:rsidRPr="00706986" w:rsidRDefault="00706986" w:rsidP="00B362ED">
      <w:pPr>
        <w:pStyle w:val="Encabezado"/>
        <w:jc w:val="both"/>
        <w:rPr>
          <w:rFonts w:cs="Arial"/>
          <w:bCs/>
          <w:color w:val="000000"/>
          <w:sz w:val="24"/>
        </w:rPr>
      </w:pPr>
    </w:p>
    <w:p w14:paraId="795ABF72"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Un 54% de los centros MYPES cuentan con una bodega de combustibles, todas sin autorización, mientras que un 90% de los centros del segmento Grande cuentan con una bodega de combustible, sin embargo, sólo un 30% de ellas se encuentran autorizadas.</w:t>
      </w:r>
    </w:p>
    <w:p w14:paraId="5AABE98A" w14:textId="77777777" w:rsidR="00706986" w:rsidRPr="00706986" w:rsidRDefault="00706986" w:rsidP="00B362ED">
      <w:pPr>
        <w:pStyle w:val="Encabezado"/>
        <w:jc w:val="both"/>
        <w:rPr>
          <w:rFonts w:cs="Arial"/>
          <w:bCs/>
          <w:color w:val="000000"/>
          <w:sz w:val="24"/>
        </w:rPr>
      </w:pPr>
    </w:p>
    <w:p w14:paraId="296F692F"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Un 85% de los centros MYPES cuentan con bodega de insumos mientras que en el segmento Grandes este porcentaje asciende a 90%.</w:t>
      </w:r>
    </w:p>
    <w:p w14:paraId="102B4C13" w14:textId="77777777" w:rsidR="00706986" w:rsidRPr="00706986" w:rsidRDefault="00706986" w:rsidP="00B362ED">
      <w:pPr>
        <w:pStyle w:val="Encabezado"/>
        <w:jc w:val="both"/>
        <w:rPr>
          <w:rFonts w:cs="Arial"/>
          <w:bCs/>
          <w:color w:val="000000"/>
          <w:sz w:val="24"/>
        </w:rPr>
      </w:pPr>
    </w:p>
    <w:p w14:paraId="3222F1CA" w14:textId="7777777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Un 69% de los centros MYPES cuentan con patio de acopio de residuos industriales no peligrosos mientras que, en el segmento Grande, este porcentaje se reduce a un 50%.</w:t>
      </w:r>
    </w:p>
    <w:p w14:paraId="01A29154" w14:textId="77777777" w:rsidR="00B362ED" w:rsidRPr="00706986" w:rsidRDefault="00B362ED" w:rsidP="00B362ED">
      <w:pPr>
        <w:pStyle w:val="Encabezado"/>
        <w:jc w:val="both"/>
        <w:rPr>
          <w:rFonts w:cs="Arial"/>
          <w:bCs/>
          <w:color w:val="000000"/>
          <w:sz w:val="24"/>
        </w:rPr>
      </w:pPr>
    </w:p>
    <w:p w14:paraId="54ADE6CE" w14:textId="77777777" w:rsidR="00B362ED" w:rsidRPr="00706986" w:rsidRDefault="00B362ED" w:rsidP="00B362ED">
      <w:pPr>
        <w:pStyle w:val="Encabezado"/>
        <w:jc w:val="both"/>
        <w:rPr>
          <w:rFonts w:cs="Arial"/>
          <w:bCs/>
          <w:color w:val="000000"/>
          <w:sz w:val="24"/>
          <w:u w:val="single"/>
        </w:rPr>
      </w:pPr>
      <w:r w:rsidRPr="00706986">
        <w:rPr>
          <w:rFonts w:cs="Arial"/>
          <w:bCs/>
          <w:sz w:val="24"/>
          <w:u w:val="single"/>
        </w:rPr>
        <w:t>Aspectos de Seguridad Ocupacional</w:t>
      </w:r>
    </w:p>
    <w:p w14:paraId="2E7C5BE2"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Un 15% de los centros MYPES han identificado y evaluado los riesgos de seguridad al que se encuentran expuestos sus trabajadores, mientras que un 100% de los centros del segmento Grande informaron haber realizado dicha identificación y evaluación. </w:t>
      </w:r>
    </w:p>
    <w:p w14:paraId="68121F76" w14:textId="77777777" w:rsidR="00706986" w:rsidRPr="00706986" w:rsidRDefault="00706986" w:rsidP="00B362ED">
      <w:pPr>
        <w:pStyle w:val="Encabezado"/>
        <w:jc w:val="both"/>
        <w:rPr>
          <w:rFonts w:cs="Arial"/>
          <w:bCs/>
          <w:color w:val="000000"/>
          <w:sz w:val="24"/>
        </w:rPr>
      </w:pPr>
    </w:p>
    <w:p w14:paraId="73DDB362"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Un 46% de los centros MYPES posee reglamento interno mientras que un 100% de los centros del segmento Grande informaron poseer dicho reglamento.</w:t>
      </w:r>
    </w:p>
    <w:p w14:paraId="1A4DD24D" w14:textId="77777777" w:rsidR="00706986" w:rsidRPr="00706986" w:rsidRDefault="00706986" w:rsidP="00B362ED">
      <w:pPr>
        <w:pStyle w:val="Encabezado"/>
        <w:jc w:val="both"/>
        <w:rPr>
          <w:rFonts w:cs="Arial"/>
          <w:bCs/>
          <w:color w:val="000000"/>
          <w:sz w:val="24"/>
        </w:rPr>
      </w:pPr>
    </w:p>
    <w:p w14:paraId="1B379EFB"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Un 38% de los centros MYPES declaró poseer registros de capacitaciones, Derecho a Saber (DAS) u obligación de informar riesgos laborales y de entrega de elementos de protección personal, mientras que un 100% de los centros del segmento Grande declararon poseer dichos registros.</w:t>
      </w:r>
    </w:p>
    <w:p w14:paraId="3689A50C" w14:textId="77777777" w:rsidR="00706986" w:rsidRPr="00706986" w:rsidRDefault="00706986" w:rsidP="00B362ED">
      <w:pPr>
        <w:pStyle w:val="Encabezado"/>
        <w:jc w:val="both"/>
        <w:rPr>
          <w:rFonts w:cs="Arial"/>
          <w:bCs/>
          <w:color w:val="000000"/>
          <w:sz w:val="24"/>
        </w:rPr>
      </w:pPr>
    </w:p>
    <w:p w14:paraId="3FDAB7B5"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El 100% de los centros MYPES declaró no contar con un cronograma de capacitaciones para sus trabajadores mientras que un 100% de los centros del segmento Grande declaró poseer dicho cronograma.</w:t>
      </w:r>
    </w:p>
    <w:p w14:paraId="598D855D" w14:textId="77777777" w:rsidR="00706986" w:rsidRPr="00706986" w:rsidRDefault="00706986" w:rsidP="00B362ED">
      <w:pPr>
        <w:pStyle w:val="Encabezado"/>
        <w:jc w:val="both"/>
        <w:rPr>
          <w:rFonts w:cs="Arial"/>
          <w:bCs/>
          <w:color w:val="000000"/>
          <w:sz w:val="24"/>
        </w:rPr>
      </w:pPr>
    </w:p>
    <w:p w14:paraId="44C68141"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Un 46% de los centros MYPES declaró no conocer la normativa asociada a planes de contingencia y solo un 23% cuenta con el Plan de Contingencia Hombre al Agua. No cuentan con Plan de Contingencia Contra Incendio, Buceo ni Mal Tiempo.  Los centros del segmento Grande declararon conocer la normativa asociada a planes de contingencia y contar con los planes de contingencia. El 80%  posee Plan de Contingencia contra incendio, buceo y mal tiempo y el 90% posee Plan Contingencia hombre al agua.</w:t>
      </w:r>
    </w:p>
    <w:p w14:paraId="25422FFB" w14:textId="77777777" w:rsidR="00706986" w:rsidRPr="00706986" w:rsidRDefault="00706986" w:rsidP="00B362ED">
      <w:pPr>
        <w:pStyle w:val="Encabezado"/>
        <w:jc w:val="both"/>
        <w:rPr>
          <w:rFonts w:cs="Arial"/>
          <w:bCs/>
          <w:color w:val="000000"/>
          <w:sz w:val="24"/>
        </w:rPr>
      </w:pPr>
    </w:p>
    <w:p w14:paraId="0E59870A"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El 100% de los centros del segmento Grande declaró tener conformado un Comité Paritario. En el caso de los centros del segmento MYPES, estos no se encuentran obligados por ley a conformar un Comité Paritario ya que, en promedio, el número de trabajadores es menor a 25.</w:t>
      </w:r>
    </w:p>
    <w:p w14:paraId="773778F0" w14:textId="77777777" w:rsidR="00706986" w:rsidRPr="00706986" w:rsidRDefault="00706986" w:rsidP="00B362ED">
      <w:pPr>
        <w:pStyle w:val="Encabezado"/>
        <w:jc w:val="both"/>
        <w:rPr>
          <w:rFonts w:cs="Arial"/>
          <w:bCs/>
          <w:color w:val="000000"/>
          <w:sz w:val="24"/>
        </w:rPr>
      </w:pPr>
    </w:p>
    <w:p w14:paraId="1B9E37BE" w14:textId="77777777" w:rsidR="00B362ED"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Un 8% de los centros MYPES declaró cumplir con la Ley de Subcontratación, porcentaje que asciende a un 90% en el caso de los centros del segmento Grande.</w:t>
      </w:r>
    </w:p>
    <w:p w14:paraId="26277757" w14:textId="77777777" w:rsidR="00706986" w:rsidRPr="00706986" w:rsidRDefault="00706986" w:rsidP="00B362ED">
      <w:pPr>
        <w:pStyle w:val="Encabezado"/>
        <w:jc w:val="both"/>
        <w:rPr>
          <w:rFonts w:cs="Arial"/>
          <w:bCs/>
          <w:color w:val="000000"/>
          <w:sz w:val="24"/>
        </w:rPr>
      </w:pPr>
    </w:p>
    <w:p w14:paraId="3094D962" w14:textId="1FCD34D7" w:rsidR="00B362ED" w:rsidRPr="00706986" w:rsidRDefault="00B362ED" w:rsidP="00B362ED">
      <w:pPr>
        <w:pStyle w:val="Encabezado"/>
        <w:jc w:val="both"/>
        <w:rPr>
          <w:rFonts w:cs="Arial"/>
          <w:bCs/>
          <w:color w:val="000000"/>
          <w:sz w:val="24"/>
        </w:rPr>
      </w:pPr>
      <w:r w:rsidRPr="00706986">
        <w:rPr>
          <w:rFonts w:cs="Arial"/>
          <w:bCs/>
          <w:color w:val="000000"/>
          <w:sz w:val="24"/>
        </w:rPr>
        <w:t>•</w:t>
      </w:r>
      <w:r w:rsidRPr="00706986">
        <w:rPr>
          <w:rFonts w:cs="Arial"/>
          <w:bCs/>
          <w:color w:val="000000"/>
          <w:sz w:val="24"/>
        </w:rPr>
        <w:tab/>
        <w:t xml:space="preserve">Un 90 % de los centros del segmento Grande cumplen con la normativa técnica TMERT (trastornos </w:t>
      </w:r>
      <w:proofErr w:type="spellStart"/>
      <w:r w:rsidRPr="00706986">
        <w:rPr>
          <w:rFonts w:cs="Arial"/>
          <w:bCs/>
          <w:color w:val="000000"/>
          <w:sz w:val="24"/>
        </w:rPr>
        <w:t>muescoloesqueléticos</w:t>
      </w:r>
      <w:proofErr w:type="spellEnd"/>
      <w:r w:rsidRPr="00706986">
        <w:rPr>
          <w:rFonts w:cs="Arial"/>
          <w:bCs/>
          <w:color w:val="000000"/>
          <w:sz w:val="24"/>
        </w:rPr>
        <w:t xml:space="preserve"> de extremidades superiores relacionadas con el trabajo), el protocolo PREXOR (protocolo de exposición ocupacional a ruido) y el Protocolo Psicosocial mientras que la totalidad de los centros del segmento MYPES no cumplen con dichas normativas y protocolos.</w:t>
      </w:r>
    </w:p>
    <w:sectPr w:rsidR="00B362ED" w:rsidRPr="00706986" w:rsidSect="001A208D">
      <w:footerReference w:type="even" r:id="rId85"/>
      <w:footerReference w:type="default" r:id="rId86"/>
      <w:pgSz w:w="12240" w:h="15840" w:code="1"/>
      <w:pgMar w:top="1417" w:right="1701" w:bottom="1843" w:left="1701" w:header="708" w:footer="708" w:gutter="0"/>
      <w:cols w:space="708"/>
      <w:titlePg/>
      <w:docGrid w:linePitch="435"/>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D2DF3C" w15:done="0"/>
  <w15:commentEx w15:paraId="4080783B" w15:done="0"/>
  <w15:commentEx w15:paraId="10F0ECF7" w15:done="0"/>
  <w15:commentEx w15:paraId="5553F027" w15:done="0"/>
  <w15:commentEx w15:paraId="48EF18C4" w15:done="0"/>
  <w15:commentEx w15:paraId="6A7CA1EF" w15:done="0"/>
  <w15:commentEx w15:paraId="687F366E" w15:paraIdParent="6A7CA1EF" w15:done="0"/>
  <w15:commentEx w15:paraId="5146DD34" w15:done="0"/>
  <w15:commentEx w15:paraId="12216251" w15:done="0"/>
  <w15:commentEx w15:paraId="393F180A" w15:done="0"/>
  <w15:commentEx w15:paraId="34862AD0" w15:done="0"/>
  <w15:commentEx w15:paraId="60D00A85" w15:done="0"/>
  <w15:commentEx w15:paraId="589BFB28" w15:done="0"/>
  <w15:commentEx w15:paraId="0CE2ECB1" w15:done="0"/>
  <w15:commentEx w15:paraId="67E59872" w15:done="0"/>
  <w15:commentEx w15:paraId="10CB5A8D" w15:done="0"/>
  <w15:commentEx w15:paraId="725D8364" w15:done="0"/>
  <w15:commentEx w15:paraId="64509F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13CCC" w14:textId="77777777" w:rsidR="007F6DBD" w:rsidRDefault="007F6DBD" w:rsidP="00B81524">
      <w:pPr>
        <w:spacing w:after="0" w:line="240" w:lineRule="auto"/>
      </w:pPr>
      <w:r>
        <w:separator/>
      </w:r>
    </w:p>
  </w:endnote>
  <w:endnote w:type="continuationSeparator" w:id="0">
    <w:p w14:paraId="451ED172" w14:textId="77777777" w:rsidR="007F6DBD" w:rsidRDefault="007F6DBD" w:rsidP="00B81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Light">
    <w:altName w:val="Courier New"/>
    <w:charset w:val="00"/>
    <w:family w:val="auto"/>
    <w:pitch w:val="variable"/>
    <w:sig w:usb0="00000001" w:usb1="00000001" w:usb2="00000000" w:usb3="00000000" w:csb0="00000093" w:csb1="00000000"/>
  </w:font>
  <w:font w:name="Calibri">
    <w:panose1 w:val="020F0502020204030204"/>
    <w:charset w:val="00"/>
    <w:family w:val="swiss"/>
    <w:pitch w:val="variable"/>
    <w:sig w:usb0="E0002AFF" w:usb1="C000247B" w:usb2="00000009" w:usb3="00000000" w:csb0="000001FF" w:csb1="00000000"/>
  </w:font>
  <w:font w:name="Titillium">
    <w:altName w:val="Courier New"/>
    <w:charset w:val="00"/>
    <w:family w:val="auto"/>
    <w:pitch w:val="variable"/>
    <w:sig w:usb0="00000001"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Titillium Bd">
    <w:altName w:val="Courier New"/>
    <w:charset w:val="00"/>
    <w:family w:val="auto"/>
    <w:pitch w:val="variable"/>
    <w:sig w:usb0="00000001" w:usb1="00000001" w:usb2="00000000" w:usb3="00000000" w:csb0="00000093" w:csb1="00000000"/>
  </w:font>
  <w:font w:name="Titilium">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7B79F" w14:textId="77777777" w:rsidR="008317B9" w:rsidRDefault="008317B9" w:rsidP="00492B0C">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932D7AA" w14:textId="77777777" w:rsidR="008317B9" w:rsidRDefault="008317B9" w:rsidP="00630A52">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C0289" w14:textId="32EDE5A8" w:rsidR="008317B9" w:rsidRPr="00630A52" w:rsidRDefault="008317B9" w:rsidP="000C7BAD">
    <w:pPr>
      <w:pStyle w:val="Piedepgina"/>
      <w:framePr w:wrap="none" w:vAnchor="text" w:hAnchor="page" w:x="9803" w:y="49"/>
      <w:rPr>
        <w:rStyle w:val="Nmerodepgina"/>
        <w:color w:val="FFFFFF" w:themeColor="background1"/>
      </w:rPr>
    </w:pPr>
    <w:r w:rsidRPr="00630A52">
      <w:rPr>
        <w:rStyle w:val="Nmerodepgina"/>
        <w:color w:val="FFFFFF" w:themeColor="background1"/>
      </w:rPr>
      <w:fldChar w:fldCharType="begin"/>
    </w:r>
    <w:r w:rsidRPr="00630A52">
      <w:rPr>
        <w:rStyle w:val="Nmerodepgina"/>
        <w:color w:val="FFFFFF" w:themeColor="background1"/>
      </w:rPr>
      <w:instrText xml:space="preserve">PAGE  </w:instrText>
    </w:r>
    <w:r w:rsidRPr="00630A52">
      <w:rPr>
        <w:rStyle w:val="Nmerodepgina"/>
        <w:color w:val="FFFFFF" w:themeColor="background1"/>
      </w:rPr>
      <w:fldChar w:fldCharType="separate"/>
    </w:r>
    <w:r w:rsidR="0088039A">
      <w:rPr>
        <w:rStyle w:val="Nmerodepgina"/>
        <w:noProof/>
        <w:color w:val="FFFFFF" w:themeColor="background1"/>
      </w:rPr>
      <w:t>2</w:t>
    </w:r>
    <w:r w:rsidRPr="00630A52">
      <w:rPr>
        <w:rStyle w:val="Nmerodepgina"/>
        <w:color w:val="FFFFFF" w:themeColor="background1"/>
      </w:rPr>
      <w:fldChar w:fldCharType="end"/>
    </w:r>
  </w:p>
  <w:p w14:paraId="1506EF59" w14:textId="1F92133D" w:rsidR="008317B9" w:rsidRDefault="008317B9" w:rsidP="00F249D4">
    <w:pPr>
      <w:pStyle w:val="Piedepgina"/>
      <w:ind w:right="360"/>
      <w:rPr>
        <w:color w:val="262626" w:themeColor="text1" w:themeTint="D9"/>
        <w:sz w:val="18"/>
      </w:rPr>
    </w:pPr>
    <w:r w:rsidRPr="00630A52">
      <w:rPr>
        <w:noProof/>
        <w:color w:val="262626" w:themeColor="text1" w:themeTint="D9"/>
        <w:sz w:val="18"/>
        <w:lang w:val="es-CL" w:eastAsia="es-CL"/>
      </w:rPr>
      <mc:AlternateContent>
        <mc:Choice Requires="wps">
          <w:drawing>
            <wp:anchor distT="0" distB="0" distL="114300" distR="114300" simplePos="0" relativeHeight="251659264" behindDoc="1" locked="0" layoutInCell="1" allowOverlap="1" wp14:anchorId="298868EB" wp14:editId="16B9D87B">
              <wp:simplePos x="0" y="0"/>
              <wp:positionH relativeFrom="column">
                <wp:posOffset>5080001</wp:posOffset>
              </wp:positionH>
              <wp:positionV relativeFrom="paragraph">
                <wp:posOffset>-139783</wp:posOffset>
              </wp:positionV>
              <wp:extent cx="405848" cy="552450"/>
              <wp:effectExtent l="0" t="0" r="635" b="6350"/>
              <wp:wrapNone/>
              <wp:docPr id="453" name="Rectángulo 453"/>
              <wp:cNvGraphicFramePr/>
              <a:graphic xmlns:a="http://schemas.openxmlformats.org/drawingml/2006/main">
                <a:graphicData uri="http://schemas.microsoft.com/office/word/2010/wordprocessingShape">
                  <wps:wsp>
                    <wps:cNvSpPr/>
                    <wps:spPr>
                      <a:xfrm>
                        <a:off x="0" y="0"/>
                        <a:ext cx="405848" cy="552450"/>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8CBFE9A" id="Rectángulo 453" o:spid="_x0000_s1026" style="position:absolute;margin-left:400pt;margin-top:-11pt;width:31.95pt;height: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" fillcolor="#e36c0a [2409]" stroked="f" strokeweight="2pt"/>
          </w:pict>
        </mc:Fallback>
      </mc:AlternateContent>
    </w:r>
    <w:r>
      <w:rPr>
        <w:color w:val="262626" w:themeColor="text1" w:themeTint="D9"/>
        <w:sz w:val="18"/>
      </w:rPr>
      <w:t xml:space="preserve"> </w:t>
    </w:r>
  </w:p>
  <w:p w14:paraId="5B55FCA7" w14:textId="61A97E4A" w:rsidR="008317B9" w:rsidRDefault="008317B9" w:rsidP="00F249D4">
    <w:pPr>
      <w:pStyle w:val="Piedepgina"/>
      <w:ind w:right="360"/>
      <w:jc w:val="both"/>
      <w:rPr>
        <w:color w:val="262626" w:themeColor="text1" w:themeTint="D9"/>
        <w:sz w:val="18"/>
      </w:rPr>
    </w:pPr>
    <w:r w:rsidRPr="00F249D4">
      <w:rPr>
        <w:color w:val="262626" w:themeColor="text1" w:themeTint="D9"/>
        <w:sz w:val="18"/>
      </w:rPr>
      <w:t xml:space="preserve">                                                                                                                             </w:t>
    </w:r>
    <w:r>
      <w:rPr>
        <w:color w:val="262626" w:themeColor="text1" w:themeTint="D9"/>
        <w:sz w:val="18"/>
      </w:rPr>
      <w:t xml:space="preserve">                                              La </w:t>
    </w:r>
    <w:proofErr w:type="spellStart"/>
    <w:r w:rsidRPr="00F249D4">
      <w:rPr>
        <w:color w:val="262626" w:themeColor="text1" w:themeTint="D9"/>
        <w:sz w:val="18"/>
      </w:rPr>
      <w:t>Mitilicult</w:t>
    </w:r>
    <w:r>
      <w:rPr>
        <w:color w:val="262626" w:themeColor="text1" w:themeTint="D9"/>
        <w:sz w:val="18"/>
      </w:rPr>
      <w:t>u</w:t>
    </w:r>
    <w:r w:rsidRPr="00F249D4">
      <w:rPr>
        <w:color w:val="262626" w:themeColor="text1" w:themeTint="D9"/>
        <w:sz w:val="18"/>
      </w:rPr>
      <w:t>ra</w:t>
    </w:r>
    <w:proofErr w:type="spellEnd"/>
    <w:r w:rsidRPr="00F249D4">
      <w:rPr>
        <w:color w:val="262626" w:themeColor="text1" w:themeTint="D9"/>
        <w:sz w:val="18"/>
      </w:rPr>
      <w:t xml:space="preserve"> </w:t>
    </w:r>
  </w:p>
  <w:p w14:paraId="6D19DAE7" w14:textId="40A141A9" w:rsidR="008317B9" w:rsidRPr="00F249D4" w:rsidRDefault="008317B9" w:rsidP="00F249D4">
    <w:pPr>
      <w:pStyle w:val="Piedepgina"/>
      <w:ind w:right="360"/>
      <w:jc w:val="both"/>
      <w:rPr>
        <w:color w:val="262626" w:themeColor="text1" w:themeTint="D9"/>
        <w:sz w:val="18"/>
      </w:rPr>
    </w:pPr>
    <w:r>
      <w:rPr>
        <w:color w:val="262626" w:themeColor="text1" w:themeTint="D9"/>
        <w:sz w:val="18"/>
      </w:rPr>
      <w:t xml:space="preserve">                                                                                                                                                                                        </w:t>
    </w:r>
    <w:proofErr w:type="gramStart"/>
    <w:r w:rsidRPr="00F249D4">
      <w:rPr>
        <w:color w:val="262626" w:themeColor="text1" w:themeTint="D9"/>
        <w:sz w:val="18"/>
      </w:rPr>
      <w:t>en</w:t>
    </w:r>
    <w:proofErr w:type="gramEnd"/>
    <w:r w:rsidRPr="00F249D4">
      <w:rPr>
        <w:color w:val="262626" w:themeColor="text1" w:themeTint="D9"/>
        <w:sz w:val="18"/>
      </w:rPr>
      <w:t xml:space="preserve"> Chile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C6D11" w14:textId="77777777" w:rsidR="007F6DBD" w:rsidRDefault="007F6DBD" w:rsidP="00B81524">
      <w:pPr>
        <w:spacing w:after="0" w:line="240" w:lineRule="auto"/>
      </w:pPr>
      <w:r>
        <w:separator/>
      </w:r>
    </w:p>
  </w:footnote>
  <w:footnote w:type="continuationSeparator" w:id="0">
    <w:p w14:paraId="78841EAD" w14:textId="77777777" w:rsidR="007F6DBD" w:rsidRDefault="007F6DBD" w:rsidP="00B815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666B7"/>
    <w:multiLevelType w:val="hybridMultilevel"/>
    <w:tmpl w:val="7466D6D8"/>
    <w:lvl w:ilvl="0" w:tplc="040A000F">
      <w:start w:val="1"/>
      <w:numFmt w:val="decimal"/>
      <w:lvlText w:val="%1."/>
      <w:lvlJc w:val="left"/>
      <w:pPr>
        <w:ind w:left="502"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141F196A"/>
    <w:multiLevelType w:val="hybridMultilevel"/>
    <w:tmpl w:val="3DBA53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7996BCB"/>
    <w:multiLevelType w:val="multilevel"/>
    <w:tmpl w:val="6ED2FA96"/>
    <w:lvl w:ilvl="0">
      <w:start w:val="1"/>
      <w:numFmt w:val="decimal"/>
      <w:lvlText w:val="%1."/>
      <w:lvlJc w:val="left"/>
      <w:pPr>
        <w:ind w:left="720" w:hanging="360"/>
      </w:pPr>
      <w:rPr>
        <w:rFonts w:ascii="Times New Roman" w:hAnsi="Times New Roman" w:cs="Times New Roman"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3691DD8"/>
    <w:multiLevelType w:val="hybridMultilevel"/>
    <w:tmpl w:val="D92E3480"/>
    <w:lvl w:ilvl="0" w:tplc="99CE1066">
      <w:start w:val="1"/>
      <w:numFmt w:val="decimal"/>
      <w:lvlText w:val="%1."/>
      <w:lvlJc w:val="left"/>
      <w:pPr>
        <w:ind w:left="1080" w:hanging="360"/>
      </w:pPr>
      <w:rPr>
        <w:rFonts w:hint="default"/>
        <w:color w:val="E36C0A" w:themeColor="accent6" w:themeShade="BF"/>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4">
    <w:nsid w:val="27ED7068"/>
    <w:multiLevelType w:val="hybridMultilevel"/>
    <w:tmpl w:val="D1BA874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322D1391"/>
    <w:multiLevelType w:val="hybridMultilevel"/>
    <w:tmpl w:val="BF0264A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2FC272B"/>
    <w:multiLevelType w:val="hybridMultilevel"/>
    <w:tmpl w:val="473AD63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3AB5214"/>
    <w:multiLevelType w:val="hybridMultilevel"/>
    <w:tmpl w:val="909C5D3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B2F3BCC"/>
    <w:multiLevelType w:val="hybridMultilevel"/>
    <w:tmpl w:val="D9647B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0DC72BD"/>
    <w:multiLevelType w:val="hybridMultilevel"/>
    <w:tmpl w:val="2C286B2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0">
    <w:nsid w:val="4116255F"/>
    <w:multiLevelType w:val="hybridMultilevel"/>
    <w:tmpl w:val="D1CE4C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nsid w:val="43F83F26"/>
    <w:multiLevelType w:val="hybridMultilevel"/>
    <w:tmpl w:val="A1D629A8"/>
    <w:lvl w:ilvl="0" w:tplc="DA684864">
      <w:start w:val="1"/>
      <w:numFmt w:val="decimal"/>
      <w:lvlText w:val="(%1)"/>
      <w:lvlJc w:val="left"/>
      <w:pPr>
        <w:ind w:left="765" w:hanging="405"/>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46DD3ED6"/>
    <w:multiLevelType w:val="hybridMultilevel"/>
    <w:tmpl w:val="2766BC74"/>
    <w:lvl w:ilvl="0" w:tplc="63F4E468">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81E638C"/>
    <w:multiLevelType w:val="hybridMultilevel"/>
    <w:tmpl w:val="6EE246B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48936D11"/>
    <w:multiLevelType w:val="hybridMultilevel"/>
    <w:tmpl w:val="E7960E88"/>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5">
    <w:nsid w:val="5285045B"/>
    <w:multiLevelType w:val="hybridMultilevel"/>
    <w:tmpl w:val="78827EF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50564E6"/>
    <w:multiLevelType w:val="hybridMultilevel"/>
    <w:tmpl w:val="061A6CC0"/>
    <w:lvl w:ilvl="0" w:tplc="93C44C50">
      <w:start w:val="1"/>
      <w:numFmt w:val="decimal"/>
      <w:lvlText w:val="%1)"/>
      <w:lvlJc w:val="left"/>
      <w:pPr>
        <w:ind w:left="360" w:hanging="360"/>
      </w:pPr>
      <w:rPr>
        <w:rFonts w:ascii="Titillium Light" w:hAnsi="Titillium Light" w:hint="default"/>
        <w:color w:val="F79646" w:themeColor="accent6"/>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7">
    <w:nsid w:val="71BE4673"/>
    <w:multiLevelType w:val="hybridMultilevel"/>
    <w:tmpl w:val="4D762A7E"/>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8">
    <w:nsid w:val="76F61206"/>
    <w:multiLevelType w:val="hybridMultilevel"/>
    <w:tmpl w:val="2E0874F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nsid w:val="7A91649E"/>
    <w:multiLevelType w:val="hybridMultilevel"/>
    <w:tmpl w:val="B4EC3878"/>
    <w:lvl w:ilvl="0" w:tplc="340A0001">
      <w:start w:val="1"/>
      <w:numFmt w:val="bullet"/>
      <w:lvlText w:val=""/>
      <w:lvlJc w:val="left"/>
      <w:pPr>
        <w:ind w:left="5889" w:hanging="360"/>
      </w:pPr>
      <w:rPr>
        <w:rFonts w:ascii="Symbol" w:hAnsi="Symbol" w:hint="default"/>
      </w:rPr>
    </w:lvl>
    <w:lvl w:ilvl="1" w:tplc="340A0003" w:tentative="1">
      <w:start w:val="1"/>
      <w:numFmt w:val="bullet"/>
      <w:lvlText w:val="o"/>
      <w:lvlJc w:val="left"/>
      <w:pPr>
        <w:ind w:left="6609" w:hanging="360"/>
      </w:pPr>
      <w:rPr>
        <w:rFonts w:ascii="Courier New" w:hAnsi="Courier New" w:cs="Courier New" w:hint="default"/>
      </w:rPr>
    </w:lvl>
    <w:lvl w:ilvl="2" w:tplc="340A0005" w:tentative="1">
      <w:start w:val="1"/>
      <w:numFmt w:val="bullet"/>
      <w:lvlText w:val=""/>
      <w:lvlJc w:val="left"/>
      <w:pPr>
        <w:ind w:left="7329" w:hanging="360"/>
      </w:pPr>
      <w:rPr>
        <w:rFonts w:ascii="Wingdings" w:hAnsi="Wingdings" w:hint="default"/>
      </w:rPr>
    </w:lvl>
    <w:lvl w:ilvl="3" w:tplc="340A0001" w:tentative="1">
      <w:start w:val="1"/>
      <w:numFmt w:val="bullet"/>
      <w:lvlText w:val=""/>
      <w:lvlJc w:val="left"/>
      <w:pPr>
        <w:ind w:left="8049" w:hanging="360"/>
      </w:pPr>
      <w:rPr>
        <w:rFonts w:ascii="Symbol" w:hAnsi="Symbol" w:hint="default"/>
      </w:rPr>
    </w:lvl>
    <w:lvl w:ilvl="4" w:tplc="340A0003" w:tentative="1">
      <w:start w:val="1"/>
      <w:numFmt w:val="bullet"/>
      <w:lvlText w:val="o"/>
      <w:lvlJc w:val="left"/>
      <w:pPr>
        <w:ind w:left="8769" w:hanging="360"/>
      </w:pPr>
      <w:rPr>
        <w:rFonts w:ascii="Courier New" w:hAnsi="Courier New" w:cs="Courier New" w:hint="default"/>
      </w:rPr>
    </w:lvl>
    <w:lvl w:ilvl="5" w:tplc="340A0005" w:tentative="1">
      <w:start w:val="1"/>
      <w:numFmt w:val="bullet"/>
      <w:lvlText w:val=""/>
      <w:lvlJc w:val="left"/>
      <w:pPr>
        <w:ind w:left="9489" w:hanging="360"/>
      </w:pPr>
      <w:rPr>
        <w:rFonts w:ascii="Wingdings" w:hAnsi="Wingdings" w:hint="default"/>
      </w:rPr>
    </w:lvl>
    <w:lvl w:ilvl="6" w:tplc="340A0001" w:tentative="1">
      <w:start w:val="1"/>
      <w:numFmt w:val="bullet"/>
      <w:lvlText w:val=""/>
      <w:lvlJc w:val="left"/>
      <w:pPr>
        <w:ind w:left="10209" w:hanging="360"/>
      </w:pPr>
      <w:rPr>
        <w:rFonts w:ascii="Symbol" w:hAnsi="Symbol" w:hint="default"/>
      </w:rPr>
    </w:lvl>
    <w:lvl w:ilvl="7" w:tplc="340A0003" w:tentative="1">
      <w:start w:val="1"/>
      <w:numFmt w:val="bullet"/>
      <w:lvlText w:val="o"/>
      <w:lvlJc w:val="left"/>
      <w:pPr>
        <w:ind w:left="10929" w:hanging="360"/>
      </w:pPr>
      <w:rPr>
        <w:rFonts w:ascii="Courier New" w:hAnsi="Courier New" w:cs="Courier New" w:hint="default"/>
      </w:rPr>
    </w:lvl>
    <w:lvl w:ilvl="8" w:tplc="340A0005" w:tentative="1">
      <w:start w:val="1"/>
      <w:numFmt w:val="bullet"/>
      <w:lvlText w:val=""/>
      <w:lvlJc w:val="left"/>
      <w:pPr>
        <w:ind w:left="11649" w:hanging="360"/>
      </w:pPr>
      <w:rPr>
        <w:rFonts w:ascii="Wingdings" w:hAnsi="Wingdings" w:hint="default"/>
      </w:rPr>
    </w:lvl>
  </w:abstractNum>
  <w:num w:numId="1">
    <w:abstractNumId w:val="12"/>
  </w:num>
  <w:num w:numId="2">
    <w:abstractNumId w:val="5"/>
  </w:num>
  <w:num w:numId="3">
    <w:abstractNumId w:val="7"/>
  </w:num>
  <w:num w:numId="4">
    <w:abstractNumId w:val="17"/>
  </w:num>
  <w:num w:numId="5">
    <w:abstractNumId w:val="9"/>
  </w:num>
  <w:num w:numId="6">
    <w:abstractNumId w:val="14"/>
  </w:num>
  <w:num w:numId="7">
    <w:abstractNumId w:val="6"/>
  </w:num>
  <w:num w:numId="8">
    <w:abstractNumId w:val="8"/>
  </w:num>
  <w:num w:numId="9">
    <w:abstractNumId w:val="15"/>
  </w:num>
  <w:num w:numId="10">
    <w:abstractNumId w:val="10"/>
  </w:num>
  <w:num w:numId="11">
    <w:abstractNumId w:val="0"/>
  </w:num>
  <w:num w:numId="12">
    <w:abstractNumId w:val="18"/>
  </w:num>
  <w:num w:numId="13">
    <w:abstractNumId w:val="2"/>
  </w:num>
  <w:num w:numId="14">
    <w:abstractNumId w:val="3"/>
  </w:num>
  <w:num w:numId="15">
    <w:abstractNumId w:val="11"/>
  </w:num>
  <w:num w:numId="16">
    <w:abstractNumId w:val="4"/>
  </w:num>
  <w:num w:numId="17">
    <w:abstractNumId w:val="3"/>
    <w:lvlOverride w:ilvl="0">
      <w:startOverride w:val="1"/>
    </w:lvlOverride>
  </w:num>
  <w:num w:numId="18">
    <w:abstractNumId w:val="16"/>
  </w:num>
  <w:num w:numId="19">
    <w:abstractNumId w:val="13"/>
  </w:num>
  <w:num w:numId="20">
    <w:abstractNumId w:val="19"/>
  </w:num>
  <w:num w:numId="21">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anco Papic">
    <w15:presenceInfo w15:providerId="None" w15:userId="Branco Papi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08"/>
  <w:hyphenationZone w:val="425"/>
  <w:drawingGridHorizontalSpacing w:val="160"/>
  <w:drawingGridVerticalSpacing w:val="435"/>
  <w:displayHorizontalDrawingGridEvery w:val="2"/>
  <w:characterSpacingControl w:val="doNotCompress"/>
  <w:hdrShapeDefaults>
    <o:shapedefaults v:ext="edit" spidmax="2049">
      <o:colormru v:ext="edit" colors="#ffc,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ACE"/>
    <w:rsid w:val="00000B20"/>
    <w:rsid w:val="00001C3E"/>
    <w:rsid w:val="000021AE"/>
    <w:rsid w:val="00002ACE"/>
    <w:rsid w:val="00004F8F"/>
    <w:rsid w:val="00005C2B"/>
    <w:rsid w:val="00005D29"/>
    <w:rsid w:val="000068A6"/>
    <w:rsid w:val="00014F85"/>
    <w:rsid w:val="00016A0E"/>
    <w:rsid w:val="00020774"/>
    <w:rsid w:val="00020D17"/>
    <w:rsid w:val="00023B3E"/>
    <w:rsid w:val="0002507F"/>
    <w:rsid w:val="000256BA"/>
    <w:rsid w:val="000263D6"/>
    <w:rsid w:val="00027880"/>
    <w:rsid w:val="00031DDB"/>
    <w:rsid w:val="0003242B"/>
    <w:rsid w:val="00033BC8"/>
    <w:rsid w:val="00033C1E"/>
    <w:rsid w:val="00033E1E"/>
    <w:rsid w:val="0003618D"/>
    <w:rsid w:val="000362E7"/>
    <w:rsid w:val="00036C5F"/>
    <w:rsid w:val="000453AD"/>
    <w:rsid w:val="00046BBD"/>
    <w:rsid w:val="000479F1"/>
    <w:rsid w:val="00047FC6"/>
    <w:rsid w:val="00051D3B"/>
    <w:rsid w:val="00052876"/>
    <w:rsid w:val="0005620E"/>
    <w:rsid w:val="0005710D"/>
    <w:rsid w:val="0006015B"/>
    <w:rsid w:val="000606B4"/>
    <w:rsid w:val="00060CAC"/>
    <w:rsid w:val="00061292"/>
    <w:rsid w:val="0006133E"/>
    <w:rsid w:val="00061647"/>
    <w:rsid w:val="00061FF3"/>
    <w:rsid w:val="00062754"/>
    <w:rsid w:val="00063FC9"/>
    <w:rsid w:val="00070838"/>
    <w:rsid w:val="00071804"/>
    <w:rsid w:val="00071885"/>
    <w:rsid w:val="00071CFB"/>
    <w:rsid w:val="000721E1"/>
    <w:rsid w:val="0007370C"/>
    <w:rsid w:val="00074006"/>
    <w:rsid w:val="0007468B"/>
    <w:rsid w:val="00075049"/>
    <w:rsid w:val="000754E1"/>
    <w:rsid w:val="00075C09"/>
    <w:rsid w:val="000767B3"/>
    <w:rsid w:val="000770A0"/>
    <w:rsid w:val="00077564"/>
    <w:rsid w:val="00080A3B"/>
    <w:rsid w:val="00080E2E"/>
    <w:rsid w:val="00082B2B"/>
    <w:rsid w:val="00083CB1"/>
    <w:rsid w:val="000849B1"/>
    <w:rsid w:val="00085D0E"/>
    <w:rsid w:val="00085DF5"/>
    <w:rsid w:val="00085E84"/>
    <w:rsid w:val="000864DC"/>
    <w:rsid w:val="00086DF8"/>
    <w:rsid w:val="00090B08"/>
    <w:rsid w:val="00095E27"/>
    <w:rsid w:val="00095EFB"/>
    <w:rsid w:val="00096AC3"/>
    <w:rsid w:val="0009774D"/>
    <w:rsid w:val="000A0161"/>
    <w:rsid w:val="000A16F7"/>
    <w:rsid w:val="000A1A8E"/>
    <w:rsid w:val="000A1CEE"/>
    <w:rsid w:val="000A2C00"/>
    <w:rsid w:val="000A3F67"/>
    <w:rsid w:val="000A430B"/>
    <w:rsid w:val="000A48B3"/>
    <w:rsid w:val="000A5506"/>
    <w:rsid w:val="000A676C"/>
    <w:rsid w:val="000A7719"/>
    <w:rsid w:val="000B2056"/>
    <w:rsid w:val="000B3AD8"/>
    <w:rsid w:val="000B46FE"/>
    <w:rsid w:val="000B4DFD"/>
    <w:rsid w:val="000B4FA6"/>
    <w:rsid w:val="000B5B93"/>
    <w:rsid w:val="000B7DD5"/>
    <w:rsid w:val="000C1580"/>
    <w:rsid w:val="000C4731"/>
    <w:rsid w:val="000C6DFC"/>
    <w:rsid w:val="000C77F3"/>
    <w:rsid w:val="000C7A45"/>
    <w:rsid w:val="000C7BAD"/>
    <w:rsid w:val="000D10FD"/>
    <w:rsid w:val="000D1C8F"/>
    <w:rsid w:val="000D1C99"/>
    <w:rsid w:val="000D23CE"/>
    <w:rsid w:val="000D32E4"/>
    <w:rsid w:val="000D3B74"/>
    <w:rsid w:val="000D3FDC"/>
    <w:rsid w:val="000D5F5D"/>
    <w:rsid w:val="000D7271"/>
    <w:rsid w:val="000E05A4"/>
    <w:rsid w:val="000E075A"/>
    <w:rsid w:val="000E1B31"/>
    <w:rsid w:val="000E2548"/>
    <w:rsid w:val="000E2775"/>
    <w:rsid w:val="000E39EF"/>
    <w:rsid w:val="000E4A52"/>
    <w:rsid w:val="000E7CF8"/>
    <w:rsid w:val="000F1223"/>
    <w:rsid w:val="000F293F"/>
    <w:rsid w:val="000F2BAF"/>
    <w:rsid w:val="000F390D"/>
    <w:rsid w:val="000F6188"/>
    <w:rsid w:val="000F70CD"/>
    <w:rsid w:val="000F7199"/>
    <w:rsid w:val="00100095"/>
    <w:rsid w:val="001026DA"/>
    <w:rsid w:val="00105982"/>
    <w:rsid w:val="00111E24"/>
    <w:rsid w:val="00112572"/>
    <w:rsid w:val="00112C2D"/>
    <w:rsid w:val="00112C40"/>
    <w:rsid w:val="001132A4"/>
    <w:rsid w:val="001138BC"/>
    <w:rsid w:val="00115527"/>
    <w:rsid w:val="0011598C"/>
    <w:rsid w:val="00116403"/>
    <w:rsid w:val="00116A31"/>
    <w:rsid w:val="00117297"/>
    <w:rsid w:val="00117F96"/>
    <w:rsid w:val="00117FE6"/>
    <w:rsid w:val="00120AE0"/>
    <w:rsid w:val="00122004"/>
    <w:rsid w:val="001226E3"/>
    <w:rsid w:val="00122D33"/>
    <w:rsid w:val="00122D9C"/>
    <w:rsid w:val="00125C38"/>
    <w:rsid w:val="00127A4A"/>
    <w:rsid w:val="00127DCD"/>
    <w:rsid w:val="001307E5"/>
    <w:rsid w:val="001366A6"/>
    <w:rsid w:val="00140134"/>
    <w:rsid w:val="00140631"/>
    <w:rsid w:val="001414E6"/>
    <w:rsid w:val="00141A8B"/>
    <w:rsid w:val="001433BD"/>
    <w:rsid w:val="00145D55"/>
    <w:rsid w:val="001462F0"/>
    <w:rsid w:val="001507D3"/>
    <w:rsid w:val="00151887"/>
    <w:rsid w:val="00152EEA"/>
    <w:rsid w:val="00153640"/>
    <w:rsid w:val="00156EDD"/>
    <w:rsid w:val="00157909"/>
    <w:rsid w:val="00160A84"/>
    <w:rsid w:val="001637BE"/>
    <w:rsid w:val="0016461A"/>
    <w:rsid w:val="0016465E"/>
    <w:rsid w:val="00165F25"/>
    <w:rsid w:val="00166291"/>
    <w:rsid w:val="0016726D"/>
    <w:rsid w:val="0017217D"/>
    <w:rsid w:val="00173834"/>
    <w:rsid w:val="00173A68"/>
    <w:rsid w:val="00174C6E"/>
    <w:rsid w:val="001756F6"/>
    <w:rsid w:val="0017591C"/>
    <w:rsid w:val="001802A6"/>
    <w:rsid w:val="00180B9D"/>
    <w:rsid w:val="00182676"/>
    <w:rsid w:val="001829A7"/>
    <w:rsid w:val="001840C3"/>
    <w:rsid w:val="0018421B"/>
    <w:rsid w:val="0018460F"/>
    <w:rsid w:val="001848D6"/>
    <w:rsid w:val="00184FFC"/>
    <w:rsid w:val="001852D4"/>
    <w:rsid w:val="00185381"/>
    <w:rsid w:val="00186911"/>
    <w:rsid w:val="00186980"/>
    <w:rsid w:val="00187969"/>
    <w:rsid w:val="00190ADE"/>
    <w:rsid w:val="001910DA"/>
    <w:rsid w:val="00191C6E"/>
    <w:rsid w:val="00192161"/>
    <w:rsid w:val="00192632"/>
    <w:rsid w:val="00193122"/>
    <w:rsid w:val="0019533B"/>
    <w:rsid w:val="00197DDA"/>
    <w:rsid w:val="001A208D"/>
    <w:rsid w:val="001A2406"/>
    <w:rsid w:val="001A4333"/>
    <w:rsid w:val="001A4E98"/>
    <w:rsid w:val="001B3FCD"/>
    <w:rsid w:val="001B6116"/>
    <w:rsid w:val="001B7746"/>
    <w:rsid w:val="001C137B"/>
    <w:rsid w:val="001C62D0"/>
    <w:rsid w:val="001C73DE"/>
    <w:rsid w:val="001C7B6E"/>
    <w:rsid w:val="001D09FA"/>
    <w:rsid w:val="001D1B3C"/>
    <w:rsid w:val="001D2361"/>
    <w:rsid w:val="001D245D"/>
    <w:rsid w:val="001D2CB9"/>
    <w:rsid w:val="001D2D77"/>
    <w:rsid w:val="001D3602"/>
    <w:rsid w:val="001D41B0"/>
    <w:rsid w:val="001D4D13"/>
    <w:rsid w:val="001D6333"/>
    <w:rsid w:val="001D7126"/>
    <w:rsid w:val="001D7760"/>
    <w:rsid w:val="001E06A1"/>
    <w:rsid w:val="001E1AB2"/>
    <w:rsid w:val="001E3BDE"/>
    <w:rsid w:val="001E570F"/>
    <w:rsid w:val="001E5C54"/>
    <w:rsid w:val="001E72FC"/>
    <w:rsid w:val="001E7919"/>
    <w:rsid w:val="001F030E"/>
    <w:rsid w:val="001F20A6"/>
    <w:rsid w:val="001F45AB"/>
    <w:rsid w:val="001F6176"/>
    <w:rsid w:val="001F65E8"/>
    <w:rsid w:val="001F6605"/>
    <w:rsid w:val="001F730C"/>
    <w:rsid w:val="00200E13"/>
    <w:rsid w:val="00202346"/>
    <w:rsid w:val="00202C0A"/>
    <w:rsid w:val="002037A8"/>
    <w:rsid w:val="00204A4F"/>
    <w:rsid w:val="00204EDB"/>
    <w:rsid w:val="00205DFF"/>
    <w:rsid w:val="0020657C"/>
    <w:rsid w:val="00207C9A"/>
    <w:rsid w:val="00210073"/>
    <w:rsid w:val="002106CD"/>
    <w:rsid w:val="00210FB9"/>
    <w:rsid w:val="002163C8"/>
    <w:rsid w:val="0021701B"/>
    <w:rsid w:val="002172D3"/>
    <w:rsid w:val="00223140"/>
    <w:rsid w:val="00224353"/>
    <w:rsid w:val="002245D5"/>
    <w:rsid w:val="0022562E"/>
    <w:rsid w:val="002302CC"/>
    <w:rsid w:val="00230493"/>
    <w:rsid w:val="00231AAF"/>
    <w:rsid w:val="00232037"/>
    <w:rsid w:val="0023429A"/>
    <w:rsid w:val="00234340"/>
    <w:rsid w:val="00235045"/>
    <w:rsid w:val="0023547B"/>
    <w:rsid w:val="00235569"/>
    <w:rsid w:val="0023575F"/>
    <w:rsid w:val="00236046"/>
    <w:rsid w:val="00237D9E"/>
    <w:rsid w:val="002409A5"/>
    <w:rsid w:val="00241DFC"/>
    <w:rsid w:val="0024247A"/>
    <w:rsid w:val="0024262C"/>
    <w:rsid w:val="002442BC"/>
    <w:rsid w:val="00244CE1"/>
    <w:rsid w:val="00245123"/>
    <w:rsid w:val="00245BEF"/>
    <w:rsid w:val="00246095"/>
    <w:rsid w:val="0025077C"/>
    <w:rsid w:val="00251687"/>
    <w:rsid w:val="0025380D"/>
    <w:rsid w:val="00253F47"/>
    <w:rsid w:val="00253FC8"/>
    <w:rsid w:val="0025542D"/>
    <w:rsid w:val="0025645E"/>
    <w:rsid w:val="002570BC"/>
    <w:rsid w:val="00262851"/>
    <w:rsid w:val="00263236"/>
    <w:rsid w:val="0026448D"/>
    <w:rsid w:val="002647BB"/>
    <w:rsid w:val="00266A38"/>
    <w:rsid w:val="0026778B"/>
    <w:rsid w:val="00272D16"/>
    <w:rsid w:val="00273D1A"/>
    <w:rsid w:val="002754C9"/>
    <w:rsid w:val="002830D4"/>
    <w:rsid w:val="002857E8"/>
    <w:rsid w:val="002878D8"/>
    <w:rsid w:val="00287EE6"/>
    <w:rsid w:val="00290CCB"/>
    <w:rsid w:val="00292B51"/>
    <w:rsid w:val="00294B5C"/>
    <w:rsid w:val="00295065"/>
    <w:rsid w:val="00297F2B"/>
    <w:rsid w:val="002A03C2"/>
    <w:rsid w:val="002A1386"/>
    <w:rsid w:val="002A26C2"/>
    <w:rsid w:val="002A342E"/>
    <w:rsid w:val="002A3919"/>
    <w:rsid w:val="002A5498"/>
    <w:rsid w:val="002A56E6"/>
    <w:rsid w:val="002A5CD6"/>
    <w:rsid w:val="002B4EF6"/>
    <w:rsid w:val="002B5697"/>
    <w:rsid w:val="002B570B"/>
    <w:rsid w:val="002B58B3"/>
    <w:rsid w:val="002C0535"/>
    <w:rsid w:val="002C0A6D"/>
    <w:rsid w:val="002C2335"/>
    <w:rsid w:val="002C73BB"/>
    <w:rsid w:val="002D0226"/>
    <w:rsid w:val="002D06DC"/>
    <w:rsid w:val="002D12E0"/>
    <w:rsid w:val="002D1742"/>
    <w:rsid w:val="002D192D"/>
    <w:rsid w:val="002D3329"/>
    <w:rsid w:val="002D4957"/>
    <w:rsid w:val="002E25FB"/>
    <w:rsid w:val="002E2EAC"/>
    <w:rsid w:val="002E3901"/>
    <w:rsid w:val="002E3A31"/>
    <w:rsid w:val="002E62C5"/>
    <w:rsid w:val="002E63C7"/>
    <w:rsid w:val="002E652C"/>
    <w:rsid w:val="002E70A2"/>
    <w:rsid w:val="002F0B65"/>
    <w:rsid w:val="002F130B"/>
    <w:rsid w:val="002F18D9"/>
    <w:rsid w:val="002F2AB3"/>
    <w:rsid w:val="002F5101"/>
    <w:rsid w:val="002F578B"/>
    <w:rsid w:val="002F6968"/>
    <w:rsid w:val="002F6D52"/>
    <w:rsid w:val="002F72C7"/>
    <w:rsid w:val="002F7E9A"/>
    <w:rsid w:val="00301CAE"/>
    <w:rsid w:val="00302AEE"/>
    <w:rsid w:val="00303AAB"/>
    <w:rsid w:val="00304780"/>
    <w:rsid w:val="00304CC5"/>
    <w:rsid w:val="00305970"/>
    <w:rsid w:val="00307A98"/>
    <w:rsid w:val="0031000E"/>
    <w:rsid w:val="00313B13"/>
    <w:rsid w:val="003146AE"/>
    <w:rsid w:val="00314F91"/>
    <w:rsid w:val="00320A8A"/>
    <w:rsid w:val="00320D71"/>
    <w:rsid w:val="00320D9F"/>
    <w:rsid w:val="00322592"/>
    <w:rsid w:val="00322EFC"/>
    <w:rsid w:val="00323318"/>
    <w:rsid w:val="00323D01"/>
    <w:rsid w:val="00323FC4"/>
    <w:rsid w:val="003242EA"/>
    <w:rsid w:val="003328FE"/>
    <w:rsid w:val="00333FC8"/>
    <w:rsid w:val="0034264B"/>
    <w:rsid w:val="00342F1D"/>
    <w:rsid w:val="0034318A"/>
    <w:rsid w:val="0034584A"/>
    <w:rsid w:val="00350C00"/>
    <w:rsid w:val="00352C45"/>
    <w:rsid w:val="00352F02"/>
    <w:rsid w:val="003539DB"/>
    <w:rsid w:val="00353DB9"/>
    <w:rsid w:val="00355844"/>
    <w:rsid w:val="00357024"/>
    <w:rsid w:val="0035795B"/>
    <w:rsid w:val="0036019E"/>
    <w:rsid w:val="003603BA"/>
    <w:rsid w:val="0036351A"/>
    <w:rsid w:val="00363AD7"/>
    <w:rsid w:val="003641DA"/>
    <w:rsid w:val="0036423F"/>
    <w:rsid w:val="003647E8"/>
    <w:rsid w:val="00365E50"/>
    <w:rsid w:val="00365F2A"/>
    <w:rsid w:val="00366363"/>
    <w:rsid w:val="0037043A"/>
    <w:rsid w:val="003708A5"/>
    <w:rsid w:val="0037131E"/>
    <w:rsid w:val="003724C5"/>
    <w:rsid w:val="003760F2"/>
    <w:rsid w:val="0037632E"/>
    <w:rsid w:val="003767D1"/>
    <w:rsid w:val="00377A28"/>
    <w:rsid w:val="00380863"/>
    <w:rsid w:val="003825FE"/>
    <w:rsid w:val="00383694"/>
    <w:rsid w:val="00383FDA"/>
    <w:rsid w:val="00384883"/>
    <w:rsid w:val="00385561"/>
    <w:rsid w:val="00387512"/>
    <w:rsid w:val="00390594"/>
    <w:rsid w:val="003916D6"/>
    <w:rsid w:val="003921A6"/>
    <w:rsid w:val="00396541"/>
    <w:rsid w:val="003978A9"/>
    <w:rsid w:val="003A0EC5"/>
    <w:rsid w:val="003A115D"/>
    <w:rsid w:val="003A6E1A"/>
    <w:rsid w:val="003B0F76"/>
    <w:rsid w:val="003B2AA5"/>
    <w:rsid w:val="003B34FC"/>
    <w:rsid w:val="003B5F36"/>
    <w:rsid w:val="003B64A8"/>
    <w:rsid w:val="003B6F98"/>
    <w:rsid w:val="003B78B5"/>
    <w:rsid w:val="003C0589"/>
    <w:rsid w:val="003C3EFA"/>
    <w:rsid w:val="003C4CEC"/>
    <w:rsid w:val="003D1429"/>
    <w:rsid w:val="003D218D"/>
    <w:rsid w:val="003D2E4E"/>
    <w:rsid w:val="003D2FAD"/>
    <w:rsid w:val="003D304B"/>
    <w:rsid w:val="003D361E"/>
    <w:rsid w:val="003D3DD5"/>
    <w:rsid w:val="003E0B80"/>
    <w:rsid w:val="003E21BA"/>
    <w:rsid w:val="003E2B3F"/>
    <w:rsid w:val="003E2C96"/>
    <w:rsid w:val="003E3D1D"/>
    <w:rsid w:val="003E40E6"/>
    <w:rsid w:val="003E636E"/>
    <w:rsid w:val="003E6E09"/>
    <w:rsid w:val="003E6E93"/>
    <w:rsid w:val="003E7FEC"/>
    <w:rsid w:val="003F02B5"/>
    <w:rsid w:val="003F19C8"/>
    <w:rsid w:val="003F1BD3"/>
    <w:rsid w:val="003F1E31"/>
    <w:rsid w:val="003F32C5"/>
    <w:rsid w:val="003F4BFD"/>
    <w:rsid w:val="003F64E9"/>
    <w:rsid w:val="003F6953"/>
    <w:rsid w:val="00400750"/>
    <w:rsid w:val="004024C4"/>
    <w:rsid w:val="00402A8C"/>
    <w:rsid w:val="00402BBB"/>
    <w:rsid w:val="0040372C"/>
    <w:rsid w:val="00404120"/>
    <w:rsid w:val="00404256"/>
    <w:rsid w:val="0040466B"/>
    <w:rsid w:val="00405867"/>
    <w:rsid w:val="00406FC6"/>
    <w:rsid w:val="00407399"/>
    <w:rsid w:val="00407FAF"/>
    <w:rsid w:val="00412391"/>
    <w:rsid w:val="0041252A"/>
    <w:rsid w:val="00412E84"/>
    <w:rsid w:val="0041480E"/>
    <w:rsid w:val="00415235"/>
    <w:rsid w:val="00415976"/>
    <w:rsid w:val="0041652E"/>
    <w:rsid w:val="00416AD6"/>
    <w:rsid w:val="00420723"/>
    <w:rsid w:val="00420B14"/>
    <w:rsid w:val="00420F23"/>
    <w:rsid w:val="00422230"/>
    <w:rsid w:val="004229CE"/>
    <w:rsid w:val="004235E6"/>
    <w:rsid w:val="0042366C"/>
    <w:rsid w:val="00424365"/>
    <w:rsid w:val="0042437C"/>
    <w:rsid w:val="004243BD"/>
    <w:rsid w:val="00425961"/>
    <w:rsid w:val="0042682A"/>
    <w:rsid w:val="00426859"/>
    <w:rsid w:val="004269DD"/>
    <w:rsid w:val="00427A3A"/>
    <w:rsid w:val="00431E85"/>
    <w:rsid w:val="00432114"/>
    <w:rsid w:val="0043300B"/>
    <w:rsid w:val="0043455F"/>
    <w:rsid w:val="00434FE7"/>
    <w:rsid w:val="00435547"/>
    <w:rsid w:val="004356D0"/>
    <w:rsid w:val="00436D53"/>
    <w:rsid w:val="00437220"/>
    <w:rsid w:val="004377CC"/>
    <w:rsid w:val="00440A11"/>
    <w:rsid w:val="00441FFA"/>
    <w:rsid w:val="0044205B"/>
    <w:rsid w:val="00442310"/>
    <w:rsid w:val="00443FCD"/>
    <w:rsid w:val="0044604D"/>
    <w:rsid w:val="0044629F"/>
    <w:rsid w:val="00446A40"/>
    <w:rsid w:val="004522FE"/>
    <w:rsid w:val="00453056"/>
    <w:rsid w:val="0045338B"/>
    <w:rsid w:val="00454912"/>
    <w:rsid w:val="00455D19"/>
    <w:rsid w:val="004605A6"/>
    <w:rsid w:val="00462D68"/>
    <w:rsid w:val="004633B8"/>
    <w:rsid w:val="00465FDE"/>
    <w:rsid w:val="0047018B"/>
    <w:rsid w:val="00470C11"/>
    <w:rsid w:val="00471137"/>
    <w:rsid w:val="004729C0"/>
    <w:rsid w:val="00472E38"/>
    <w:rsid w:val="0047345B"/>
    <w:rsid w:val="00476188"/>
    <w:rsid w:val="004844BC"/>
    <w:rsid w:val="00485490"/>
    <w:rsid w:val="00485674"/>
    <w:rsid w:val="00485E9D"/>
    <w:rsid w:val="00487A8D"/>
    <w:rsid w:val="004927E1"/>
    <w:rsid w:val="00492B0C"/>
    <w:rsid w:val="004932BD"/>
    <w:rsid w:val="0049331F"/>
    <w:rsid w:val="00494B67"/>
    <w:rsid w:val="004A066C"/>
    <w:rsid w:val="004A0A11"/>
    <w:rsid w:val="004A177F"/>
    <w:rsid w:val="004A28A7"/>
    <w:rsid w:val="004A3355"/>
    <w:rsid w:val="004A3448"/>
    <w:rsid w:val="004B1180"/>
    <w:rsid w:val="004B184E"/>
    <w:rsid w:val="004B4E5E"/>
    <w:rsid w:val="004C002E"/>
    <w:rsid w:val="004C10E6"/>
    <w:rsid w:val="004C1AFB"/>
    <w:rsid w:val="004C3D12"/>
    <w:rsid w:val="004C45FC"/>
    <w:rsid w:val="004C48EC"/>
    <w:rsid w:val="004C4E79"/>
    <w:rsid w:val="004C5139"/>
    <w:rsid w:val="004C577A"/>
    <w:rsid w:val="004C5A06"/>
    <w:rsid w:val="004C5F99"/>
    <w:rsid w:val="004C6DCF"/>
    <w:rsid w:val="004C7A65"/>
    <w:rsid w:val="004D0501"/>
    <w:rsid w:val="004D0AD9"/>
    <w:rsid w:val="004D1576"/>
    <w:rsid w:val="004D361B"/>
    <w:rsid w:val="004D3B0B"/>
    <w:rsid w:val="004D4450"/>
    <w:rsid w:val="004D4B51"/>
    <w:rsid w:val="004D5896"/>
    <w:rsid w:val="004D693A"/>
    <w:rsid w:val="004D6AF4"/>
    <w:rsid w:val="004E0070"/>
    <w:rsid w:val="004E161C"/>
    <w:rsid w:val="004E38E3"/>
    <w:rsid w:val="004E57C3"/>
    <w:rsid w:val="004E59B1"/>
    <w:rsid w:val="004E5A2D"/>
    <w:rsid w:val="004E6775"/>
    <w:rsid w:val="004E7F59"/>
    <w:rsid w:val="004F026C"/>
    <w:rsid w:val="004F0FC6"/>
    <w:rsid w:val="004F2A9D"/>
    <w:rsid w:val="004F54F3"/>
    <w:rsid w:val="004F7D7B"/>
    <w:rsid w:val="00505B2A"/>
    <w:rsid w:val="00507AAE"/>
    <w:rsid w:val="00507B9B"/>
    <w:rsid w:val="00510351"/>
    <w:rsid w:val="00510686"/>
    <w:rsid w:val="00510E44"/>
    <w:rsid w:val="0051293F"/>
    <w:rsid w:val="005135C8"/>
    <w:rsid w:val="005141AA"/>
    <w:rsid w:val="005142DE"/>
    <w:rsid w:val="00514647"/>
    <w:rsid w:val="00514A55"/>
    <w:rsid w:val="00515034"/>
    <w:rsid w:val="00520847"/>
    <w:rsid w:val="0052101F"/>
    <w:rsid w:val="00525273"/>
    <w:rsid w:val="00526E1C"/>
    <w:rsid w:val="00526E9F"/>
    <w:rsid w:val="005273B0"/>
    <w:rsid w:val="00527D0B"/>
    <w:rsid w:val="005302F7"/>
    <w:rsid w:val="00537CF1"/>
    <w:rsid w:val="00540F89"/>
    <w:rsid w:val="00541C73"/>
    <w:rsid w:val="005429B8"/>
    <w:rsid w:val="00543148"/>
    <w:rsid w:val="00543E93"/>
    <w:rsid w:val="00545B4C"/>
    <w:rsid w:val="00546610"/>
    <w:rsid w:val="0055025D"/>
    <w:rsid w:val="005521DA"/>
    <w:rsid w:val="0055426B"/>
    <w:rsid w:val="00554965"/>
    <w:rsid w:val="005552AA"/>
    <w:rsid w:val="00557245"/>
    <w:rsid w:val="005577BA"/>
    <w:rsid w:val="00562F4F"/>
    <w:rsid w:val="00563416"/>
    <w:rsid w:val="005675AC"/>
    <w:rsid w:val="00573B89"/>
    <w:rsid w:val="00573D20"/>
    <w:rsid w:val="00574800"/>
    <w:rsid w:val="0057494A"/>
    <w:rsid w:val="00575D10"/>
    <w:rsid w:val="00580D04"/>
    <w:rsid w:val="00582FDE"/>
    <w:rsid w:val="0058339E"/>
    <w:rsid w:val="00586B55"/>
    <w:rsid w:val="00590658"/>
    <w:rsid w:val="0059092C"/>
    <w:rsid w:val="00590AFB"/>
    <w:rsid w:val="005914BC"/>
    <w:rsid w:val="005935AA"/>
    <w:rsid w:val="00594B0B"/>
    <w:rsid w:val="00595DC1"/>
    <w:rsid w:val="005A00EF"/>
    <w:rsid w:val="005A1B4C"/>
    <w:rsid w:val="005A2E26"/>
    <w:rsid w:val="005A42B8"/>
    <w:rsid w:val="005A5F28"/>
    <w:rsid w:val="005A5F4B"/>
    <w:rsid w:val="005A6D89"/>
    <w:rsid w:val="005A6EB7"/>
    <w:rsid w:val="005B1EAE"/>
    <w:rsid w:val="005B2CA5"/>
    <w:rsid w:val="005B5344"/>
    <w:rsid w:val="005B585B"/>
    <w:rsid w:val="005B7605"/>
    <w:rsid w:val="005B7761"/>
    <w:rsid w:val="005C382F"/>
    <w:rsid w:val="005C383A"/>
    <w:rsid w:val="005C3F90"/>
    <w:rsid w:val="005C4B10"/>
    <w:rsid w:val="005C4D64"/>
    <w:rsid w:val="005C6AF5"/>
    <w:rsid w:val="005C7753"/>
    <w:rsid w:val="005C7DEC"/>
    <w:rsid w:val="005D0A83"/>
    <w:rsid w:val="005D0CCA"/>
    <w:rsid w:val="005D2079"/>
    <w:rsid w:val="005D2109"/>
    <w:rsid w:val="005D4925"/>
    <w:rsid w:val="005D49A4"/>
    <w:rsid w:val="005D5924"/>
    <w:rsid w:val="005D6F88"/>
    <w:rsid w:val="005E1050"/>
    <w:rsid w:val="005E1104"/>
    <w:rsid w:val="005E1706"/>
    <w:rsid w:val="005E1B54"/>
    <w:rsid w:val="005E264A"/>
    <w:rsid w:val="005E52A4"/>
    <w:rsid w:val="005E6371"/>
    <w:rsid w:val="005E6BCC"/>
    <w:rsid w:val="005F0476"/>
    <w:rsid w:val="005F1F07"/>
    <w:rsid w:val="005F54B5"/>
    <w:rsid w:val="005F5F40"/>
    <w:rsid w:val="005F61E2"/>
    <w:rsid w:val="005F6B1C"/>
    <w:rsid w:val="00601E97"/>
    <w:rsid w:val="00602B01"/>
    <w:rsid w:val="00604ABD"/>
    <w:rsid w:val="00605204"/>
    <w:rsid w:val="006054FE"/>
    <w:rsid w:val="006055DD"/>
    <w:rsid w:val="0060692C"/>
    <w:rsid w:val="0061095D"/>
    <w:rsid w:val="00610E6E"/>
    <w:rsid w:val="00612B24"/>
    <w:rsid w:val="0061363A"/>
    <w:rsid w:val="00615421"/>
    <w:rsid w:val="0061569F"/>
    <w:rsid w:val="00615E14"/>
    <w:rsid w:val="00617117"/>
    <w:rsid w:val="00617F0A"/>
    <w:rsid w:val="00620569"/>
    <w:rsid w:val="0062329D"/>
    <w:rsid w:val="00623C42"/>
    <w:rsid w:val="006247FC"/>
    <w:rsid w:val="0062600C"/>
    <w:rsid w:val="00626148"/>
    <w:rsid w:val="00630A52"/>
    <w:rsid w:val="006326EA"/>
    <w:rsid w:val="00634683"/>
    <w:rsid w:val="00635E7A"/>
    <w:rsid w:val="006365D9"/>
    <w:rsid w:val="00640483"/>
    <w:rsid w:val="006420E2"/>
    <w:rsid w:val="00642ABE"/>
    <w:rsid w:val="006436A5"/>
    <w:rsid w:val="00643799"/>
    <w:rsid w:val="00643A2E"/>
    <w:rsid w:val="006461FE"/>
    <w:rsid w:val="00647A47"/>
    <w:rsid w:val="006530A7"/>
    <w:rsid w:val="00657DBA"/>
    <w:rsid w:val="00660CB9"/>
    <w:rsid w:val="00662C5C"/>
    <w:rsid w:val="006643C4"/>
    <w:rsid w:val="006717D3"/>
    <w:rsid w:val="00671A40"/>
    <w:rsid w:val="00672816"/>
    <w:rsid w:val="006734A6"/>
    <w:rsid w:val="00674782"/>
    <w:rsid w:val="0067492E"/>
    <w:rsid w:val="00676900"/>
    <w:rsid w:val="0068122F"/>
    <w:rsid w:val="00681559"/>
    <w:rsid w:val="00682857"/>
    <w:rsid w:val="00682CEE"/>
    <w:rsid w:val="00684171"/>
    <w:rsid w:val="00685600"/>
    <w:rsid w:val="00685F07"/>
    <w:rsid w:val="006875C1"/>
    <w:rsid w:val="00691794"/>
    <w:rsid w:val="006929E5"/>
    <w:rsid w:val="00692C78"/>
    <w:rsid w:val="00692DA4"/>
    <w:rsid w:val="00692DB9"/>
    <w:rsid w:val="00692E77"/>
    <w:rsid w:val="00692F60"/>
    <w:rsid w:val="006978F1"/>
    <w:rsid w:val="00697BA2"/>
    <w:rsid w:val="00697CA9"/>
    <w:rsid w:val="006A081C"/>
    <w:rsid w:val="006A09A8"/>
    <w:rsid w:val="006A0F2A"/>
    <w:rsid w:val="006A199D"/>
    <w:rsid w:val="006A1CFD"/>
    <w:rsid w:val="006A3038"/>
    <w:rsid w:val="006A3971"/>
    <w:rsid w:val="006A3D69"/>
    <w:rsid w:val="006A449B"/>
    <w:rsid w:val="006A6EB4"/>
    <w:rsid w:val="006B1A85"/>
    <w:rsid w:val="006B2B6E"/>
    <w:rsid w:val="006B321B"/>
    <w:rsid w:val="006B3FC2"/>
    <w:rsid w:val="006B5599"/>
    <w:rsid w:val="006B5BC8"/>
    <w:rsid w:val="006B66CD"/>
    <w:rsid w:val="006B6B68"/>
    <w:rsid w:val="006B6DAD"/>
    <w:rsid w:val="006C028F"/>
    <w:rsid w:val="006C1175"/>
    <w:rsid w:val="006C1A9A"/>
    <w:rsid w:val="006C1E2F"/>
    <w:rsid w:val="006C302A"/>
    <w:rsid w:val="006C3712"/>
    <w:rsid w:val="006C529F"/>
    <w:rsid w:val="006C5618"/>
    <w:rsid w:val="006C58B0"/>
    <w:rsid w:val="006C5B2D"/>
    <w:rsid w:val="006C7251"/>
    <w:rsid w:val="006C751F"/>
    <w:rsid w:val="006C7F6E"/>
    <w:rsid w:val="006D0A66"/>
    <w:rsid w:val="006D14C2"/>
    <w:rsid w:val="006D2D9E"/>
    <w:rsid w:val="006D2FD2"/>
    <w:rsid w:val="006D3DE4"/>
    <w:rsid w:val="006D7692"/>
    <w:rsid w:val="006D7DAF"/>
    <w:rsid w:val="006D7E2F"/>
    <w:rsid w:val="006E13A7"/>
    <w:rsid w:val="006E17A7"/>
    <w:rsid w:val="006E32F8"/>
    <w:rsid w:val="006E61FA"/>
    <w:rsid w:val="006F0361"/>
    <w:rsid w:val="006F2E17"/>
    <w:rsid w:val="006F2F6B"/>
    <w:rsid w:val="006F3D86"/>
    <w:rsid w:val="006F4AFC"/>
    <w:rsid w:val="006F4E1E"/>
    <w:rsid w:val="006F51CE"/>
    <w:rsid w:val="006F5CEA"/>
    <w:rsid w:val="006F7E47"/>
    <w:rsid w:val="0070015E"/>
    <w:rsid w:val="00700330"/>
    <w:rsid w:val="00704419"/>
    <w:rsid w:val="007065E0"/>
    <w:rsid w:val="00706986"/>
    <w:rsid w:val="007071FE"/>
    <w:rsid w:val="00711C1E"/>
    <w:rsid w:val="007132F2"/>
    <w:rsid w:val="007142E1"/>
    <w:rsid w:val="00715061"/>
    <w:rsid w:val="00720037"/>
    <w:rsid w:val="0072046A"/>
    <w:rsid w:val="00720D29"/>
    <w:rsid w:val="007215CD"/>
    <w:rsid w:val="00722D7B"/>
    <w:rsid w:val="007233FD"/>
    <w:rsid w:val="00723AEB"/>
    <w:rsid w:val="00723B7E"/>
    <w:rsid w:val="00724F89"/>
    <w:rsid w:val="00726667"/>
    <w:rsid w:val="00727891"/>
    <w:rsid w:val="00730462"/>
    <w:rsid w:val="00732ABA"/>
    <w:rsid w:val="007337C5"/>
    <w:rsid w:val="00733D4B"/>
    <w:rsid w:val="007340D3"/>
    <w:rsid w:val="007341F6"/>
    <w:rsid w:val="00735A1E"/>
    <w:rsid w:val="007361FA"/>
    <w:rsid w:val="0073725F"/>
    <w:rsid w:val="00740088"/>
    <w:rsid w:val="00741141"/>
    <w:rsid w:val="00741A78"/>
    <w:rsid w:val="00741FD1"/>
    <w:rsid w:val="007425CE"/>
    <w:rsid w:val="0074263A"/>
    <w:rsid w:val="00744ED4"/>
    <w:rsid w:val="0074755F"/>
    <w:rsid w:val="007518C0"/>
    <w:rsid w:val="00751C26"/>
    <w:rsid w:val="007523D8"/>
    <w:rsid w:val="00753963"/>
    <w:rsid w:val="00755EFE"/>
    <w:rsid w:val="007563D5"/>
    <w:rsid w:val="00760EC6"/>
    <w:rsid w:val="0076169B"/>
    <w:rsid w:val="007625B2"/>
    <w:rsid w:val="00762C8C"/>
    <w:rsid w:val="00763B81"/>
    <w:rsid w:val="00764609"/>
    <w:rsid w:val="00766093"/>
    <w:rsid w:val="007673AF"/>
    <w:rsid w:val="00767804"/>
    <w:rsid w:val="007713FE"/>
    <w:rsid w:val="00772F7D"/>
    <w:rsid w:val="0077304D"/>
    <w:rsid w:val="007732E0"/>
    <w:rsid w:val="007753BA"/>
    <w:rsid w:val="00776CC8"/>
    <w:rsid w:val="00776E8C"/>
    <w:rsid w:val="00780EA6"/>
    <w:rsid w:val="007812D8"/>
    <w:rsid w:val="00781EA9"/>
    <w:rsid w:val="00782364"/>
    <w:rsid w:val="007868A1"/>
    <w:rsid w:val="0078700D"/>
    <w:rsid w:val="00787A1B"/>
    <w:rsid w:val="00787AAE"/>
    <w:rsid w:val="00791155"/>
    <w:rsid w:val="00793A7A"/>
    <w:rsid w:val="00793B58"/>
    <w:rsid w:val="00795FEE"/>
    <w:rsid w:val="007973EA"/>
    <w:rsid w:val="007976EF"/>
    <w:rsid w:val="007A0796"/>
    <w:rsid w:val="007A225C"/>
    <w:rsid w:val="007A2782"/>
    <w:rsid w:val="007A4645"/>
    <w:rsid w:val="007A4BA6"/>
    <w:rsid w:val="007A53AB"/>
    <w:rsid w:val="007B4207"/>
    <w:rsid w:val="007B4891"/>
    <w:rsid w:val="007B4D24"/>
    <w:rsid w:val="007B56C9"/>
    <w:rsid w:val="007B5DC7"/>
    <w:rsid w:val="007B6B98"/>
    <w:rsid w:val="007B74B8"/>
    <w:rsid w:val="007C0866"/>
    <w:rsid w:val="007C2A2A"/>
    <w:rsid w:val="007C39CE"/>
    <w:rsid w:val="007C61DE"/>
    <w:rsid w:val="007D0705"/>
    <w:rsid w:val="007D2DC4"/>
    <w:rsid w:val="007D45B2"/>
    <w:rsid w:val="007D63F8"/>
    <w:rsid w:val="007D69EF"/>
    <w:rsid w:val="007E12BD"/>
    <w:rsid w:val="007E275F"/>
    <w:rsid w:val="007E4AAF"/>
    <w:rsid w:val="007E523F"/>
    <w:rsid w:val="007E6E13"/>
    <w:rsid w:val="007F064E"/>
    <w:rsid w:val="007F10D0"/>
    <w:rsid w:val="007F1F31"/>
    <w:rsid w:val="007F2596"/>
    <w:rsid w:val="007F4216"/>
    <w:rsid w:val="007F4940"/>
    <w:rsid w:val="007F559B"/>
    <w:rsid w:val="007F6A01"/>
    <w:rsid w:val="007F6DBD"/>
    <w:rsid w:val="00801671"/>
    <w:rsid w:val="008024D2"/>
    <w:rsid w:val="00802E34"/>
    <w:rsid w:val="00804100"/>
    <w:rsid w:val="00804906"/>
    <w:rsid w:val="0080593D"/>
    <w:rsid w:val="00810EEB"/>
    <w:rsid w:val="0081113F"/>
    <w:rsid w:val="008113AB"/>
    <w:rsid w:val="0081192B"/>
    <w:rsid w:val="00812BE5"/>
    <w:rsid w:val="00813069"/>
    <w:rsid w:val="00814D82"/>
    <w:rsid w:val="00825AAF"/>
    <w:rsid w:val="008317B9"/>
    <w:rsid w:val="00832668"/>
    <w:rsid w:val="008330E7"/>
    <w:rsid w:val="00833C27"/>
    <w:rsid w:val="0083562B"/>
    <w:rsid w:val="00836298"/>
    <w:rsid w:val="00836929"/>
    <w:rsid w:val="00836ABF"/>
    <w:rsid w:val="00837299"/>
    <w:rsid w:val="008412F8"/>
    <w:rsid w:val="008422B7"/>
    <w:rsid w:val="008424DF"/>
    <w:rsid w:val="00842CD8"/>
    <w:rsid w:val="00843932"/>
    <w:rsid w:val="00843CC1"/>
    <w:rsid w:val="008456EB"/>
    <w:rsid w:val="008463D2"/>
    <w:rsid w:val="00847976"/>
    <w:rsid w:val="00847E6B"/>
    <w:rsid w:val="00852573"/>
    <w:rsid w:val="0085330A"/>
    <w:rsid w:val="0085368E"/>
    <w:rsid w:val="008550DF"/>
    <w:rsid w:val="00855C90"/>
    <w:rsid w:val="00857989"/>
    <w:rsid w:val="008607F5"/>
    <w:rsid w:val="00863748"/>
    <w:rsid w:val="0087342F"/>
    <w:rsid w:val="00876506"/>
    <w:rsid w:val="00877C09"/>
    <w:rsid w:val="00877C53"/>
    <w:rsid w:val="00880227"/>
    <w:rsid w:val="0088039A"/>
    <w:rsid w:val="00881211"/>
    <w:rsid w:val="00881513"/>
    <w:rsid w:val="008833C9"/>
    <w:rsid w:val="00883600"/>
    <w:rsid w:val="00883F0A"/>
    <w:rsid w:val="00884055"/>
    <w:rsid w:val="00884A27"/>
    <w:rsid w:val="008867ED"/>
    <w:rsid w:val="008867FC"/>
    <w:rsid w:val="0088739B"/>
    <w:rsid w:val="00890AD9"/>
    <w:rsid w:val="008913F8"/>
    <w:rsid w:val="008958A1"/>
    <w:rsid w:val="0089758A"/>
    <w:rsid w:val="0089763F"/>
    <w:rsid w:val="00897743"/>
    <w:rsid w:val="008A227B"/>
    <w:rsid w:val="008A2AA5"/>
    <w:rsid w:val="008A2DA6"/>
    <w:rsid w:val="008A2DBB"/>
    <w:rsid w:val="008A6B45"/>
    <w:rsid w:val="008A7D1D"/>
    <w:rsid w:val="008B0044"/>
    <w:rsid w:val="008B0A1D"/>
    <w:rsid w:val="008B1E7E"/>
    <w:rsid w:val="008B2E33"/>
    <w:rsid w:val="008B2FC9"/>
    <w:rsid w:val="008B59A4"/>
    <w:rsid w:val="008B5C6D"/>
    <w:rsid w:val="008C246E"/>
    <w:rsid w:val="008C27DA"/>
    <w:rsid w:val="008C2808"/>
    <w:rsid w:val="008C3D4A"/>
    <w:rsid w:val="008C43F9"/>
    <w:rsid w:val="008C6ADF"/>
    <w:rsid w:val="008D093A"/>
    <w:rsid w:val="008D1EBC"/>
    <w:rsid w:val="008D37D7"/>
    <w:rsid w:val="008D6258"/>
    <w:rsid w:val="008D7396"/>
    <w:rsid w:val="008E26B8"/>
    <w:rsid w:val="008E2789"/>
    <w:rsid w:val="008E3303"/>
    <w:rsid w:val="008E7F1B"/>
    <w:rsid w:val="008F0176"/>
    <w:rsid w:val="008F0D87"/>
    <w:rsid w:val="008F62E4"/>
    <w:rsid w:val="008F7951"/>
    <w:rsid w:val="008F7D36"/>
    <w:rsid w:val="00900B47"/>
    <w:rsid w:val="00900C58"/>
    <w:rsid w:val="00900D89"/>
    <w:rsid w:val="00900FB4"/>
    <w:rsid w:val="00901D18"/>
    <w:rsid w:val="00910D79"/>
    <w:rsid w:val="0091215C"/>
    <w:rsid w:val="00914CC8"/>
    <w:rsid w:val="00915B4A"/>
    <w:rsid w:val="0091685A"/>
    <w:rsid w:val="009173B8"/>
    <w:rsid w:val="0092090F"/>
    <w:rsid w:val="0092144F"/>
    <w:rsid w:val="0092209B"/>
    <w:rsid w:val="009220ED"/>
    <w:rsid w:val="0092243C"/>
    <w:rsid w:val="00923C86"/>
    <w:rsid w:val="00924550"/>
    <w:rsid w:val="0092492E"/>
    <w:rsid w:val="00925514"/>
    <w:rsid w:val="0092661F"/>
    <w:rsid w:val="009267FE"/>
    <w:rsid w:val="009269B8"/>
    <w:rsid w:val="00926BD0"/>
    <w:rsid w:val="00926EA7"/>
    <w:rsid w:val="00927EC0"/>
    <w:rsid w:val="0093471A"/>
    <w:rsid w:val="00935437"/>
    <w:rsid w:val="00936788"/>
    <w:rsid w:val="009371DE"/>
    <w:rsid w:val="00940E0E"/>
    <w:rsid w:val="009430AC"/>
    <w:rsid w:val="00946009"/>
    <w:rsid w:val="00946089"/>
    <w:rsid w:val="009467A6"/>
    <w:rsid w:val="00951721"/>
    <w:rsid w:val="00951E84"/>
    <w:rsid w:val="0095229C"/>
    <w:rsid w:val="0095254D"/>
    <w:rsid w:val="00952F25"/>
    <w:rsid w:val="009541D3"/>
    <w:rsid w:val="0095445F"/>
    <w:rsid w:val="00955B3C"/>
    <w:rsid w:val="00956F72"/>
    <w:rsid w:val="00960D21"/>
    <w:rsid w:val="00961A66"/>
    <w:rsid w:val="009620E8"/>
    <w:rsid w:val="00962753"/>
    <w:rsid w:val="00962937"/>
    <w:rsid w:val="00967039"/>
    <w:rsid w:val="0096718D"/>
    <w:rsid w:val="009717E8"/>
    <w:rsid w:val="009719C0"/>
    <w:rsid w:val="00972CE5"/>
    <w:rsid w:val="00972F19"/>
    <w:rsid w:val="00973D33"/>
    <w:rsid w:val="0098301B"/>
    <w:rsid w:val="00983867"/>
    <w:rsid w:val="009877D8"/>
    <w:rsid w:val="0099177F"/>
    <w:rsid w:val="00992BE5"/>
    <w:rsid w:val="00994779"/>
    <w:rsid w:val="00994BE0"/>
    <w:rsid w:val="009976AF"/>
    <w:rsid w:val="009A1B9C"/>
    <w:rsid w:val="009A36A1"/>
    <w:rsid w:val="009A3945"/>
    <w:rsid w:val="009A560A"/>
    <w:rsid w:val="009A5DFE"/>
    <w:rsid w:val="009A7135"/>
    <w:rsid w:val="009B71C5"/>
    <w:rsid w:val="009C11CD"/>
    <w:rsid w:val="009C3E67"/>
    <w:rsid w:val="009C4126"/>
    <w:rsid w:val="009C4432"/>
    <w:rsid w:val="009C5812"/>
    <w:rsid w:val="009C599F"/>
    <w:rsid w:val="009C73CB"/>
    <w:rsid w:val="009C7BF6"/>
    <w:rsid w:val="009D0CA0"/>
    <w:rsid w:val="009D3AAB"/>
    <w:rsid w:val="009D5378"/>
    <w:rsid w:val="009D61C0"/>
    <w:rsid w:val="009D6B17"/>
    <w:rsid w:val="009E02C6"/>
    <w:rsid w:val="009E071C"/>
    <w:rsid w:val="009E24E0"/>
    <w:rsid w:val="009E3E4C"/>
    <w:rsid w:val="009E4038"/>
    <w:rsid w:val="009E5B43"/>
    <w:rsid w:val="009E775B"/>
    <w:rsid w:val="009F0276"/>
    <w:rsid w:val="009F1F9C"/>
    <w:rsid w:val="009F22DA"/>
    <w:rsid w:val="009F29FC"/>
    <w:rsid w:val="009F2C49"/>
    <w:rsid w:val="009F4CE9"/>
    <w:rsid w:val="009F5FEE"/>
    <w:rsid w:val="009F683B"/>
    <w:rsid w:val="009F7DFE"/>
    <w:rsid w:val="00A0309B"/>
    <w:rsid w:val="00A07EBA"/>
    <w:rsid w:val="00A10113"/>
    <w:rsid w:val="00A10321"/>
    <w:rsid w:val="00A1074F"/>
    <w:rsid w:val="00A123E5"/>
    <w:rsid w:val="00A20A22"/>
    <w:rsid w:val="00A230EE"/>
    <w:rsid w:val="00A2345B"/>
    <w:rsid w:val="00A24606"/>
    <w:rsid w:val="00A25C33"/>
    <w:rsid w:val="00A261F2"/>
    <w:rsid w:val="00A276D4"/>
    <w:rsid w:val="00A300FB"/>
    <w:rsid w:val="00A30F16"/>
    <w:rsid w:val="00A32599"/>
    <w:rsid w:val="00A33912"/>
    <w:rsid w:val="00A3398C"/>
    <w:rsid w:val="00A33B10"/>
    <w:rsid w:val="00A349EA"/>
    <w:rsid w:val="00A35757"/>
    <w:rsid w:val="00A35E2F"/>
    <w:rsid w:val="00A402A4"/>
    <w:rsid w:val="00A41962"/>
    <w:rsid w:val="00A41C2B"/>
    <w:rsid w:val="00A4216C"/>
    <w:rsid w:val="00A4272A"/>
    <w:rsid w:val="00A43679"/>
    <w:rsid w:val="00A50B58"/>
    <w:rsid w:val="00A52318"/>
    <w:rsid w:val="00A56690"/>
    <w:rsid w:val="00A57894"/>
    <w:rsid w:val="00A57DC7"/>
    <w:rsid w:val="00A57EC1"/>
    <w:rsid w:val="00A6124F"/>
    <w:rsid w:val="00A63781"/>
    <w:rsid w:val="00A6420C"/>
    <w:rsid w:val="00A64261"/>
    <w:rsid w:val="00A70835"/>
    <w:rsid w:val="00A70FAE"/>
    <w:rsid w:val="00A72454"/>
    <w:rsid w:val="00A72A7F"/>
    <w:rsid w:val="00A73E47"/>
    <w:rsid w:val="00A75B05"/>
    <w:rsid w:val="00A76C5E"/>
    <w:rsid w:val="00A80F51"/>
    <w:rsid w:val="00A81941"/>
    <w:rsid w:val="00A81DDF"/>
    <w:rsid w:val="00A82171"/>
    <w:rsid w:val="00A831EB"/>
    <w:rsid w:val="00A84623"/>
    <w:rsid w:val="00A847EC"/>
    <w:rsid w:val="00A84F39"/>
    <w:rsid w:val="00A8571C"/>
    <w:rsid w:val="00A8574F"/>
    <w:rsid w:val="00A86415"/>
    <w:rsid w:val="00A904FD"/>
    <w:rsid w:val="00A9236D"/>
    <w:rsid w:val="00A929B5"/>
    <w:rsid w:val="00A92EDE"/>
    <w:rsid w:val="00A930B4"/>
    <w:rsid w:val="00A93DE4"/>
    <w:rsid w:val="00A969EF"/>
    <w:rsid w:val="00AA0D5A"/>
    <w:rsid w:val="00AA1FFE"/>
    <w:rsid w:val="00AA2DDC"/>
    <w:rsid w:val="00AA2E60"/>
    <w:rsid w:val="00AA6009"/>
    <w:rsid w:val="00AA617B"/>
    <w:rsid w:val="00AA6DD7"/>
    <w:rsid w:val="00AA72A1"/>
    <w:rsid w:val="00AA73AF"/>
    <w:rsid w:val="00AB20A8"/>
    <w:rsid w:val="00AB27A8"/>
    <w:rsid w:val="00AB29C1"/>
    <w:rsid w:val="00AB2F7E"/>
    <w:rsid w:val="00AB3E96"/>
    <w:rsid w:val="00AB5E2C"/>
    <w:rsid w:val="00AB6B18"/>
    <w:rsid w:val="00AC0A1D"/>
    <w:rsid w:val="00AC2362"/>
    <w:rsid w:val="00AC4176"/>
    <w:rsid w:val="00AC7682"/>
    <w:rsid w:val="00AC7B75"/>
    <w:rsid w:val="00AD0C30"/>
    <w:rsid w:val="00AD315E"/>
    <w:rsid w:val="00AD442B"/>
    <w:rsid w:val="00AD473C"/>
    <w:rsid w:val="00AD56F0"/>
    <w:rsid w:val="00AD5927"/>
    <w:rsid w:val="00AD5C99"/>
    <w:rsid w:val="00AD5CD9"/>
    <w:rsid w:val="00AD755E"/>
    <w:rsid w:val="00AD7DAC"/>
    <w:rsid w:val="00AE042F"/>
    <w:rsid w:val="00AE37C9"/>
    <w:rsid w:val="00AE3ABF"/>
    <w:rsid w:val="00AE4CD6"/>
    <w:rsid w:val="00AE71BB"/>
    <w:rsid w:val="00AF2ED3"/>
    <w:rsid w:val="00AF3B34"/>
    <w:rsid w:val="00AF3BCA"/>
    <w:rsid w:val="00AF49DC"/>
    <w:rsid w:val="00AF62A3"/>
    <w:rsid w:val="00AF635B"/>
    <w:rsid w:val="00AF6BB0"/>
    <w:rsid w:val="00AF6FB6"/>
    <w:rsid w:val="00AF79CB"/>
    <w:rsid w:val="00B014FE"/>
    <w:rsid w:val="00B01A5E"/>
    <w:rsid w:val="00B06F78"/>
    <w:rsid w:val="00B07681"/>
    <w:rsid w:val="00B102C7"/>
    <w:rsid w:val="00B12139"/>
    <w:rsid w:val="00B1366F"/>
    <w:rsid w:val="00B14D03"/>
    <w:rsid w:val="00B15373"/>
    <w:rsid w:val="00B2185B"/>
    <w:rsid w:val="00B221ED"/>
    <w:rsid w:val="00B23493"/>
    <w:rsid w:val="00B24328"/>
    <w:rsid w:val="00B245FF"/>
    <w:rsid w:val="00B26684"/>
    <w:rsid w:val="00B3305A"/>
    <w:rsid w:val="00B34693"/>
    <w:rsid w:val="00B362ED"/>
    <w:rsid w:val="00B41285"/>
    <w:rsid w:val="00B44C4B"/>
    <w:rsid w:val="00B467E1"/>
    <w:rsid w:val="00B46904"/>
    <w:rsid w:val="00B46C36"/>
    <w:rsid w:val="00B47936"/>
    <w:rsid w:val="00B50279"/>
    <w:rsid w:val="00B531E6"/>
    <w:rsid w:val="00B538EB"/>
    <w:rsid w:val="00B53F7E"/>
    <w:rsid w:val="00B54CE4"/>
    <w:rsid w:val="00B54F42"/>
    <w:rsid w:val="00B55AAA"/>
    <w:rsid w:val="00B55C6D"/>
    <w:rsid w:val="00B565E9"/>
    <w:rsid w:val="00B6171C"/>
    <w:rsid w:val="00B63182"/>
    <w:rsid w:val="00B63E0E"/>
    <w:rsid w:val="00B6587A"/>
    <w:rsid w:val="00B67626"/>
    <w:rsid w:val="00B67BD5"/>
    <w:rsid w:val="00B73091"/>
    <w:rsid w:val="00B739A5"/>
    <w:rsid w:val="00B75230"/>
    <w:rsid w:val="00B77D09"/>
    <w:rsid w:val="00B81524"/>
    <w:rsid w:val="00B81D40"/>
    <w:rsid w:val="00B834D8"/>
    <w:rsid w:val="00B83E71"/>
    <w:rsid w:val="00B84877"/>
    <w:rsid w:val="00B84F3D"/>
    <w:rsid w:val="00B863D0"/>
    <w:rsid w:val="00B87712"/>
    <w:rsid w:val="00B90460"/>
    <w:rsid w:val="00B91EF1"/>
    <w:rsid w:val="00B91F7F"/>
    <w:rsid w:val="00B92938"/>
    <w:rsid w:val="00B92FED"/>
    <w:rsid w:val="00B9349E"/>
    <w:rsid w:val="00B94781"/>
    <w:rsid w:val="00B95410"/>
    <w:rsid w:val="00B96E3F"/>
    <w:rsid w:val="00B9749D"/>
    <w:rsid w:val="00B97DE4"/>
    <w:rsid w:val="00BA3F73"/>
    <w:rsid w:val="00BA4C43"/>
    <w:rsid w:val="00BA5DE5"/>
    <w:rsid w:val="00BA6C97"/>
    <w:rsid w:val="00BA6DC6"/>
    <w:rsid w:val="00BB0B92"/>
    <w:rsid w:val="00BB277A"/>
    <w:rsid w:val="00BB2828"/>
    <w:rsid w:val="00BB4CCC"/>
    <w:rsid w:val="00BB5ABB"/>
    <w:rsid w:val="00BB76B6"/>
    <w:rsid w:val="00BC0948"/>
    <w:rsid w:val="00BC16DD"/>
    <w:rsid w:val="00BC30ED"/>
    <w:rsid w:val="00BC45F1"/>
    <w:rsid w:val="00BC47E6"/>
    <w:rsid w:val="00BC4C13"/>
    <w:rsid w:val="00BC4E7A"/>
    <w:rsid w:val="00BC788D"/>
    <w:rsid w:val="00BD0FAF"/>
    <w:rsid w:val="00BD135F"/>
    <w:rsid w:val="00BD15F8"/>
    <w:rsid w:val="00BD17CB"/>
    <w:rsid w:val="00BD22B1"/>
    <w:rsid w:val="00BD2358"/>
    <w:rsid w:val="00BD30D6"/>
    <w:rsid w:val="00BD3251"/>
    <w:rsid w:val="00BD4224"/>
    <w:rsid w:val="00BD4BB0"/>
    <w:rsid w:val="00BD555E"/>
    <w:rsid w:val="00BD604E"/>
    <w:rsid w:val="00BD7429"/>
    <w:rsid w:val="00BE0BAB"/>
    <w:rsid w:val="00BE11EA"/>
    <w:rsid w:val="00BE1473"/>
    <w:rsid w:val="00BE2DBA"/>
    <w:rsid w:val="00BE4ECE"/>
    <w:rsid w:val="00BE5379"/>
    <w:rsid w:val="00BE6C6F"/>
    <w:rsid w:val="00BF1115"/>
    <w:rsid w:val="00BF128F"/>
    <w:rsid w:val="00BF1722"/>
    <w:rsid w:val="00BF1EE3"/>
    <w:rsid w:val="00BF1F39"/>
    <w:rsid w:val="00BF208C"/>
    <w:rsid w:val="00BF3081"/>
    <w:rsid w:val="00BF30F8"/>
    <w:rsid w:val="00BF3111"/>
    <w:rsid w:val="00BF33F9"/>
    <w:rsid w:val="00BF37B9"/>
    <w:rsid w:val="00C004DC"/>
    <w:rsid w:val="00C0059D"/>
    <w:rsid w:val="00C0079A"/>
    <w:rsid w:val="00C007D7"/>
    <w:rsid w:val="00C025DE"/>
    <w:rsid w:val="00C02655"/>
    <w:rsid w:val="00C02DF3"/>
    <w:rsid w:val="00C04E6A"/>
    <w:rsid w:val="00C10AC5"/>
    <w:rsid w:val="00C11CC5"/>
    <w:rsid w:val="00C12195"/>
    <w:rsid w:val="00C1240A"/>
    <w:rsid w:val="00C125B6"/>
    <w:rsid w:val="00C16B90"/>
    <w:rsid w:val="00C1744D"/>
    <w:rsid w:val="00C22476"/>
    <w:rsid w:val="00C22919"/>
    <w:rsid w:val="00C238A2"/>
    <w:rsid w:val="00C24871"/>
    <w:rsid w:val="00C25CED"/>
    <w:rsid w:val="00C26597"/>
    <w:rsid w:val="00C26BAA"/>
    <w:rsid w:val="00C30565"/>
    <w:rsid w:val="00C30BF9"/>
    <w:rsid w:val="00C33D4C"/>
    <w:rsid w:val="00C351A0"/>
    <w:rsid w:val="00C3552C"/>
    <w:rsid w:val="00C36617"/>
    <w:rsid w:val="00C36AC5"/>
    <w:rsid w:val="00C3751F"/>
    <w:rsid w:val="00C46129"/>
    <w:rsid w:val="00C46422"/>
    <w:rsid w:val="00C46A69"/>
    <w:rsid w:val="00C4789E"/>
    <w:rsid w:val="00C47E72"/>
    <w:rsid w:val="00C5001A"/>
    <w:rsid w:val="00C508AD"/>
    <w:rsid w:val="00C50A17"/>
    <w:rsid w:val="00C50C08"/>
    <w:rsid w:val="00C5295E"/>
    <w:rsid w:val="00C561FE"/>
    <w:rsid w:val="00C57F01"/>
    <w:rsid w:val="00C613FA"/>
    <w:rsid w:val="00C61795"/>
    <w:rsid w:val="00C61F40"/>
    <w:rsid w:val="00C64D33"/>
    <w:rsid w:val="00C6659F"/>
    <w:rsid w:val="00C66894"/>
    <w:rsid w:val="00C72264"/>
    <w:rsid w:val="00C73070"/>
    <w:rsid w:val="00C744D7"/>
    <w:rsid w:val="00C77BBD"/>
    <w:rsid w:val="00C80DE8"/>
    <w:rsid w:val="00C83E2C"/>
    <w:rsid w:val="00C850B5"/>
    <w:rsid w:val="00C860D4"/>
    <w:rsid w:val="00C86417"/>
    <w:rsid w:val="00C86C87"/>
    <w:rsid w:val="00C901B5"/>
    <w:rsid w:val="00C92456"/>
    <w:rsid w:val="00C929DE"/>
    <w:rsid w:val="00C95232"/>
    <w:rsid w:val="00C965E1"/>
    <w:rsid w:val="00C971A4"/>
    <w:rsid w:val="00C97DA2"/>
    <w:rsid w:val="00C97FA1"/>
    <w:rsid w:val="00CA3197"/>
    <w:rsid w:val="00CA4312"/>
    <w:rsid w:val="00CA4FA6"/>
    <w:rsid w:val="00CA61BC"/>
    <w:rsid w:val="00CA79E6"/>
    <w:rsid w:val="00CA7F5B"/>
    <w:rsid w:val="00CB0DEC"/>
    <w:rsid w:val="00CB1E14"/>
    <w:rsid w:val="00CB334E"/>
    <w:rsid w:val="00CB3619"/>
    <w:rsid w:val="00CB4BAC"/>
    <w:rsid w:val="00CB58AE"/>
    <w:rsid w:val="00CC0CD3"/>
    <w:rsid w:val="00CC143F"/>
    <w:rsid w:val="00CC5DCD"/>
    <w:rsid w:val="00CC692F"/>
    <w:rsid w:val="00CD1591"/>
    <w:rsid w:val="00CD165C"/>
    <w:rsid w:val="00CD351D"/>
    <w:rsid w:val="00CD3B56"/>
    <w:rsid w:val="00CD5DD5"/>
    <w:rsid w:val="00CD6BB4"/>
    <w:rsid w:val="00CE22E1"/>
    <w:rsid w:val="00CE4C76"/>
    <w:rsid w:val="00CE4D1F"/>
    <w:rsid w:val="00CE5DD2"/>
    <w:rsid w:val="00CE6575"/>
    <w:rsid w:val="00CE6DFB"/>
    <w:rsid w:val="00CF2D22"/>
    <w:rsid w:val="00CF4462"/>
    <w:rsid w:val="00CF4F72"/>
    <w:rsid w:val="00CF5991"/>
    <w:rsid w:val="00CF5AE0"/>
    <w:rsid w:val="00CF6A17"/>
    <w:rsid w:val="00CF6E54"/>
    <w:rsid w:val="00CF6F23"/>
    <w:rsid w:val="00CF77AF"/>
    <w:rsid w:val="00D0102E"/>
    <w:rsid w:val="00D0152E"/>
    <w:rsid w:val="00D01780"/>
    <w:rsid w:val="00D0192A"/>
    <w:rsid w:val="00D02782"/>
    <w:rsid w:val="00D04453"/>
    <w:rsid w:val="00D04632"/>
    <w:rsid w:val="00D05DE6"/>
    <w:rsid w:val="00D06BE9"/>
    <w:rsid w:val="00D07D0D"/>
    <w:rsid w:val="00D1028E"/>
    <w:rsid w:val="00D14E00"/>
    <w:rsid w:val="00D150F9"/>
    <w:rsid w:val="00D1532C"/>
    <w:rsid w:val="00D218FF"/>
    <w:rsid w:val="00D21F21"/>
    <w:rsid w:val="00D276F2"/>
    <w:rsid w:val="00D3052D"/>
    <w:rsid w:val="00D30845"/>
    <w:rsid w:val="00D310A3"/>
    <w:rsid w:val="00D31409"/>
    <w:rsid w:val="00D316DB"/>
    <w:rsid w:val="00D31A7A"/>
    <w:rsid w:val="00D33C32"/>
    <w:rsid w:val="00D34DBD"/>
    <w:rsid w:val="00D36CEE"/>
    <w:rsid w:val="00D40871"/>
    <w:rsid w:val="00D418FE"/>
    <w:rsid w:val="00D43CEE"/>
    <w:rsid w:val="00D441D5"/>
    <w:rsid w:val="00D446B4"/>
    <w:rsid w:val="00D46387"/>
    <w:rsid w:val="00D473B9"/>
    <w:rsid w:val="00D50A6F"/>
    <w:rsid w:val="00D50B9A"/>
    <w:rsid w:val="00D55B5C"/>
    <w:rsid w:val="00D606BF"/>
    <w:rsid w:val="00D615F0"/>
    <w:rsid w:val="00D62C62"/>
    <w:rsid w:val="00D637EF"/>
    <w:rsid w:val="00D64AD9"/>
    <w:rsid w:val="00D660AA"/>
    <w:rsid w:val="00D66AF9"/>
    <w:rsid w:val="00D70031"/>
    <w:rsid w:val="00D71D29"/>
    <w:rsid w:val="00D80ABA"/>
    <w:rsid w:val="00D82E5D"/>
    <w:rsid w:val="00D839DB"/>
    <w:rsid w:val="00D83BD8"/>
    <w:rsid w:val="00D83E95"/>
    <w:rsid w:val="00D858A8"/>
    <w:rsid w:val="00D879F2"/>
    <w:rsid w:val="00D879F8"/>
    <w:rsid w:val="00D87CF4"/>
    <w:rsid w:val="00D9115E"/>
    <w:rsid w:val="00D930FC"/>
    <w:rsid w:val="00D96086"/>
    <w:rsid w:val="00D9663A"/>
    <w:rsid w:val="00D96AD0"/>
    <w:rsid w:val="00D979B3"/>
    <w:rsid w:val="00DA2F3D"/>
    <w:rsid w:val="00DA4046"/>
    <w:rsid w:val="00DA4515"/>
    <w:rsid w:val="00DA774D"/>
    <w:rsid w:val="00DA7D14"/>
    <w:rsid w:val="00DB02C3"/>
    <w:rsid w:val="00DB0AE5"/>
    <w:rsid w:val="00DB3991"/>
    <w:rsid w:val="00DB41D2"/>
    <w:rsid w:val="00DB4280"/>
    <w:rsid w:val="00DB624B"/>
    <w:rsid w:val="00DB70A0"/>
    <w:rsid w:val="00DB73D8"/>
    <w:rsid w:val="00DC0963"/>
    <w:rsid w:val="00DC0C7D"/>
    <w:rsid w:val="00DC22D8"/>
    <w:rsid w:val="00DC35C7"/>
    <w:rsid w:val="00DC43D1"/>
    <w:rsid w:val="00DC4E06"/>
    <w:rsid w:val="00DC7E08"/>
    <w:rsid w:val="00DD1BE9"/>
    <w:rsid w:val="00DD3311"/>
    <w:rsid w:val="00DD5FC5"/>
    <w:rsid w:val="00DD7A46"/>
    <w:rsid w:val="00DE206F"/>
    <w:rsid w:val="00DE3993"/>
    <w:rsid w:val="00DF1793"/>
    <w:rsid w:val="00DF3A35"/>
    <w:rsid w:val="00DF41F3"/>
    <w:rsid w:val="00DF5285"/>
    <w:rsid w:val="00DF5298"/>
    <w:rsid w:val="00E01FD2"/>
    <w:rsid w:val="00E0218E"/>
    <w:rsid w:val="00E02744"/>
    <w:rsid w:val="00E02CE8"/>
    <w:rsid w:val="00E044C8"/>
    <w:rsid w:val="00E07382"/>
    <w:rsid w:val="00E077E9"/>
    <w:rsid w:val="00E1091E"/>
    <w:rsid w:val="00E11B7A"/>
    <w:rsid w:val="00E11EB9"/>
    <w:rsid w:val="00E13D72"/>
    <w:rsid w:val="00E1407C"/>
    <w:rsid w:val="00E1411D"/>
    <w:rsid w:val="00E14C51"/>
    <w:rsid w:val="00E2019E"/>
    <w:rsid w:val="00E20E4F"/>
    <w:rsid w:val="00E21D0E"/>
    <w:rsid w:val="00E22DE0"/>
    <w:rsid w:val="00E230CC"/>
    <w:rsid w:val="00E2376D"/>
    <w:rsid w:val="00E258D2"/>
    <w:rsid w:val="00E26633"/>
    <w:rsid w:val="00E2705D"/>
    <w:rsid w:val="00E31A3F"/>
    <w:rsid w:val="00E323D0"/>
    <w:rsid w:val="00E32CF3"/>
    <w:rsid w:val="00E3432C"/>
    <w:rsid w:val="00E35314"/>
    <w:rsid w:val="00E35AA3"/>
    <w:rsid w:val="00E36995"/>
    <w:rsid w:val="00E379B6"/>
    <w:rsid w:val="00E413F9"/>
    <w:rsid w:val="00E42A9F"/>
    <w:rsid w:val="00E44C51"/>
    <w:rsid w:val="00E44CFE"/>
    <w:rsid w:val="00E46275"/>
    <w:rsid w:val="00E46A8C"/>
    <w:rsid w:val="00E47CB8"/>
    <w:rsid w:val="00E511DF"/>
    <w:rsid w:val="00E52160"/>
    <w:rsid w:val="00E53429"/>
    <w:rsid w:val="00E53784"/>
    <w:rsid w:val="00E57558"/>
    <w:rsid w:val="00E57D0B"/>
    <w:rsid w:val="00E60883"/>
    <w:rsid w:val="00E6366D"/>
    <w:rsid w:val="00E64990"/>
    <w:rsid w:val="00E64AA9"/>
    <w:rsid w:val="00E65482"/>
    <w:rsid w:val="00E7011E"/>
    <w:rsid w:val="00E70D3C"/>
    <w:rsid w:val="00E71AF1"/>
    <w:rsid w:val="00E724AD"/>
    <w:rsid w:val="00E74556"/>
    <w:rsid w:val="00E8002A"/>
    <w:rsid w:val="00E81964"/>
    <w:rsid w:val="00E821AA"/>
    <w:rsid w:val="00E82B11"/>
    <w:rsid w:val="00E83531"/>
    <w:rsid w:val="00E83B89"/>
    <w:rsid w:val="00E84C14"/>
    <w:rsid w:val="00E87AD6"/>
    <w:rsid w:val="00E918BC"/>
    <w:rsid w:val="00E9305C"/>
    <w:rsid w:val="00E95069"/>
    <w:rsid w:val="00E957D3"/>
    <w:rsid w:val="00EA09EE"/>
    <w:rsid w:val="00EA10E5"/>
    <w:rsid w:val="00EA1BEA"/>
    <w:rsid w:val="00EA7953"/>
    <w:rsid w:val="00EA7EE3"/>
    <w:rsid w:val="00EB00C9"/>
    <w:rsid w:val="00EB047B"/>
    <w:rsid w:val="00EB1924"/>
    <w:rsid w:val="00EB1DE1"/>
    <w:rsid w:val="00EB313D"/>
    <w:rsid w:val="00EB352B"/>
    <w:rsid w:val="00EB4913"/>
    <w:rsid w:val="00EB52D0"/>
    <w:rsid w:val="00EB5525"/>
    <w:rsid w:val="00EB58AA"/>
    <w:rsid w:val="00EB60B9"/>
    <w:rsid w:val="00EB6DA6"/>
    <w:rsid w:val="00EB6DAB"/>
    <w:rsid w:val="00EC00D7"/>
    <w:rsid w:val="00EC3D20"/>
    <w:rsid w:val="00EC6BF8"/>
    <w:rsid w:val="00EC7AFB"/>
    <w:rsid w:val="00ED06B7"/>
    <w:rsid w:val="00ED09F0"/>
    <w:rsid w:val="00ED18BA"/>
    <w:rsid w:val="00ED1C70"/>
    <w:rsid w:val="00ED1D65"/>
    <w:rsid w:val="00ED2855"/>
    <w:rsid w:val="00ED3432"/>
    <w:rsid w:val="00ED3B35"/>
    <w:rsid w:val="00ED3DE1"/>
    <w:rsid w:val="00ED5CFD"/>
    <w:rsid w:val="00ED5EE5"/>
    <w:rsid w:val="00EE020B"/>
    <w:rsid w:val="00EE1DB8"/>
    <w:rsid w:val="00EE327D"/>
    <w:rsid w:val="00EE3424"/>
    <w:rsid w:val="00EE36F8"/>
    <w:rsid w:val="00EE45EE"/>
    <w:rsid w:val="00EE64EB"/>
    <w:rsid w:val="00EE7B22"/>
    <w:rsid w:val="00EF08D5"/>
    <w:rsid w:val="00EF2ACA"/>
    <w:rsid w:val="00EF30F1"/>
    <w:rsid w:val="00EF73DF"/>
    <w:rsid w:val="00EF76AC"/>
    <w:rsid w:val="00F00341"/>
    <w:rsid w:val="00F008B6"/>
    <w:rsid w:val="00F01276"/>
    <w:rsid w:val="00F02508"/>
    <w:rsid w:val="00F033C1"/>
    <w:rsid w:val="00F04FAA"/>
    <w:rsid w:val="00F1079C"/>
    <w:rsid w:val="00F1166D"/>
    <w:rsid w:val="00F13FD3"/>
    <w:rsid w:val="00F14872"/>
    <w:rsid w:val="00F14C28"/>
    <w:rsid w:val="00F1686E"/>
    <w:rsid w:val="00F20678"/>
    <w:rsid w:val="00F21E97"/>
    <w:rsid w:val="00F22178"/>
    <w:rsid w:val="00F227EB"/>
    <w:rsid w:val="00F229B2"/>
    <w:rsid w:val="00F23D69"/>
    <w:rsid w:val="00F2469B"/>
    <w:rsid w:val="00F249D4"/>
    <w:rsid w:val="00F2515F"/>
    <w:rsid w:val="00F255E7"/>
    <w:rsid w:val="00F267FE"/>
    <w:rsid w:val="00F27970"/>
    <w:rsid w:val="00F31A5B"/>
    <w:rsid w:val="00F32367"/>
    <w:rsid w:val="00F32652"/>
    <w:rsid w:val="00F33EB1"/>
    <w:rsid w:val="00F3585B"/>
    <w:rsid w:val="00F3702D"/>
    <w:rsid w:val="00F37D1F"/>
    <w:rsid w:val="00F41B7C"/>
    <w:rsid w:val="00F44456"/>
    <w:rsid w:val="00F467AF"/>
    <w:rsid w:val="00F46C1A"/>
    <w:rsid w:val="00F47BF9"/>
    <w:rsid w:val="00F5258D"/>
    <w:rsid w:val="00F53094"/>
    <w:rsid w:val="00F53604"/>
    <w:rsid w:val="00F540FA"/>
    <w:rsid w:val="00F5466D"/>
    <w:rsid w:val="00F60600"/>
    <w:rsid w:val="00F61273"/>
    <w:rsid w:val="00F62341"/>
    <w:rsid w:val="00F629B4"/>
    <w:rsid w:val="00F63943"/>
    <w:rsid w:val="00F63C41"/>
    <w:rsid w:val="00F64787"/>
    <w:rsid w:val="00F64ABC"/>
    <w:rsid w:val="00F65C58"/>
    <w:rsid w:val="00F66FC8"/>
    <w:rsid w:val="00F72662"/>
    <w:rsid w:val="00F72C44"/>
    <w:rsid w:val="00F73312"/>
    <w:rsid w:val="00F73514"/>
    <w:rsid w:val="00F739A9"/>
    <w:rsid w:val="00F7442D"/>
    <w:rsid w:val="00F76F31"/>
    <w:rsid w:val="00F775F1"/>
    <w:rsid w:val="00F77B1D"/>
    <w:rsid w:val="00F8595A"/>
    <w:rsid w:val="00F8660A"/>
    <w:rsid w:val="00F86780"/>
    <w:rsid w:val="00F869D1"/>
    <w:rsid w:val="00F86AE1"/>
    <w:rsid w:val="00F87FD9"/>
    <w:rsid w:val="00F90AD3"/>
    <w:rsid w:val="00F90AD5"/>
    <w:rsid w:val="00F90B9A"/>
    <w:rsid w:val="00F91273"/>
    <w:rsid w:val="00F91CC7"/>
    <w:rsid w:val="00F922E4"/>
    <w:rsid w:val="00F932B7"/>
    <w:rsid w:val="00F93FEE"/>
    <w:rsid w:val="00F949AD"/>
    <w:rsid w:val="00F956C7"/>
    <w:rsid w:val="00F967A0"/>
    <w:rsid w:val="00F96ABA"/>
    <w:rsid w:val="00FA284C"/>
    <w:rsid w:val="00FA3CA5"/>
    <w:rsid w:val="00FA3E0B"/>
    <w:rsid w:val="00FA4201"/>
    <w:rsid w:val="00FA447E"/>
    <w:rsid w:val="00FA4AB9"/>
    <w:rsid w:val="00FA59AA"/>
    <w:rsid w:val="00FA5F93"/>
    <w:rsid w:val="00FB0EC2"/>
    <w:rsid w:val="00FB194F"/>
    <w:rsid w:val="00FB1A5C"/>
    <w:rsid w:val="00FB1F87"/>
    <w:rsid w:val="00FB1FE7"/>
    <w:rsid w:val="00FB2728"/>
    <w:rsid w:val="00FB38F3"/>
    <w:rsid w:val="00FB4DA0"/>
    <w:rsid w:val="00FB5B2B"/>
    <w:rsid w:val="00FB5D96"/>
    <w:rsid w:val="00FB7B2E"/>
    <w:rsid w:val="00FB7D47"/>
    <w:rsid w:val="00FC0E7D"/>
    <w:rsid w:val="00FC224E"/>
    <w:rsid w:val="00FC3715"/>
    <w:rsid w:val="00FC3A1C"/>
    <w:rsid w:val="00FC4570"/>
    <w:rsid w:val="00FC4BF0"/>
    <w:rsid w:val="00FC54A3"/>
    <w:rsid w:val="00FC550A"/>
    <w:rsid w:val="00FC59DE"/>
    <w:rsid w:val="00FC6508"/>
    <w:rsid w:val="00FC70CA"/>
    <w:rsid w:val="00FC76C0"/>
    <w:rsid w:val="00FD1CFB"/>
    <w:rsid w:val="00FD33A2"/>
    <w:rsid w:val="00FD53A8"/>
    <w:rsid w:val="00FD6941"/>
    <w:rsid w:val="00FE0625"/>
    <w:rsid w:val="00FE1A0B"/>
    <w:rsid w:val="00FE2283"/>
    <w:rsid w:val="00FE39F0"/>
    <w:rsid w:val="00FE5536"/>
    <w:rsid w:val="00FE5D42"/>
    <w:rsid w:val="00FF0EE2"/>
    <w:rsid w:val="00FF1992"/>
    <w:rsid w:val="00FF28B8"/>
    <w:rsid w:val="00FF2E4F"/>
    <w:rsid w:val="00FF4711"/>
    <w:rsid w:val="00FF4B55"/>
    <w:rsid w:val="00FF58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fc,white"/>
    </o:shapedefaults>
    <o:shapelayout v:ext="edit">
      <o:idmap v:ext="edit" data="1"/>
    </o:shapelayout>
  </w:shapeDefaults>
  <w:decimalSymbol w:val=","/>
  <w:listSeparator w:val=";"/>
  <w14:docId w14:val="043C2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itulo"/>
    <w:next w:val="Encabezado"/>
    <w:qFormat/>
    <w:rsid w:val="007F064E"/>
    <w:rPr>
      <w:rFonts w:ascii="Titillium" w:hAnsi="Titillium"/>
      <w:color w:val="E36C0A" w:themeColor="accent6" w:themeShade="BF"/>
      <w:sz w:val="32"/>
    </w:rPr>
  </w:style>
  <w:style w:type="paragraph" w:styleId="Ttulo1">
    <w:name w:val="heading 1"/>
    <w:aliases w:val="Parentesis"/>
    <w:basedOn w:val="Epgrafe"/>
    <w:next w:val="Normal"/>
    <w:link w:val="Ttulo1Car"/>
    <w:uiPriority w:val="9"/>
    <w:qFormat/>
    <w:rsid w:val="0061095D"/>
    <w:pPr>
      <w:keepNext/>
      <w:keepLines/>
      <w:spacing w:before="480" w:after="0"/>
      <w:outlineLvl w:val="0"/>
    </w:pPr>
    <w:rPr>
      <w:rFonts w:ascii="Titillium Light" w:eastAsiaTheme="majorEastAsia" w:hAnsi="Titillium Light" w:cstheme="majorBidi"/>
      <w:color w:val="365F91" w:themeColor="accent1" w:themeShade="BF"/>
      <w:sz w:val="21"/>
      <w:szCs w:val="28"/>
    </w:rPr>
  </w:style>
  <w:style w:type="paragraph" w:styleId="Ttulo2">
    <w:name w:val="heading 2"/>
    <w:basedOn w:val="Normal"/>
    <w:link w:val="Ttulo2Car"/>
    <w:uiPriority w:val="9"/>
    <w:unhideWhenUsed/>
    <w:qFormat/>
    <w:rsid w:val="00F73312"/>
    <w:pPr>
      <w:keepNext/>
      <w:keepLines/>
      <w:spacing w:before="200" w:after="0"/>
      <w:outlineLvl w:val="1"/>
    </w:pPr>
    <w:rPr>
      <w:rFonts w:eastAsiaTheme="majorEastAsia" w:cstheme="majorBidi"/>
      <w:b/>
      <w:bCs/>
      <w:sz w:val="24"/>
      <w:szCs w:val="26"/>
    </w:rPr>
  </w:style>
  <w:style w:type="paragraph" w:styleId="Ttulo3">
    <w:name w:val="heading 3"/>
    <w:basedOn w:val="Normal"/>
    <w:next w:val="Normal"/>
    <w:link w:val="Ttulo3Car"/>
    <w:uiPriority w:val="9"/>
    <w:unhideWhenUsed/>
    <w:qFormat/>
    <w:rsid w:val="00051D3B"/>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E5378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873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739B"/>
    <w:rPr>
      <w:rFonts w:ascii="Tahoma" w:hAnsi="Tahoma" w:cs="Tahoma"/>
      <w:sz w:val="16"/>
      <w:szCs w:val="16"/>
    </w:rPr>
  </w:style>
  <w:style w:type="character" w:styleId="Refdecomentario">
    <w:name w:val="annotation reference"/>
    <w:basedOn w:val="Fuentedeprrafopredeter"/>
    <w:uiPriority w:val="99"/>
    <w:semiHidden/>
    <w:unhideWhenUsed/>
    <w:rsid w:val="00D839DB"/>
    <w:rPr>
      <w:sz w:val="16"/>
      <w:szCs w:val="16"/>
    </w:rPr>
  </w:style>
  <w:style w:type="paragraph" w:styleId="Textocomentario">
    <w:name w:val="annotation text"/>
    <w:basedOn w:val="Normal"/>
    <w:link w:val="TextocomentarioCar"/>
    <w:uiPriority w:val="99"/>
    <w:semiHidden/>
    <w:unhideWhenUsed/>
    <w:rsid w:val="00D839D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839DB"/>
    <w:rPr>
      <w:sz w:val="20"/>
      <w:szCs w:val="20"/>
    </w:rPr>
  </w:style>
  <w:style w:type="paragraph" w:styleId="Asuntodelcomentario">
    <w:name w:val="annotation subject"/>
    <w:basedOn w:val="Textocomentario"/>
    <w:next w:val="Textocomentario"/>
    <w:link w:val="AsuntodelcomentarioCar"/>
    <w:uiPriority w:val="99"/>
    <w:semiHidden/>
    <w:unhideWhenUsed/>
    <w:rsid w:val="00D839DB"/>
    <w:rPr>
      <w:b/>
      <w:bCs/>
    </w:rPr>
  </w:style>
  <w:style w:type="character" w:customStyle="1" w:styleId="AsuntodelcomentarioCar">
    <w:name w:val="Asunto del comentario Car"/>
    <w:basedOn w:val="TextocomentarioCar"/>
    <w:link w:val="Asuntodelcomentario"/>
    <w:uiPriority w:val="99"/>
    <w:semiHidden/>
    <w:rsid w:val="00D839DB"/>
    <w:rPr>
      <w:b/>
      <w:bCs/>
      <w:sz w:val="20"/>
      <w:szCs w:val="20"/>
    </w:rPr>
  </w:style>
  <w:style w:type="paragraph" w:styleId="Textoindependiente">
    <w:name w:val="Body Text"/>
    <w:basedOn w:val="Normal"/>
    <w:link w:val="TextoindependienteCar"/>
    <w:rsid w:val="00791155"/>
    <w:pPr>
      <w:spacing w:after="0" w:line="240" w:lineRule="auto"/>
      <w:jc w:val="center"/>
    </w:pPr>
    <w:rPr>
      <w:rFonts w:ascii="Times New Roman" w:eastAsia="Times New Roman" w:hAnsi="Times New Roman" w:cs="Times New Roman"/>
      <w:sz w:val="24"/>
      <w:szCs w:val="24"/>
      <w:lang w:val="es-CL" w:eastAsia="es-ES"/>
    </w:rPr>
  </w:style>
  <w:style w:type="character" w:customStyle="1" w:styleId="TextoindependienteCar">
    <w:name w:val="Texto independiente Car"/>
    <w:basedOn w:val="Fuentedeprrafopredeter"/>
    <w:link w:val="Textoindependiente"/>
    <w:rsid w:val="00791155"/>
    <w:rPr>
      <w:rFonts w:ascii="Times New Roman" w:eastAsia="Times New Roman" w:hAnsi="Times New Roman" w:cs="Times New Roman"/>
      <w:sz w:val="24"/>
      <w:szCs w:val="24"/>
      <w:lang w:val="es-CL" w:eastAsia="es-ES"/>
    </w:rPr>
  </w:style>
  <w:style w:type="paragraph" w:styleId="Prrafodelista">
    <w:name w:val="List Paragraph"/>
    <w:basedOn w:val="Normal"/>
    <w:uiPriority w:val="34"/>
    <w:qFormat/>
    <w:rsid w:val="004C5139"/>
    <w:pPr>
      <w:ind w:left="720"/>
      <w:contextualSpacing/>
    </w:pPr>
  </w:style>
  <w:style w:type="table" w:styleId="Tablaconcuadrcula">
    <w:name w:val="Table Grid"/>
    <w:basedOn w:val="Tablanormal"/>
    <w:uiPriority w:val="59"/>
    <w:rsid w:val="00CE4D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B815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81524"/>
  </w:style>
  <w:style w:type="paragraph" w:styleId="Piedepgina">
    <w:name w:val="footer"/>
    <w:basedOn w:val="Normal"/>
    <w:link w:val="PiedepginaCar"/>
    <w:uiPriority w:val="99"/>
    <w:unhideWhenUsed/>
    <w:rsid w:val="00B815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81524"/>
  </w:style>
  <w:style w:type="character" w:customStyle="1" w:styleId="Ttulo1Car">
    <w:name w:val="Título 1 Car"/>
    <w:aliases w:val="Parentesis Car"/>
    <w:basedOn w:val="Fuentedeprrafopredeter"/>
    <w:link w:val="Ttulo1"/>
    <w:uiPriority w:val="9"/>
    <w:rsid w:val="0061095D"/>
    <w:rPr>
      <w:rFonts w:ascii="Titillium Light" w:eastAsiaTheme="majorEastAsia" w:hAnsi="Titillium Light" w:cstheme="majorBidi"/>
      <w:i/>
      <w:iCs/>
      <w:color w:val="365F91" w:themeColor="accent1" w:themeShade="BF"/>
      <w:sz w:val="21"/>
      <w:szCs w:val="28"/>
    </w:rPr>
  </w:style>
  <w:style w:type="character" w:customStyle="1" w:styleId="Ttulo2Car">
    <w:name w:val="Título 2 Car"/>
    <w:basedOn w:val="Fuentedeprrafopredeter"/>
    <w:link w:val="Ttulo2"/>
    <w:uiPriority w:val="9"/>
    <w:rsid w:val="00F73312"/>
    <w:rPr>
      <w:rFonts w:ascii="Titillium" w:eastAsiaTheme="majorEastAsia" w:hAnsi="Titillium" w:cstheme="majorBidi"/>
      <w:b/>
      <w:bCs/>
      <w:color w:val="E36C0A" w:themeColor="accent6" w:themeShade="BF"/>
      <w:sz w:val="24"/>
      <w:szCs w:val="26"/>
    </w:rPr>
  </w:style>
  <w:style w:type="table" w:styleId="Listaclara-nfasis6">
    <w:name w:val="Light List Accent 6"/>
    <w:basedOn w:val="Tablanormal"/>
    <w:uiPriority w:val="61"/>
    <w:rsid w:val="00BA6C9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BA6C97"/>
    <w:pPr>
      <w:autoSpaceDE w:val="0"/>
      <w:autoSpaceDN w:val="0"/>
      <w:adjustRightInd w:val="0"/>
      <w:spacing w:after="0" w:line="240" w:lineRule="auto"/>
    </w:pPr>
    <w:rPr>
      <w:rFonts w:ascii="Cambria" w:hAnsi="Cambria" w:cs="Cambria"/>
      <w:color w:val="000000"/>
      <w:sz w:val="24"/>
      <w:szCs w:val="24"/>
    </w:rPr>
  </w:style>
  <w:style w:type="paragraph" w:styleId="Sinespaciado">
    <w:name w:val="No Spacing"/>
    <w:aliases w:val="Texto 1"/>
    <w:next w:val="Normal"/>
    <w:link w:val="SinespaciadoCar"/>
    <w:uiPriority w:val="1"/>
    <w:qFormat/>
    <w:rsid w:val="001D7126"/>
    <w:pPr>
      <w:spacing w:after="0" w:line="240" w:lineRule="auto"/>
      <w:jc w:val="both"/>
    </w:pPr>
    <w:rPr>
      <w:rFonts w:ascii="Titillium" w:eastAsia="Arial Unicode MS" w:hAnsi="Titillium"/>
      <w:color w:val="404040" w:themeColor="text1" w:themeTint="BF"/>
      <w:sz w:val="24"/>
      <w:lang w:val="es-CL" w:eastAsia="es-CL"/>
    </w:rPr>
  </w:style>
  <w:style w:type="character" w:customStyle="1" w:styleId="SinespaciadoCar">
    <w:name w:val="Sin espaciado Car"/>
    <w:aliases w:val="Texto 1 Car"/>
    <w:basedOn w:val="Fuentedeprrafopredeter"/>
    <w:link w:val="Sinespaciado"/>
    <w:uiPriority w:val="1"/>
    <w:rsid w:val="001D7126"/>
    <w:rPr>
      <w:rFonts w:ascii="Titillium" w:eastAsia="Arial Unicode MS" w:hAnsi="Titillium"/>
      <w:color w:val="404040" w:themeColor="text1" w:themeTint="BF"/>
      <w:sz w:val="24"/>
      <w:lang w:val="es-CL" w:eastAsia="es-CL"/>
    </w:rPr>
  </w:style>
  <w:style w:type="table" w:customStyle="1" w:styleId="Listaclara-nfasis63">
    <w:name w:val="Lista clara - Énfasis 63"/>
    <w:basedOn w:val="Tablanormal"/>
    <w:next w:val="Listaclara-nfasis6"/>
    <w:uiPriority w:val="61"/>
    <w:rsid w:val="0076780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a">
    <w:name w:val="a"/>
    <w:basedOn w:val="Fuentedeprrafopredeter"/>
    <w:rsid w:val="00741FD1"/>
  </w:style>
  <w:style w:type="character" w:customStyle="1" w:styleId="apple-converted-space">
    <w:name w:val="apple-converted-space"/>
    <w:basedOn w:val="Fuentedeprrafopredeter"/>
    <w:rsid w:val="00741FD1"/>
  </w:style>
  <w:style w:type="character" w:customStyle="1" w:styleId="l6">
    <w:name w:val="l6"/>
    <w:basedOn w:val="Fuentedeprrafopredeter"/>
    <w:rsid w:val="00741FD1"/>
  </w:style>
  <w:style w:type="character" w:customStyle="1" w:styleId="l7">
    <w:name w:val="l7"/>
    <w:basedOn w:val="Fuentedeprrafopredeter"/>
    <w:rsid w:val="00741FD1"/>
  </w:style>
  <w:style w:type="character" w:customStyle="1" w:styleId="l9">
    <w:name w:val="l9"/>
    <w:basedOn w:val="Fuentedeprrafopredeter"/>
    <w:rsid w:val="00741FD1"/>
  </w:style>
  <w:style w:type="character" w:customStyle="1" w:styleId="l8">
    <w:name w:val="l8"/>
    <w:basedOn w:val="Fuentedeprrafopredeter"/>
    <w:rsid w:val="00741FD1"/>
  </w:style>
  <w:style w:type="character" w:customStyle="1" w:styleId="l10">
    <w:name w:val="l10"/>
    <w:basedOn w:val="Fuentedeprrafopredeter"/>
    <w:rsid w:val="00741FD1"/>
  </w:style>
  <w:style w:type="paragraph" w:styleId="Ttulo">
    <w:name w:val="Title"/>
    <w:basedOn w:val="Normal"/>
    <w:next w:val="Normal"/>
    <w:link w:val="TtuloCar"/>
    <w:uiPriority w:val="10"/>
    <w:qFormat/>
    <w:rsid w:val="004356D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4356D0"/>
    <w:rPr>
      <w:rFonts w:asciiTheme="majorHAnsi" w:eastAsiaTheme="majorEastAsia" w:hAnsiTheme="majorHAnsi" w:cstheme="majorBidi"/>
      <w:color w:val="17365D" w:themeColor="text2" w:themeShade="BF"/>
      <w:spacing w:val="5"/>
      <w:kern w:val="28"/>
      <w:sz w:val="52"/>
      <w:szCs w:val="52"/>
    </w:rPr>
  </w:style>
  <w:style w:type="character" w:customStyle="1" w:styleId="Ttulo3Car">
    <w:name w:val="Título 3 Car"/>
    <w:basedOn w:val="Fuentedeprrafopredeter"/>
    <w:link w:val="Ttulo3"/>
    <w:uiPriority w:val="9"/>
    <w:rsid w:val="00051D3B"/>
    <w:rPr>
      <w:rFonts w:asciiTheme="majorHAnsi" w:eastAsiaTheme="majorEastAsia" w:hAnsiTheme="majorHAnsi" w:cstheme="majorBidi"/>
      <w:b/>
      <w:bCs/>
      <w:color w:val="4F81BD" w:themeColor="accent1"/>
    </w:rPr>
  </w:style>
  <w:style w:type="table" w:customStyle="1" w:styleId="Tabladecuadrcula1clara-nfasis61">
    <w:name w:val="Tabla de cuadrícula 1 clara - Énfasis 61"/>
    <w:basedOn w:val="Tablanormal"/>
    <w:uiPriority w:val="46"/>
    <w:rsid w:val="007F064E"/>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character" w:customStyle="1" w:styleId="Ttulo4Car">
    <w:name w:val="Título 4 Car"/>
    <w:basedOn w:val="Fuentedeprrafopredeter"/>
    <w:link w:val="Ttulo4"/>
    <w:uiPriority w:val="9"/>
    <w:rsid w:val="00E53784"/>
    <w:rPr>
      <w:rFonts w:asciiTheme="majorHAnsi" w:eastAsiaTheme="majorEastAsia" w:hAnsiTheme="majorHAnsi" w:cstheme="majorBidi"/>
      <w:i/>
      <w:iCs/>
      <w:color w:val="365F91" w:themeColor="accent1" w:themeShade="BF"/>
      <w:sz w:val="32"/>
    </w:rPr>
  </w:style>
  <w:style w:type="paragraph" w:styleId="Revisin">
    <w:name w:val="Revision"/>
    <w:hidden/>
    <w:uiPriority w:val="99"/>
    <w:semiHidden/>
    <w:rsid w:val="001E1AB2"/>
    <w:pPr>
      <w:spacing w:after="0" w:line="240" w:lineRule="auto"/>
    </w:pPr>
    <w:rPr>
      <w:rFonts w:ascii="Titillium" w:hAnsi="Titillium"/>
      <w:color w:val="E36C0A" w:themeColor="accent6" w:themeShade="BF"/>
      <w:sz w:val="32"/>
    </w:rPr>
  </w:style>
  <w:style w:type="paragraph" w:styleId="Textonotapie">
    <w:name w:val="footnote text"/>
    <w:basedOn w:val="Normal"/>
    <w:link w:val="TextonotapieCar"/>
    <w:uiPriority w:val="99"/>
    <w:unhideWhenUsed/>
    <w:rsid w:val="00237D9E"/>
    <w:pPr>
      <w:spacing w:after="0" w:line="240" w:lineRule="auto"/>
    </w:pPr>
    <w:rPr>
      <w:sz w:val="24"/>
      <w:szCs w:val="24"/>
    </w:rPr>
  </w:style>
  <w:style w:type="character" w:customStyle="1" w:styleId="TextonotapieCar">
    <w:name w:val="Texto nota pie Car"/>
    <w:basedOn w:val="Fuentedeprrafopredeter"/>
    <w:link w:val="Textonotapie"/>
    <w:uiPriority w:val="99"/>
    <w:rsid w:val="00237D9E"/>
    <w:rPr>
      <w:rFonts w:ascii="Titillium" w:hAnsi="Titillium"/>
      <w:color w:val="E36C0A" w:themeColor="accent6" w:themeShade="BF"/>
      <w:sz w:val="24"/>
      <w:szCs w:val="24"/>
    </w:rPr>
  </w:style>
  <w:style w:type="character" w:styleId="Refdenotaalpie">
    <w:name w:val="footnote reference"/>
    <w:basedOn w:val="Fuentedeprrafopredeter"/>
    <w:uiPriority w:val="99"/>
    <w:unhideWhenUsed/>
    <w:rsid w:val="00237D9E"/>
    <w:rPr>
      <w:vertAlign w:val="superscript"/>
    </w:rPr>
  </w:style>
  <w:style w:type="paragraph" w:styleId="Textonotaalfinal">
    <w:name w:val="endnote text"/>
    <w:basedOn w:val="Normal"/>
    <w:link w:val="TextonotaalfinalCar"/>
    <w:uiPriority w:val="99"/>
    <w:unhideWhenUsed/>
    <w:rsid w:val="00237D9E"/>
    <w:pPr>
      <w:spacing w:after="0" w:line="240" w:lineRule="auto"/>
    </w:pPr>
    <w:rPr>
      <w:sz w:val="24"/>
      <w:szCs w:val="24"/>
    </w:rPr>
  </w:style>
  <w:style w:type="character" w:customStyle="1" w:styleId="TextonotaalfinalCar">
    <w:name w:val="Texto nota al final Car"/>
    <w:basedOn w:val="Fuentedeprrafopredeter"/>
    <w:link w:val="Textonotaalfinal"/>
    <w:uiPriority w:val="99"/>
    <w:rsid w:val="00237D9E"/>
    <w:rPr>
      <w:rFonts w:ascii="Titillium" w:hAnsi="Titillium"/>
      <w:color w:val="E36C0A" w:themeColor="accent6" w:themeShade="BF"/>
      <w:sz w:val="24"/>
      <w:szCs w:val="24"/>
    </w:rPr>
  </w:style>
  <w:style w:type="character" w:styleId="Refdenotaalfinal">
    <w:name w:val="endnote reference"/>
    <w:basedOn w:val="Fuentedeprrafopredeter"/>
    <w:uiPriority w:val="99"/>
    <w:unhideWhenUsed/>
    <w:rsid w:val="00237D9E"/>
    <w:rPr>
      <w:vertAlign w:val="superscript"/>
    </w:rPr>
  </w:style>
  <w:style w:type="character" w:styleId="Nmerodelnea">
    <w:name w:val="line number"/>
    <w:basedOn w:val="Fuentedeprrafopredeter"/>
    <w:uiPriority w:val="99"/>
    <w:semiHidden/>
    <w:unhideWhenUsed/>
    <w:rsid w:val="00237D9E"/>
  </w:style>
  <w:style w:type="character" w:styleId="Nmerodepgina">
    <w:name w:val="page number"/>
    <w:basedOn w:val="Fuentedeprrafopredeter"/>
    <w:uiPriority w:val="99"/>
    <w:semiHidden/>
    <w:unhideWhenUsed/>
    <w:rsid w:val="00237D9E"/>
  </w:style>
  <w:style w:type="character" w:styleId="Hipervnculo">
    <w:name w:val="Hyperlink"/>
    <w:basedOn w:val="Fuentedeprrafopredeter"/>
    <w:uiPriority w:val="99"/>
    <w:unhideWhenUsed/>
    <w:rsid w:val="001D7126"/>
    <w:rPr>
      <w:color w:val="0000FF" w:themeColor="hyperlink"/>
      <w:u w:val="single"/>
    </w:rPr>
  </w:style>
  <w:style w:type="paragraph" w:styleId="TDC1">
    <w:name w:val="toc 1"/>
    <w:basedOn w:val="Normal"/>
    <w:next w:val="Normal"/>
    <w:autoRedefine/>
    <w:uiPriority w:val="39"/>
    <w:unhideWhenUsed/>
    <w:rsid w:val="001D7126"/>
    <w:pPr>
      <w:spacing w:after="100"/>
    </w:pPr>
    <w:rPr>
      <w:rFonts w:asciiTheme="minorHAnsi" w:hAnsiTheme="minorHAnsi"/>
      <w:color w:val="auto"/>
      <w:sz w:val="22"/>
      <w:lang w:val="es-CL"/>
    </w:rPr>
  </w:style>
  <w:style w:type="paragraph" w:styleId="TDC2">
    <w:name w:val="toc 2"/>
    <w:basedOn w:val="Normal"/>
    <w:next w:val="Normal"/>
    <w:autoRedefine/>
    <w:uiPriority w:val="39"/>
    <w:unhideWhenUsed/>
    <w:rsid w:val="001D7126"/>
    <w:pPr>
      <w:tabs>
        <w:tab w:val="left" w:pos="660"/>
        <w:tab w:val="right" w:leader="dot" w:pos="8828"/>
      </w:tabs>
      <w:spacing w:after="100"/>
      <w:jc w:val="both"/>
    </w:pPr>
    <w:rPr>
      <w:rFonts w:asciiTheme="minorHAnsi" w:hAnsiTheme="minorHAnsi"/>
      <w:color w:val="auto"/>
      <w:sz w:val="22"/>
      <w:lang w:val="es-CL"/>
    </w:rPr>
  </w:style>
  <w:style w:type="paragraph" w:styleId="Epgrafe">
    <w:name w:val="caption"/>
    <w:basedOn w:val="Normal"/>
    <w:next w:val="Normal"/>
    <w:uiPriority w:val="35"/>
    <w:semiHidden/>
    <w:unhideWhenUsed/>
    <w:qFormat/>
    <w:rsid w:val="0061095D"/>
    <w:pPr>
      <w:spacing w:line="240" w:lineRule="auto"/>
    </w:pPr>
    <w:rPr>
      <w:i/>
      <w:iCs/>
      <w:color w:val="1F497D" w:themeColor="text2"/>
      <w:sz w:val="18"/>
      <w:szCs w:val="18"/>
    </w:rPr>
  </w:style>
  <w:style w:type="paragraph" w:styleId="TtulodeTDC">
    <w:name w:val="TOC Heading"/>
    <w:basedOn w:val="Ttulo1"/>
    <w:next w:val="Normal"/>
    <w:uiPriority w:val="39"/>
    <w:semiHidden/>
    <w:unhideWhenUsed/>
    <w:qFormat/>
    <w:rsid w:val="00407FAF"/>
    <w:pPr>
      <w:spacing w:line="276" w:lineRule="auto"/>
      <w:outlineLvl w:val="9"/>
    </w:pPr>
    <w:rPr>
      <w:rFonts w:asciiTheme="majorHAnsi" w:hAnsiTheme="majorHAnsi"/>
      <w:b/>
      <w:bCs/>
      <w:i w:val="0"/>
      <w:iCs w:val="0"/>
      <w:sz w:val="28"/>
      <w:lang w:eastAsia="es-ES"/>
    </w:rPr>
  </w:style>
  <w:style w:type="paragraph" w:styleId="NormalWeb">
    <w:name w:val="Normal (Web)"/>
    <w:basedOn w:val="Normal"/>
    <w:uiPriority w:val="99"/>
    <w:unhideWhenUsed/>
    <w:rsid w:val="00190ADE"/>
    <w:pPr>
      <w:spacing w:before="100" w:beforeAutospacing="1" w:after="100" w:afterAutospacing="1" w:line="240" w:lineRule="auto"/>
    </w:pPr>
    <w:rPr>
      <w:rFonts w:ascii="Times New Roman" w:eastAsia="Times New Roman" w:hAnsi="Times New Roman" w:cs="Times New Roman"/>
      <w:color w:val="auto"/>
      <w:sz w:val="24"/>
      <w:szCs w:val="24"/>
      <w:lang w:val="es-CL" w:eastAsia="es-CL"/>
    </w:rPr>
  </w:style>
  <w:style w:type="table" w:customStyle="1" w:styleId="GridTable1LightAccent6">
    <w:name w:val="Grid Table 1 Light Accent 6"/>
    <w:basedOn w:val="Tablanormal"/>
    <w:uiPriority w:val="46"/>
    <w:rsid w:val="003A115D"/>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TDC3">
    <w:name w:val="toc 3"/>
    <w:basedOn w:val="Normal"/>
    <w:next w:val="Normal"/>
    <w:autoRedefine/>
    <w:uiPriority w:val="39"/>
    <w:unhideWhenUsed/>
    <w:rsid w:val="00D276F2"/>
    <w:pPr>
      <w:tabs>
        <w:tab w:val="right" w:leader="dot" w:pos="8828"/>
      </w:tabs>
      <w:spacing w:after="100"/>
      <w:ind w:left="640"/>
    </w:pPr>
    <w:rPr>
      <w:rFonts w:ascii="Arial" w:hAnsi="Arial" w:cs="Arial"/>
      <w:noProof/>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itulo"/>
    <w:next w:val="Encabezado"/>
    <w:qFormat/>
    <w:rsid w:val="007F064E"/>
    <w:rPr>
      <w:rFonts w:ascii="Titillium" w:hAnsi="Titillium"/>
      <w:color w:val="E36C0A" w:themeColor="accent6" w:themeShade="BF"/>
      <w:sz w:val="32"/>
    </w:rPr>
  </w:style>
  <w:style w:type="paragraph" w:styleId="Ttulo1">
    <w:name w:val="heading 1"/>
    <w:aliases w:val="Parentesis"/>
    <w:basedOn w:val="Epgrafe"/>
    <w:next w:val="Normal"/>
    <w:link w:val="Ttulo1Car"/>
    <w:uiPriority w:val="9"/>
    <w:qFormat/>
    <w:rsid w:val="0061095D"/>
    <w:pPr>
      <w:keepNext/>
      <w:keepLines/>
      <w:spacing w:before="480" w:after="0"/>
      <w:outlineLvl w:val="0"/>
    </w:pPr>
    <w:rPr>
      <w:rFonts w:ascii="Titillium Light" w:eastAsiaTheme="majorEastAsia" w:hAnsi="Titillium Light" w:cstheme="majorBidi"/>
      <w:color w:val="365F91" w:themeColor="accent1" w:themeShade="BF"/>
      <w:sz w:val="21"/>
      <w:szCs w:val="28"/>
    </w:rPr>
  </w:style>
  <w:style w:type="paragraph" w:styleId="Ttulo2">
    <w:name w:val="heading 2"/>
    <w:basedOn w:val="Normal"/>
    <w:link w:val="Ttulo2Car"/>
    <w:uiPriority w:val="9"/>
    <w:unhideWhenUsed/>
    <w:qFormat/>
    <w:rsid w:val="00F73312"/>
    <w:pPr>
      <w:keepNext/>
      <w:keepLines/>
      <w:spacing w:before="200" w:after="0"/>
      <w:outlineLvl w:val="1"/>
    </w:pPr>
    <w:rPr>
      <w:rFonts w:eastAsiaTheme="majorEastAsia" w:cstheme="majorBidi"/>
      <w:b/>
      <w:bCs/>
      <w:sz w:val="24"/>
      <w:szCs w:val="26"/>
    </w:rPr>
  </w:style>
  <w:style w:type="paragraph" w:styleId="Ttulo3">
    <w:name w:val="heading 3"/>
    <w:basedOn w:val="Normal"/>
    <w:next w:val="Normal"/>
    <w:link w:val="Ttulo3Car"/>
    <w:uiPriority w:val="9"/>
    <w:unhideWhenUsed/>
    <w:qFormat/>
    <w:rsid w:val="00051D3B"/>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E5378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873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739B"/>
    <w:rPr>
      <w:rFonts w:ascii="Tahoma" w:hAnsi="Tahoma" w:cs="Tahoma"/>
      <w:sz w:val="16"/>
      <w:szCs w:val="16"/>
    </w:rPr>
  </w:style>
  <w:style w:type="character" w:styleId="Refdecomentario">
    <w:name w:val="annotation reference"/>
    <w:basedOn w:val="Fuentedeprrafopredeter"/>
    <w:uiPriority w:val="99"/>
    <w:semiHidden/>
    <w:unhideWhenUsed/>
    <w:rsid w:val="00D839DB"/>
    <w:rPr>
      <w:sz w:val="16"/>
      <w:szCs w:val="16"/>
    </w:rPr>
  </w:style>
  <w:style w:type="paragraph" w:styleId="Textocomentario">
    <w:name w:val="annotation text"/>
    <w:basedOn w:val="Normal"/>
    <w:link w:val="TextocomentarioCar"/>
    <w:uiPriority w:val="99"/>
    <w:semiHidden/>
    <w:unhideWhenUsed/>
    <w:rsid w:val="00D839D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839DB"/>
    <w:rPr>
      <w:sz w:val="20"/>
      <w:szCs w:val="20"/>
    </w:rPr>
  </w:style>
  <w:style w:type="paragraph" w:styleId="Asuntodelcomentario">
    <w:name w:val="annotation subject"/>
    <w:basedOn w:val="Textocomentario"/>
    <w:next w:val="Textocomentario"/>
    <w:link w:val="AsuntodelcomentarioCar"/>
    <w:uiPriority w:val="99"/>
    <w:semiHidden/>
    <w:unhideWhenUsed/>
    <w:rsid w:val="00D839DB"/>
    <w:rPr>
      <w:b/>
      <w:bCs/>
    </w:rPr>
  </w:style>
  <w:style w:type="character" w:customStyle="1" w:styleId="AsuntodelcomentarioCar">
    <w:name w:val="Asunto del comentario Car"/>
    <w:basedOn w:val="TextocomentarioCar"/>
    <w:link w:val="Asuntodelcomentario"/>
    <w:uiPriority w:val="99"/>
    <w:semiHidden/>
    <w:rsid w:val="00D839DB"/>
    <w:rPr>
      <w:b/>
      <w:bCs/>
      <w:sz w:val="20"/>
      <w:szCs w:val="20"/>
    </w:rPr>
  </w:style>
  <w:style w:type="paragraph" w:styleId="Textoindependiente">
    <w:name w:val="Body Text"/>
    <w:basedOn w:val="Normal"/>
    <w:link w:val="TextoindependienteCar"/>
    <w:rsid w:val="00791155"/>
    <w:pPr>
      <w:spacing w:after="0" w:line="240" w:lineRule="auto"/>
      <w:jc w:val="center"/>
    </w:pPr>
    <w:rPr>
      <w:rFonts w:ascii="Times New Roman" w:eastAsia="Times New Roman" w:hAnsi="Times New Roman" w:cs="Times New Roman"/>
      <w:sz w:val="24"/>
      <w:szCs w:val="24"/>
      <w:lang w:val="es-CL" w:eastAsia="es-ES"/>
    </w:rPr>
  </w:style>
  <w:style w:type="character" w:customStyle="1" w:styleId="TextoindependienteCar">
    <w:name w:val="Texto independiente Car"/>
    <w:basedOn w:val="Fuentedeprrafopredeter"/>
    <w:link w:val="Textoindependiente"/>
    <w:rsid w:val="00791155"/>
    <w:rPr>
      <w:rFonts w:ascii="Times New Roman" w:eastAsia="Times New Roman" w:hAnsi="Times New Roman" w:cs="Times New Roman"/>
      <w:sz w:val="24"/>
      <w:szCs w:val="24"/>
      <w:lang w:val="es-CL" w:eastAsia="es-ES"/>
    </w:rPr>
  </w:style>
  <w:style w:type="paragraph" w:styleId="Prrafodelista">
    <w:name w:val="List Paragraph"/>
    <w:basedOn w:val="Normal"/>
    <w:uiPriority w:val="34"/>
    <w:qFormat/>
    <w:rsid w:val="004C5139"/>
    <w:pPr>
      <w:ind w:left="720"/>
      <w:contextualSpacing/>
    </w:pPr>
  </w:style>
  <w:style w:type="table" w:styleId="Tablaconcuadrcula">
    <w:name w:val="Table Grid"/>
    <w:basedOn w:val="Tablanormal"/>
    <w:uiPriority w:val="59"/>
    <w:rsid w:val="00CE4D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B815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81524"/>
  </w:style>
  <w:style w:type="paragraph" w:styleId="Piedepgina">
    <w:name w:val="footer"/>
    <w:basedOn w:val="Normal"/>
    <w:link w:val="PiedepginaCar"/>
    <w:uiPriority w:val="99"/>
    <w:unhideWhenUsed/>
    <w:rsid w:val="00B815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81524"/>
  </w:style>
  <w:style w:type="character" w:customStyle="1" w:styleId="Ttulo1Car">
    <w:name w:val="Título 1 Car"/>
    <w:aliases w:val="Parentesis Car"/>
    <w:basedOn w:val="Fuentedeprrafopredeter"/>
    <w:link w:val="Ttulo1"/>
    <w:uiPriority w:val="9"/>
    <w:rsid w:val="0061095D"/>
    <w:rPr>
      <w:rFonts w:ascii="Titillium Light" w:eastAsiaTheme="majorEastAsia" w:hAnsi="Titillium Light" w:cstheme="majorBidi"/>
      <w:i/>
      <w:iCs/>
      <w:color w:val="365F91" w:themeColor="accent1" w:themeShade="BF"/>
      <w:sz w:val="21"/>
      <w:szCs w:val="28"/>
    </w:rPr>
  </w:style>
  <w:style w:type="character" w:customStyle="1" w:styleId="Ttulo2Car">
    <w:name w:val="Título 2 Car"/>
    <w:basedOn w:val="Fuentedeprrafopredeter"/>
    <w:link w:val="Ttulo2"/>
    <w:uiPriority w:val="9"/>
    <w:rsid w:val="00F73312"/>
    <w:rPr>
      <w:rFonts w:ascii="Titillium" w:eastAsiaTheme="majorEastAsia" w:hAnsi="Titillium" w:cstheme="majorBidi"/>
      <w:b/>
      <w:bCs/>
      <w:color w:val="E36C0A" w:themeColor="accent6" w:themeShade="BF"/>
      <w:sz w:val="24"/>
      <w:szCs w:val="26"/>
    </w:rPr>
  </w:style>
  <w:style w:type="table" w:styleId="Listaclara-nfasis6">
    <w:name w:val="Light List Accent 6"/>
    <w:basedOn w:val="Tablanormal"/>
    <w:uiPriority w:val="61"/>
    <w:rsid w:val="00BA6C9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BA6C97"/>
    <w:pPr>
      <w:autoSpaceDE w:val="0"/>
      <w:autoSpaceDN w:val="0"/>
      <w:adjustRightInd w:val="0"/>
      <w:spacing w:after="0" w:line="240" w:lineRule="auto"/>
    </w:pPr>
    <w:rPr>
      <w:rFonts w:ascii="Cambria" w:hAnsi="Cambria" w:cs="Cambria"/>
      <w:color w:val="000000"/>
      <w:sz w:val="24"/>
      <w:szCs w:val="24"/>
    </w:rPr>
  </w:style>
  <w:style w:type="paragraph" w:styleId="Sinespaciado">
    <w:name w:val="No Spacing"/>
    <w:aliases w:val="Texto 1"/>
    <w:next w:val="Normal"/>
    <w:link w:val="SinespaciadoCar"/>
    <w:uiPriority w:val="1"/>
    <w:qFormat/>
    <w:rsid w:val="001D7126"/>
    <w:pPr>
      <w:spacing w:after="0" w:line="240" w:lineRule="auto"/>
      <w:jc w:val="both"/>
    </w:pPr>
    <w:rPr>
      <w:rFonts w:ascii="Titillium" w:eastAsia="Arial Unicode MS" w:hAnsi="Titillium"/>
      <w:color w:val="404040" w:themeColor="text1" w:themeTint="BF"/>
      <w:sz w:val="24"/>
      <w:lang w:val="es-CL" w:eastAsia="es-CL"/>
    </w:rPr>
  </w:style>
  <w:style w:type="character" w:customStyle="1" w:styleId="SinespaciadoCar">
    <w:name w:val="Sin espaciado Car"/>
    <w:aliases w:val="Texto 1 Car"/>
    <w:basedOn w:val="Fuentedeprrafopredeter"/>
    <w:link w:val="Sinespaciado"/>
    <w:uiPriority w:val="1"/>
    <w:rsid w:val="001D7126"/>
    <w:rPr>
      <w:rFonts w:ascii="Titillium" w:eastAsia="Arial Unicode MS" w:hAnsi="Titillium"/>
      <w:color w:val="404040" w:themeColor="text1" w:themeTint="BF"/>
      <w:sz w:val="24"/>
      <w:lang w:val="es-CL" w:eastAsia="es-CL"/>
    </w:rPr>
  </w:style>
  <w:style w:type="table" w:customStyle="1" w:styleId="Listaclara-nfasis63">
    <w:name w:val="Lista clara - Énfasis 63"/>
    <w:basedOn w:val="Tablanormal"/>
    <w:next w:val="Listaclara-nfasis6"/>
    <w:uiPriority w:val="61"/>
    <w:rsid w:val="0076780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a">
    <w:name w:val="a"/>
    <w:basedOn w:val="Fuentedeprrafopredeter"/>
    <w:rsid w:val="00741FD1"/>
  </w:style>
  <w:style w:type="character" w:customStyle="1" w:styleId="apple-converted-space">
    <w:name w:val="apple-converted-space"/>
    <w:basedOn w:val="Fuentedeprrafopredeter"/>
    <w:rsid w:val="00741FD1"/>
  </w:style>
  <w:style w:type="character" w:customStyle="1" w:styleId="l6">
    <w:name w:val="l6"/>
    <w:basedOn w:val="Fuentedeprrafopredeter"/>
    <w:rsid w:val="00741FD1"/>
  </w:style>
  <w:style w:type="character" w:customStyle="1" w:styleId="l7">
    <w:name w:val="l7"/>
    <w:basedOn w:val="Fuentedeprrafopredeter"/>
    <w:rsid w:val="00741FD1"/>
  </w:style>
  <w:style w:type="character" w:customStyle="1" w:styleId="l9">
    <w:name w:val="l9"/>
    <w:basedOn w:val="Fuentedeprrafopredeter"/>
    <w:rsid w:val="00741FD1"/>
  </w:style>
  <w:style w:type="character" w:customStyle="1" w:styleId="l8">
    <w:name w:val="l8"/>
    <w:basedOn w:val="Fuentedeprrafopredeter"/>
    <w:rsid w:val="00741FD1"/>
  </w:style>
  <w:style w:type="character" w:customStyle="1" w:styleId="l10">
    <w:name w:val="l10"/>
    <w:basedOn w:val="Fuentedeprrafopredeter"/>
    <w:rsid w:val="00741FD1"/>
  </w:style>
  <w:style w:type="paragraph" w:styleId="Ttulo">
    <w:name w:val="Title"/>
    <w:basedOn w:val="Normal"/>
    <w:next w:val="Normal"/>
    <w:link w:val="TtuloCar"/>
    <w:uiPriority w:val="10"/>
    <w:qFormat/>
    <w:rsid w:val="004356D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4356D0"/>
    <w:rPr>
      <w:rFonts w:asciiTheme="majorHAnsi" w:eastAsiaTheme="majorEastAsia" w:hAnsiTheme="majorHAnsi" w:cstheme="majorBidi"/>
      <w:color w:val="17365D" w:themeColor="text2" w:themeShade="BF"/>
      <w:spacing w:val="5"/>
      <w:kern w:val="28"/>
      <w:sz w:val="52"/>
      <w:szCs w:val="52"/>
    </w:rPr>
  </w:style>
  <w:style w:type="character" w:customStyle="1" w:styleId="Ttulo3Car">
    <w:name w:val="Título 3 Car"/>
    <w:basedOn w:val="Fuentedeprrafopredeter"/>
    <w:link w:val="Ttulo3"/>
    <w:uiPriority w:val="9"/>
    <w:rsid w:val="00051D3B"/>
    <w:rPr>
      <w:rFonts w:asciiTheme="majorHAnsi" w:eastAsiaTheme="majorEastAsia" w:hAnsiTheme="majorHAnsi" w:cstheme="majorBidi"/>
      <w:b/>
      <w:bCs/>
      <w:color w:val="4F81BD" w:themeColor="accent1"/>
    </w:rPr>
  </w:style>
  <w:style w:type="table" w:customStyle="1" w:styleId="Tabladecuadrcula1clara-nfasis61">
    <w:name w:val="Tabla de cuadrícula 1 clara - Énfasis 61"/>
    <w:basedOn w:val="Tablanormal"/>
    <w:uiPriority w:val="46"/>
    <w:rsid w:val="007F064E"/>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character" w:customStyle="1" w:styleId="Ttulo4Car">
    <w:name w:val="Título 4 Car"/>
    <w:basedOn w:val="Fuentedeprrafopredeter"/>
    <w:link w:val="Ttulo4"/>
    <w:uiPriority w:val="9"/>
    <w:rsid w:val="00E53784"/>
    <w:rPr>
      <w:rFonts w:asciiTheme="majorHAnsi" w:eastAsiaTheme="majorEastAsia" w:hAnsiTheme="majorHAnsi" w:cstheme="majorBidi"/>
      <w:i/>
      <w:iCs/>
      <w:color w:val="365F91" w:themeColor="accent1" w:themeShade="BF"/>
      <w:sz w:val="32"/>
    </w:rPr>
  </w:style>
  <w:style w:type="paragraph" w:styleId="Revisin">
    <w:name w:val="Revision"/>
    <w:hidden/>
    <w:uiPriority w:val="99"/>
    <w:semiHidden/>
    <w:rsid w:val="001E1AB2"/>
    <w:pPr>
      <w:spacing w:after="0" w:line="240" w:lineRule="auto"/>
    </w:pPr>
    <w:rPr>
      <w:rFonts w:ascii="Titillium" w:hAnsi="Titillium"/>
      <w:color w:val="E36C0A" w:themeColor="accent6" w:themeShade="BF"/>
      <w:sz w:val="32"/>
    </w:rPr>
  </w:style>
  <w:style w:type="paragraph" w:styleId="Textonotapie">
    <w:name w:val="footnote text"/>
    <w:basedOn w:val="Normal"/>
    <w:link w:val="TextonotapieCar"/>
    <w:uiPriority w:val="99"/>
    <w:unhideWhenUsed/>
    <w:rsid w:val="00237D9E"/>
    <w:pPr>
      <w:spacing w:after="0" w:line="240" w:lineRule="auto"/>
    </w:pPr>
    <w:rPr>
      <w:sz w:val="24"/>
      <w:szCs w:val="24"/>
    </w:rPr>
  </w:style>
  <w:style w:type="character" w:customStyle="1" w:styleId="TextonotapieCar">
    <w:name w:val="Texto nota pie Car"/>
    <w:basedOn w:val="Fuentedeprrafopredeter"/>
    <w:link w:val="Textonotapie"/>
    <w:uiPriority w:val="99"/>
    <w:rsid w:val="00237D9E"/>
    <w:rPr>
      <w:rFonts w:ascii="Titillium" w:hAnsi="Titillium"/>
      <w:color w:val="E36C0A" w:themeColor="accent6" w:themeShade="BF"/>
      <w:sz w:val="24"/>
      <w:szCs w:val="24"/>
    </w:rPr>
  </w:style>
  <w:style w:type="character" w:styleId="Refdenotaalpie">
    <w:name w:val="footnote reference"/>
    <w:basedOn w:val="Fuentedeprrafopredeter"/>
    <w:uiPriority w:val="99"/>
    <w:unhideWhenUsed/>
    <w:rsid w:val="00237D9E"/>
    <w:rPr>
      <w:vertAlign w:val="superscript"/>
    </w:rPr>
  </w:style>
  <w:style w:type="paragraph" w:styleId="Textonotaalfinal">
    <w:name w:val="endnote text"/>
    <w:basedOn w:val="Normal"/>
    <w:link w:val="TextonotaalfinalCar"/>
    <w:uiPriority w:val="99"/>
    <w:unhideWhenUsed/>
    <w:rsid w:val="00237D9E"/>
    <w:pPr>
      <w:spacing w:after="0" w:line="240" w:lineRule="auto"/>
    </w:pPr>
    <w:rPr>
      <w:sz w:val="24"/>
      <w:szCs w:val="24"/>
    </w:rPr>
  </w:style>
  <w:style w:type="character" w:customStyle="1" w:styleId="TextonotaalfinalCar">
    <w:name w:val="Texto nota al final Car"/>
    <w:basedOn w:val="Fuentedeprrafopredeter"/>
    <w:link w:val="Textonotaalfinal"/>
    <w:uiPriority w:val="99"/>
    <w:rsid w:val="00237D9E"/>
    <w:rPr>
      <w:rFonts w:ascii="Titillium" w:hAnsi="Titillium"/>
      <w:color w:val="E36C0A" w:themeColor="accent6" w:themeShade="BF"/>
      <w:sz w:val="24"/>
      <w:szCs w:val="24"/>
    </w:rPr>
  </w:style>
  <w:style w:type="character" w:styleId="Refdenotaalfinal">
    <w:name w:val="endnote reference"/>
    <w:basedOn w:val="Fuentedeprrafopredeter"/>
    <w:uiPriority w:val="99"/>
    <w:unhideWhenUsed/>
    <w:rsid w:val="00237D9E"/>
    <w:rPr>
      <w:vertAlign w:val="superscript"/>
    </w:rPr>
  </w:style>
  <w:style w:type="character" w:styleId="Nmerodelnea">
    <w:name w:val="line number"/>
    <w:basedOn w:val="Fuentedeprrafopredeter"/>
    <w:uiPriority w:val="99"/>
    <w:semiHidden/>
    <w:unhideWhenUsed/>
    <w:rsid w:val="00237D9E"/>
  </w:style>
  <w:style w:type="character" w:styleId="Nmerodepgina">
    <w:name w:val="page number"/>
    <w:basedOn w:val="Fuentedeprrafopredeter"/>
    <w:uiPriority w:val="99"/>
    <w:semiHidden/>
    <w:unhideWhenUsed/>
    <w:rsid w:val="00237D9E"/>
  </w:style>
  <w:style w:type="character" w:styleId="Hipervnculo">
    <w:name w:val="Hyperlink"/>
    <w:basedOn w:val="Fuentedeprrafopredeter"/>
    <w:uiPriority w:val="99"/>
    <w:unhideWhenUsed/>
    <w:rsid w:val="001D7126"/>
    <w:rPr>
      <w:color w:val="0000FF" w:themeColor="hyperlink"/>
      <w:u w:val="single"/>
    </w:rPr>
  </w:style>
  <w:style w:type="paragraph" w:styleId="TDC1">
    <w:name w:val="toc 1"/>
    <w:basedOn w:val="Normal"/>
    <w:next w:val="Normal"/>
    <w:autoRedefine/>
    <w:uiPriority w:val="39"/>
    <w:unhideWhenUsed/>
    <w:rsid w:val="001D7126"/>
    <w:pPr>
      <w:spacing w:after="100"/>
    </w:pPr>
    <w:rPr>
      <w:rFonts w:asciiTheme="minorHAnsi" w:hAnsiTheme="minorHAnsi"/>
      <w:color w:val="auto"/>
      <w:sz w:val="22"/>
      <w:lang w:val="es-CL"/>
    </w:rPr>
  </w:style>
  <w:style w:type="paragraph" w:styleId="TDC2">
    <w:name w:val="toc 2"/>
    <w:basedOn w:val="Normal"/>
    <w:next w:val="Normal"/>
    <w:autoRedefine/>
    <w:uiPriority w:val="39"/>
    <w:unhideWhenUsed/>
    <w:rsid w:val="001D7126"/>
    <w:pPr>
      <w:tabs>
        <w:tab w:val="left" w:pos="660"/>
        <w:tab w:val="right" w:leader="dot" w:pos="8828"/>
      </w:tabs>
      <w:spacing w:after="100"/>
      <w:jc w:val="both"/>
    </w:pPr>
    <w:rPr>
      <w:rFonts w:asciiTheme="minorHAnsi" w:hAnsiTheme="minorHAnsi"/>
      <w:color w:val="auto"/>
      <w:sz w:val="22"/>
      <w:lang w:val="es-CL"/>
    </w:rPr>
  </w:style>
  <w:style w:type="paragraph" w:styleId="Epgrafe">
    <w:name w:val="caption"/>
    <w:basedOn w:val="Normal"/>
    <w:next w:val="Normal"/>
    <w:uiPriority w:val="35"/>
    <w:semiHidden/>
    <w:unhideWhenUsed/>
    <w:qFormat/>
    <w:rsid w:val="0061095D"/>
    <w:pPr>
      <w:spacing w:line="240" w:lineRule="auto"/>
    </w:pPr>
    <w:rPr>
      <w:i/>
      <w:iCs/>
      <w:color w:val="1F497D" w:themeColor="text2"/>
      <w:sz w:val="18"/>
      <w:szCs w:val="18"/>
    </w:rPr>
  </w:style>
  <w:style w:type="paragraph" w:styleId="TtulodeTDC">
    <w:name w:val="TOC Heading"/>
    <w:basedOn w:val="Ttulo1"/>
    <w:next w:val="Normal"/>
    <w:uiPriority w:val="39"/>
    <w:semiHidden/>
    <w:unhideWhenUsed/>
    <w:qFormat/>
    <w:rsid w:val="00407FAF"/>
    <w:pPr>
      <w:spacing w:line="276" w:lineRule="auto"/>
      <w:outlineLvl w:val="9"/>
    </w:pPr>
    <w:rPr>
      <w:rFonts w:asciiTheme="majorHAnsi" w:hAnsiTheme="majorHAnsi"/>
      <w:b/>
      <w:bCs/>
      <w:i w:val="0"/>
      <w:iCs w:val="0"/>
      <w:sz w:val="28"/>
      <w:lang w:eastAsia="es-ES"/>
    </w:rPr>
  </w:style>
  <w:style w:type="paragraph" w:styleId="NormalWeb">
    <w:name w:val="Normal (Web)"/>
    <w:basedOn w:val="Normal"/>
    <w:uiPriority w:val="99"/>
    <w:unhideWhenUsed/>
    <w:rsid w:val="00190ADE"/>
    <w:pPr>
      <w:spacing w:before="100" w:beforeAutospacing="1" w:after="100" w:afterAutospacing="1" w:line="240" w:lineRule="auto"/>
    </w:pPr>
    <w:rPr>
      <w:rFonts w:ascii="Times New Roman" w:eastAsia="Times New Roman" w:hAnsi="Times New Roman" w:cs="Times New Roman"/>
      <w:color w:val="auto"/>
      <w:sz w:val="24"/>
      <w:szCs w:val="24"/>
      <w:lang w:val="es-CL" w:eastAsia="es-CL"/>
    </w:rPr>
  </w:style>
  <w:style w:type="table" w:customStyle="1" w:styleId="GridTable1LightAccent6">
    <w:name w:val="Grid Table 1 Light Accent 6"/>
    <w:basedOn w:val="Tablanormal"/>
    <w:uiPriority w:val="46"/>
    <w:rsid w:val="003A115D"/>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TDC3">
    <w:name w:val="toc 3"/>
    <w:basedOn w:val="Normal"/>
    <w:next w:val="Normal"/>
    <w:autoRedefine/>
    <w:uiPriority w:val="39"/>
    <w:unhideWhenUsed/>
    <w:rsid w:val="00D276F2"/>
    <w:pPr>
      <w:tabs>
        <w:tab w:val="right" w:leader="dot" w:pos="8828"/>
      </w:tabs>
      <w:spacing w:after="100"/>
      <w:ind w:left="640"/>
    </w:pPr>
    <w:rPr>
      <w:rFonts w:ascii="Arial" w:hAnsi="Arial" w:cs="Arial"/>
      <w:noProof/>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9571">
      <w:bodyDiv w:val="1"/>
      <w:marLeft w:val="0"/>
      <w:marRight w:val="0"/>
      <w:marTop w:val="0"/>
      <w:marBottom w:val="0"/>
      <w:divBdr>
        <w:top w:val="none" w:sz="0" w:space="0" w:color="auto"/>
        <w:left w:val="none" w:sz="0" w:space="0" w:color="auto"/>
        <w:bottom w:val="none" w:sz="0" w:space="0" w:color="auto"/>
        <w:right w:val="none" w:sz="0" w:space="0" w:color="auto"/>
      </w:divBdr>
    </w:div>
    <w:div w:id="42415085">
      <w:bodyDiv w:val="1"/>
      <w:marLeft w:val="0"/>
      <w:marRight w:val="0"/>
      <w:marTop w:val="0"/>
      <w:marBottom w:val="0"/>
      <w:divBdr>
        <w:top w:val="none" w:sz="0" w:space="0" w:color="auto"/>
        <w:left w:val="none" w:sz="0" w:space="0" w:color="auto"/>
        <w:bottom w:val="none" w:sz="0" w:space="0" w:color="auto"/>
        <w:right w:val="none" w:sz="0" w:space="0" w:color="auto"/>
      </w:divBdr>
      <w:divsChild>
        <w:div w:id="411590300">
          <w:marLeft w:val="0"/>
          <w:marRight w:val="0"/>
          <w:marTop w:val="0"/>
          <w:marBottom w:val="0"/>
          <w:divBdr>
            <w:top w:val="none" w:sz="0" w:space="0" w:color="auto"/>
            <w:left w:val="none" w:sz="0" w:space="0" w:color="auto"/>
            <w:bottom w:val="none" w:sz="0" w:space="0" w:color="auto"/>
            <w:right w:val="none" w:sz="0" w:space="0" w:color="auto"/>
          </w:divBdr>
        </w:div>
        <w:div w:id="520238366">
          <w:marLeft w:val="0"/>
          <w:marRight w:val="0"/>
          <w:marTop w:val="0"/>
          <w:marBottom w:val="0"/>
          <w:divBdr>
            <w:top w:val="none" w:sz="0" w:space="0" w:color="auto"/>
            <w:left w:val="none" w:sz="0" w:space="0" w:color="auto"/>
            <w:bottom w:val="none" w:sz="0" w:space="0" w:color="auto"/>
            <w:right w:val="none" w:sz="0" w:space="0" w:color="auto"/>
          </w:divBdr>
        </w:div>
        <w:div w:id="1583371223">
          <w:marLeft w:val="0"/>
          <w:marRight w:val="0"/>
          <w:marTop w:val="0"/>
          <w:marBottom w:val="0"/>
          <w:divBdr>
            <w:top w:val="none" w:sz="0" w:space="0" w:color="auto"/>
            <w:left w:val="none" w:sz="0" w:space="0" w:color="auto"/>
            <w:bottom w:val="none" w:sz="0" w:space="0" w:color="auto"/>
            <w:right w:val="none" w:sz="0" w:space="0" w:color="auto"/>
          </w:divBdr>
        </w:div>
        <w:div w:id="1974939404">
          <w:marLeft w:val="0"/>
          <w:marRight w:val="0"/>
          <w:marTop w:val="0"/>
          <w:marBottom w:val="0"/>
          <w:divBdr>
            <w:top w:val="none" w:sz="0" w:space="0" w:color="auto"/>
            <w:left w:val="none" w:sz="0" w:space="0" w:color="auto"/>
            <w:bottom w:val="none" w:sz="0" w:space="0" w:color="auto"/>
            <w:right w:val="none" w:sz="0" w:space="0" w:color="auto"/>
          </w:divBdr>
        </w:div>
      </w:divsChild>
    </w:div>
    <w:div w:id="47606210">
      <w:bodyDiv w:val="1"/>
      <w:marLeft w:val="0"/>
      <w:marRight w:val="0"/>
      <w:marTop w:val="0"/>
      <w:marBottom w:val="0"/>
      <w:divBdr>
        <w:top w:val="none" w:sz="0" w:space="0" w:color="auto"/>
        <w:left w:val="none" w:sz="0" w:space="0" w:color="auto"/>
        <w:bottom w:val="none" w:sz="0" w:space="0" w:color="auto"/>
        <w:right w:val="none" w:sz="0" w:space="0" w:color="auto"/>
      </w:divBdr>
    </w:div>
    <w:div w:id="60451996">
      <w:bodyDiv w:val="1"/>
      <w:marLeft w:val="0"/>
      <w:marRight w:val="0"/>
      <w:marTop w:val="0"/>
      <w:marBottom w:val="0"/>
      <w:divBdr>
        <w:top w:val="none" w:sz="0" w:space="0" w:color="auto"/>
        <w:left w:val="none" w:sz="0" w:space="0" w:color="auto"/>
        <w:bottom w:val="none" w:sz="0" w:space="0" w:color="auto"/>
        <w:right w:val="none" w:sz="0" w:space="0" w:color="auto"/>
      </w:divBdr>
    </w:div>
    <w:div w:id="84961294">
      <w:bodyDiv w:val="1"/>
      <w:marLeft w:val="0"/>
      <w:marRight w:val="0"/>
      <w:marTop w:val="0"/>
      <w:marBottom w:val="0"/>
      <w:divBdr>
        <w:top w:val="none" w:sz="0" w:space="0" w:color="auto"/>
        <w:left w:val="none" w:sz="0" w:space="0" w:color="auto"/>
        <w:bottom w:val="none" w:sz="0" w:space="0" w:color="auto"/>
        <w:right w:val="none" w:sz="0" w:space="0" w:color="auto"/>
      </w:divBdr>
    </w:div>
    <w:div w:id="109934967">
      <w:bodyDiv w:val="1"/>
      <w:marLeft w:val="0"/>
      <w:marRight w:val="0"/>
      <w:marTop w:val="0"/>
      <w:marBottom w:val="0"/>
      <w:divBdr>
        <w:top w:val="none" w:sz="0" w:space="0" w:color="auto"/>
        <w:left w:val="none" w:sz="0" w:space="0" w:color="auto"/>
        <w:bottom w:val="none" w:sz="0" w:space="0" w:color="auto"/>
        <w:right w:val="none" w:sz="0" w:space="0" w:color="auto"/>
      </w:divBdr>
    </w:div>
    <w:div w:id="170880548">
      <w:bodyDiv w:val="1"/>
      <w:marLeft w:val="0"/>
      <w:marRight w:val="0"/>
      <w:marTop w:val="0"/>
      <w:marBottom w:val="0"/>
      <w:divBdr>
        <w:top w:val="none" w:sz="0" w:space="0" w:color="auto"/>
        <w:left w:val="none" w:sz="0" w:space="0" w:color="auto"/>
        <w:bottom w:val="none" w:sz="0" w:space="0" w:color="auto"/>
        <w:right w:val="none" w:sz="0" w:space="0" w:color="auto"/>
      </w:divBdr>
      <w:divsChild>
        <w:div w:id="1708066299">
          <w:marLeft w:val="0"/>
          <w:marRight w:val="0"/>
          <w:marTop w:val="0"/>
          <w:marBottom w:val="0"/>
          <w:divBdr>
            <w:top w:val="none" w:sz="0" w:space="0" w:color="auto"/>
            <w:left w:val="none" w:sz="0" w:space="0" w:color="auto"/>
            <w:bottom w:val="none" w:sz="0" w:space="0" w:color="auto"/>
            <w:right w:val="none" w:sz="0" w:space="0" w:color="auto"/>
          </w:divBdr>
        </w:div>
        <w:div w:id="1755009513">
          <w:marLeft w:val="0"/>
          <w:marRight w:val="0"/>
          <w:marTop w:val="0"/>
          <w:marBottom w:val="0"/>
          <w:divBdr>
            <w:top w:val="none" w:sz="0" w:space="0" w:color="auto"/>
            <w:left w:val="none" w:sz="0" w:space="0" w:color="auto"/>
            <w:bottom w:val="none" w:sz="0" w:space="0" w:color="auto"/>
            <w:right w:val="none" w:sz="0" w:space="0" w:color="auto"/>
          </w:divBdr>
        </w:div>
      </w:divsChild>
    </w:div>
    <w:div w:id="176501852">
      <w:bodyDiv w:val="1"/>
      <w:marLeft w:val="0"/>
      <w:marRight w:val="0"/>
      <w:marTop w:val="0"/>
      <w:marBottom w:val="0"/>
      <w:divBdr>
        <w:top w:val="none" w:sz="0" w:space="0" w:color="auto"/>
        <w:left w:val="none" w:sz="0" w:space="0" w:color="auto"/>
        <w:bottom w:val="none" w:sz="0" w:space="0" w:color="auto"/>
        <w:right w:val="none" w:sz="0" w:space="0" w:color="auto"/>
      </w:divBdr>
    </w:div>
    <w:div w:id="178661556">
      <w:bodyDiv w:val="1"/>
      <w:marLeft w:val="0"/>
      <w:marRight w:val="0"/>
      <w:marTop w:val="0"/>
      <w:marBottom w:val="0"/>
      <w:divBdr>
        <w:top w:val="none" w:sz="0" w:space="0" w:color="auto"/>
        <w:left w:val="none" w:sz="0" w:space="0" w:color="auto"/>
        <w:bottom w:val="none" w:sz="0" w:space="0" w:color="auto"/>
        <w:right w:val="none" w:sz="0" w:space="0" w:color="auto"/>
      </w:divBdr>
      <w:divsChild>
        <w:div w:id="1925260972">
          <w:marLeft w:val="0"/>
          <w:marRight w:val="0"/>
          <w:marTop w:val="0"/>
          <w:marBottom w:val="0"/>
          <w:divBdr>
            <w:top w:val="none" w:sz="0" w:space="0" w:color="auto"/>
            <w:left w:val="none" w:sz="0" w:space="0" w:color="auto"/>
            <w:bottom w:val="none" w:sz="0" w:space="0" w:color="auto"/>
            <w:right w:val="none" w:sz="0" w:space="0" w:color="auto"/>
          </w:divBdr>
        </w:div>
        <w:div w:id="394934197">
          <w:marLeft w:val="0"/>
          <w:marRight w:val="0"/>
          <w:marTop w:val="0"/>
          <w:marBottom w:val="0"/>
          <w:divBdr>
            <w:top w:val="none" w:sz="0" w:space="0" w:color="auto"/>
            <w:left w:val="none" w:sz="0" w:space="0" w:color="auto"/>
            <w:bottom w:val="none" w:sz="0" w:space="0" w:color="auto"/>
            <w:right w:val="none" w:sz="0" w:space="0" w:color="auto"/>
          </w:divBdr>
        </w:div>
        <w:div w:id="596209242">
          <w:marLeft w:val="0"/>
          <w:marRight w:val="0"/>
          <w:marTop w:val="0"/>
          <w:marBottom w:val="0"/>
          <w:divBdr>
            <w:top w:val="none" w:sz="0" w:space="0" w:color="auto"/>
            <w:left w:val="none" w:sz="0" w:space="0" w:color="auto"/>
            <w:bottom w:val="none" w:sz="0" w:space="0" w:color="auto"/>
            <w:right w:val="none" w:sz="0" w:space="0" w:color="auto"/>
          </w:divBdr>
        </w:div>
      </w:divsChild>
    </w:div>
    <w:div w:id="185796754">
      <w:bodyDiv w:val="1"/>
      <w:marLeft w:val="0"/>
      <w:marRight w:val="0"/>
      <w:marTop w:val="0"/>
      <w:marBottom w:val="0"/>
      <w:divBdr>
        <w:top w:val="none" w:sz="0" w:space="0" w:color="auto"/>
        <w:left w:val="none" w:sz="0" w:space="0" w:color="auto"/>
        <w:bottom w:val="none" w:sz="0" w:space="0" w:color="auto"/>
        <w:right w:val="none" w:sz="0" w:space="0" w:color="auto"/>
      </w:divBdr>
      <w:divsChild>
        <w:div w:id="520896563">
          <w:marLeft w:val="0"/>
          <w:marRight w:val="0"/>
          <w:marTop w:val="0"/>
          <w:marBottom w:val="0"/>
          <w:divBdr>
            <w:top w:val="none" w:sz="0" w:space="0" w:color="auto"/>
            <w:left w:val="none" w:sz="0" w:space="0" w:color="auto"/>
            <w:bottom w:val="none" w:sz="0" w:space="0" w:color="auto"/>
            <w:right w:val="none" w:sz="0" w:space="0" w:color="auto"/>
          </w:divBdr>
        </w:div>
      </w:divsChild>
    </w:div>
    <w:div w:id="186798445">
      <w:bodyDiv w:val="1"/>
      <w:marLeft w:val="0"/>
      <w:marRight w:val="0"/>
      <w:marTop w:val="0"/>
      <w:marBottom w:val="0"/>
      <w:divBdr>
        <w:top w:val="none" w:sz="0" w:space="0" w:color="auto"/>
        <w:left w:val="none" w:sz="0" w:space="0" w:color="auto"/>
        <w:bottom w:val="none" w:sz="0" w:space="0" w:color="auto"/>
        <w:right w:val="none" w:sz="0" w:space="0" w:color="auto"/>
      </w:divBdr>
      <w:divsChild>
        <w:div w:id="762337678">
          <w:marLeft w:val="0"/>
          <w:marRight w:val="0"/>
          <w:marTop w:val="0"/>
          <w:marBottom w:val="0"/>
          <w:divBdr>
            <w:top w:val="none" w:sz="0" w:space="0" w:color="auto"/>
            <w:left w:val="none" w:sz="0" w:space="0" w:color="auto"/>
            <w:bottom w:val="none" w:sz="0" w:space="0" w:color="auto"/>
            <w:right w:val="none" w:sz="0" w:space="0" w:color="auto"/>
          </w:divBdr>
        </w:div>
        <w:div w:id="890964915">
          <w:marLeft w:val="0"/>
          <w:marRight w:val="0"/>
          <w:marTop w:val="0"/>
          <w:marBottom w:val="0"/>
          <w:divBdr>
            <w:top w:val="none" w:sz="0" w:space="0" w:color="auto"/>
            <w:left w:val="none" w:sz="0" w:space="0" w:color="auto"/>
            <w:bottom w:val="none" w:sz="0" w:space="0" w:color="auto"/>
            <w:right w:val="none" w:sz="0" w:space="0" w:color="auto"/>
          </w:divBdr>
        </w:div>
        <w:div w:id="1473059865">
          <w:marLeft w:val="0"/>
          <w:marRight w:val="0"/>
          <w:marTop w:val="0"/>
          <w:marBottom w:val="0"/>
          <w:divBdr>
            <w:top w:val="none" w:sz="0" w:space="0" w:color="auto"/>
            <w:left w:val="none" w:sz="0" w:space="0" w:color="auto"/>
            <w:bottom w:val="none" w:sz="0" w:space="0" w:color="auto"/>
            <w:right w:val="none" w:sz="0" w:space="0" w:color="auto"/>
          </w:divBdr>
        </w:div>
        <w:div w:id="2127381730">
          <w:marLeft w:val="0"/>
          <w:marRight w:val="0"/>
          <w:marTop w:val="0"/>
          <w:marBottom w:val="0"/>
          <w:divBdr>
            <w:top w:val="none" w:sz="0" w:space="0" w:color="auto"/>
            <w:left w:val="none" w:sz="0" w:space="0" w:color="auto"/>
            <w:bottom w:val="none" w:sz="0" w:space="0" w:color="auto"/>
            <w:right w:val="none" w:sz="0" w:space="0" w:color="auto"/>
          </w:divBdr>
        </w:div>
        <w:div w:id="664431323">
          <w:marLeft w:val="0"/>
          <w:marRight w:val="0"/>
          <w:marTop w:val="0"/>
          <w:marBottom w:val="0"/>
          <w:divBdr>
            <w:top w:val="none" w:sz="0" w:space="0" w:color="auto"/>
            <w:left w:val="none" w:sz="0" w:space="0" w:color="auto"/>
            <w:bottom w:val="none" w:sz="0" w:space="0" w:color="auto"/>
            <w:right w:val="none" w:sz="0" w:space="0" w:color="auto"/>
          </w:divBdr>
        </w:div>
      </w:divsChild>
    </w:div>
    <w:div w:id="204561053">
      <w:bodyDiv w:val="1"/>
      <w:marLeft w:val="0"/>
      <w:marRight w:val="0"/>
      <w:marTop w:val="0"/>
      <w:marBottom w:val="0"/>
      <w:divBdr>
        <w:top w:val="none" w:sz="0" w:space="0" w:color="auto"/>
        <w:left w:val="none" w:sz="0" w:space="0" w:color="auto"/>
        <w:bottom w:val="none" w:sz="0" w:space="0" w:color="auto"/>
        <w:right w:val="none" w:sz="0" w:space="0" w:color="auto"/>
      </w:divBdr>
    </w:div>
    <w:div w:id="209071099">
      <w:bodyDiv w:val="1"/>
      <w:marLeft w:val="0"/>
      <w:marRight w:val="0"/>
      <w:marTop w:val="0"/>
      <w:marBottom w:val="0"/>
      <w:divBdr>
        <w:top w:val="none" w:sz="0" w:space="0" w:color="auto"/>
        <w:left w:val="none" w:sz="0" w:space="0" w:color="auto"/>
        <w:bottom w:val="none" w:sz="0" w:space="0" w:color="auto"/>
        <w:right w:val="none" w:sz="0" w:space="0" w:color="auto"/>
      </w:divBdr>
      <w:divsChild>
        <w:div w:id="63918076">
          <w:marLeft w:val="0"/>
          <w:marRight w:val="0"/>
          <w:marTop w:val="0"/>
          <w:marBottom w:val="0"/>
          <w:divBdr>
            <w:top w:val="none" w:sz="0" w:space="0" w:color="auto"/>
            <w:left w:val="none" w:sz="0" w:space="0" w:color="auto"/>
            <w:bottom w:val="none" w:sz="0" w:space="0" w:color="auto"/>
            <w:right w:val="none" w:sz="0" w:space="0" w:color="auto"/>
          </w:divBdr>
          <w:divsChild>
            <w:div w:id="758212362">
              <w:marLeft w:val="0"/>
              <w:marRight w:val="0"/>
              <w:marTop w:val="0"/>
              <w:marBottom w:val="0"/>
              <w:divBdr>
                <w:top w:val="none" w:sz="0" w:space="0" w:color="auto"/>
                <w:left w:val="none" w:sz="0" w:space="0" w:color="auto"/>
                <w:bottom w:val="none" w:sz="0" w:space="0" w:color="auto"/>
                <w:right w:val="none" w:sz="0" w:space="0" w:color="auto"/>
              </w:divBdr>
            </w:div>
          </w:divsChild>
        </w:div>
        <w:div w:id="44183465">
          <w:marLeft w:val="0"/>
          <w:marRight w:val="0"/>
          <w:marTop w:val="0"/>
          <w:marBottom w:val="0"/>
          <w:divBdr>
            <w:top w:val="none" w:sz="0" w:space="0" w:color="auto"/>
            <w:left w:val="none" w:sz="0" w:space="0" w:color="auto"/>
            <w:bottom w:val="none" w:sz="0" w:space="0" w:color="auto"/>
            <w:right w:val="none" w:sz="0" w:space="0" w:color="auto"/>
          </w:divBdr>
          <w:divsChild>
            <w:div w:id="28095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0118">
      <w:bodyDiv w:val="1"/>
      <w:marLeft w:val="0"/>
      <w:marRight w:val="0"/>
      <w:marTop w:val="0"/>
      <w:marBottom w:val="0"/>
      <w:divBdr>
        <w:top w:val="none" w:sz="0" w:space="0" w:color="auto"/>
        <w:left w:val="none" w:sz="0" w:space="0" w:color="auto"/>
        <w:bottom w:val="none" w:sz="0" w:space="0" w:color="auto"/>
        <w:right w:val="none" w:sz="0" w:space="0" w:color="auto"/>
      </w:divBdr>
    </w:div>
    <w:div w:id="237402585">
      <w:bodyDiv w:val="1"/>
      <w:marLeft w:val="0"/>
      <w:marRight w:val="0"/>
      <w:marTop w:val="0"/>
      <w:marBottom w:val="0"/>
      <w:divBdr>
        <w:top w:val="none" w:sz="0" w:space="0" w:color="auto"/>
        <w:left w:val="none" w:sz="0" w:space="0" w:color="auto"/>
        <w:bottom w:val="none" w:sz="0" w:space="0" w:color="auto"/>
        <w:right w:val="none" w:sz="0" w:space="0" w:color="auto"/>
      </w:divBdr>
    </w:div>
    <w:div w:id="282150112">
      <w:bodyDiv w:val="1"/>
      <w:marLeft w:val="0"/>
      <w:marRight w:val="0"/>
      <w:marTop w:val="0"/>
      <w:marBottom w:val="0"/>
      <w:divBdr>
        <w:top w:val="none" w:sz="0" w:space="0" w:color="auto"/>
        <w:left w:val="none" w:sz="0" w:space="0" w:color="auto"/>
        <w:bottom w:val="none" w:sz="0" w:space="0" w:color="auto"/>
        <w:right w:val="none" w:sz="0" w:space="0" w:color="auto"/>
      </w:divBdr>
    </w:div>
    <w:div w:id="294141400">
      <w:bodyDiv w:val="1"/>
      <w:marLeft w:val="0"/>
      <w:marRight w:val="0"/>
      <w:marTop w:val="0"/>
      <w:marBottom w:val="0"/>
      <w:divBdr>
        <w:top w:val="none" w:sz="0" w:space="0" w:color="auto"/>
        <w:left w:val="none" w:sz="0" w:space="0" w:color="auto"/>
        <w:bottom w:val="none" w:sz="0" w:space="0" w:color="auto"/>
        <w:right w:val="none" w:sz="0" w:space="0" w:color="auto"/>
      </w:divBdr>
    </w:div>
    <w:div w:id="386415138">
      <w:bodyDiv w:val="1"/>
      <w:marLeft w:val="0"/>
      <w:marRight w:val="0"/>
      <w:marTop w:val="0"/>
      <w:marBottom w:val="0"/>
      <w:divBdr>
        <w:top w:val="none" w:sz="0" w:space="0" w:color="auto"/>
        <w:left w:val="none" w:sz="0" w:space="0" w:color="auto"/>
        <w:bottom w:val="none" w:sz="0" w:space="0" w:color="auto"/>
        <w:right w:val="none" w:sz="0" w:space="0" w:color="auto"/>
      </w:divBdr>
    </w:div>
    <w:div w:id="418136097">
      <w:bodyDiv w:val="1"/>
      <w:marLeft w:val="0"/>
      <w:marRight w:val="0"/>
      <w:marTop w:val="0"/>
      <w:marBottom w:val="0"/>
      <w:divBdr>
        <w:top w:val="none" w:sz="0" w:space="0" w:color="auto"/>
        <w:left w:val="none" w:sz="0" w:space="0" w:color="auto"/>
        <w:bottom w:val="none" w:sz="0" w:space="0" w:color="auto"/>
        <w:right w:val="none" w:sz="0" w:space="0" w:color="auto"/>
      </w:divBdr>
      <w:divsChild>
        <w:div w:id="311446221">
          <w:marLeft w:val="0"/>
          <w:marRight w:val="0"/>
          <w:marTop w:val="0"/>
          <w:marBottom w:val="0"/>
          <w:divBdr>
            <w:top w:val="none" w:sz="0" w:space="0" w:color="auto"/>
            <w:left w:val="none" w:sz="0" w:space="0" w:color="auto"/>
            <w:bottom w:val="none" w:sz="0" w:space="0" w:color="auto"/>
            <w:right w:val="none" w:sz="0" w:space="0" w:color="auto"/>
          </w:divBdr>
        </w:div>
        <w:div w:id="1227882963">
          <w:marLeft w:val="0"/>
          <w:marRight w:val="0"/>
          <w:marTop w:val="0"/>
          <w:marBottom w:val="0"/>
          <w:divBdr>
            <w:top w:val="none" w:sz="0" w:space="0" w:color="auto"/>
            <w:left w:val="none" w:sz="0" w:space="0" w:color="auto"/>
            <w:bottom w:val="none" w:sz="0" w:space="0" w:color="auto"/>
            <w:right w:val="none" w:sz="0" w:space="0" w:color="auto"/>
          </w:divBdr>
        </w:div>
        <w:div w:id="2063556077">
          <w:marLeft w:val="0"/>
          <w:marRight w:val="0"/>
          <w:marTop w:val="0"/>
          <w:marBottom w:val="0"/>
          <w:divBdr>
            <w:top w:val="none" w:sz="0" w:space="0" w:color="auto"/>
            <w:left w:val="none" w:sz="0" w:space="0" w:color="auto"/>
            <w:bottom w:val="none" w:sz="0" w:space="0" w:color="auto"/>
            <w:right w:val="none" w:sz="0" w:space="0" w:color="auto"/>
          </w:divBdr>
        </w:div>
        <w:div w:id="67965783">
          <w:marLeft w:val="0"/>
          <w:marRight w:val="0"/>
          <w:marTop w:val="0"/>
          <w:marBottom w:val="0"/>
          <w:divBdr>
            <w:top w:val="none" w:sz="0" w:space="0" w:color="auto"/>
            <w:left w:val="none" w:sz="0" w:space="0" w:color="auto"/>
            <w:bottom w:val="none" w:sz="0" w:space="0" w:color="auto"/>
            <w:right w:val="none" w:sz="0" w:space="0" w:color="auto"/>
          </w:divBdr>
        </w:div>
        <w:div w:id="59137007">
          <w:marLeft w:val="0"/>
          <w:marRight w:val="0"/>
          <w:marTop w:val="0"/>
          <w:marBottom w:val="0"/>
          <w:divBdr>
            <w:top w:val="none" w:sz="0" w:space="0" w:color="auto"/>
            <w:left w:val="none" w:sz="0" w:space="0" w:color="auto"/>
            <w:bottom w:val="none" w:sz="0" w:space="0" w:color="auto"/>
            <w:right w:val="none" w:sz="0" w:space="0" w:color="auto"/>
          </w:divBdr>
        </w:div>
        <w:div w:id="352345353">
          <w:marLeft w:val="0"/>
          <w:marRight w:val="0"/>
          <w:marTop w:val="0"/>
          <w:marBottom w:val="0"/>
          <w:divBdr>
            <w:top w:val="none" w:sz="0" w:space="0" w:color="auto"/>
            <w:left w:val="none" w:sz="0" w:space="0" w:color="auto"/>
            <w:bottom w:val="none" w:sz="0" w:space="0" w:color="auto"/>
            <w:right w:val="none" w:sz="0" w:space="0" w:color="auto"/>
          </w:divBdr>
        </w:div>
        <w:div w:id="978656379">
          <w:marLeft w:val="0"/>
          <w:marRight w:val="0"/>
          <w:marTop w:val="0"/>
          <w:marBottom w:val="0"/>
          <w:divBdr>
            <w:top w:val="none" w:sz="0" w:space="0" w:color="auto"/>
            <w:left w:val="none" w:sz="0" w:space="0" w:color="auto"/>
            <w:bottom w:val="none" w:sz="0" w:space="0" w:color="auto"/>
            <w:right w:val="none" w:sz="0" w:space="0" w:color="auto"/>
          </w:divBdr>
        </w:div>
        <w:div w:id="724524138">
          <w:marLeft w:val="0"/>
          <w:marRight w:val="0"/>
          <w:marTop w:val="0"/>
          <w:marBottom w:val="0"/>
          <w:divBdr>
            <w:top w:val="none" w:sz="0" w:space="0" w:color="auto"/>
            <w:left w:val="none" w:sz="0" w:space="0" w:color="auto"/>
            <w:bottom w:val="none" w:sz="0" w:space="0" w:color="auto"/>
            <w:right w:val="none" w:sz="0" w:space="0" w:color="auto"/>
          </w:divBdr>
        </w:div>
        <w:div w:id="1917933281">
          <w:marLeft w:val="0"/>
          <w:marRight w:val="0"/>
          <w:marTop w:val="0"/>
          <w:marBottom w:val="0"/>
          <w:divBdr>
            <w:top w:val="none" w:sz="0" w:space="0" w:color="auto"/>
            <w:left w:val="none" w:sz="0" w:space="0" w:color="auto"/>
            <w:bottom w:val="none" w:sz="0" w:space="0" w:color="auto"/>
            <w:right w:val="none" w:sz="0" w:space="0" w:color="auto"/>
          </w:divBdr>
        </w:div>
        <w:div w:id="502822473">
          <w:marLeft w:val="0"/>
          <w:marRight w:val="0"/>
          <w:marTop w:val="0"/>
          <w:marBottom w:val="0"/>
          <w:divBdr>
            <w:top w:val="none" w:sz="0" w:space="0" w:color="auto"/>
            <w:left w:val="none" w:sz="0" w:space="0" w:color="auto"/>
            <w:bottom w:val="none" w:sz="0" w:space="0" w:color="auto"/>
            <w:right w:val="none" w:sz="0" w:space="0" w:color="auto"/>
          </w:divBdr>
        </w:div>
        <w:div w:id="2124224160">
          <w:marLeft w:val="0"/>
          <w:marRight w:val="0"/>
          <w:marTop w:val="0"/>
          <w:marBottom w:val="0"/>
          <w:divBdr>
            <w:top w:val="none" w:sz="0" w:space="0" w:color="auto"/>
            <w:left w:val="none" w:sz="0" w:space="0" w:color="auto"/>
            <w:bottom w:val="none" w:sz="0" w:space="0" w:color="auto"/>
            <w:right w:val="none" w:sz="0" w:space="0" w:color="auto"/>
          </w:divBdr>
        </w:div>
        <w:div w:id="53086666">
          <w:marLeft w:val="0"/>
          <w:marRight w:val="0"/>
          <w:marTop w:val="0"/>
          <w:marBottom w:val="0"/>
          <w:divBdr>
            <w:top w:val="none" w:sz="0" w:space="0" w:color="auto"/>
            <w:left w:val="none" w:sz="0" w:space="0" w:color="auto"/>
            <w:bottom w:val="none" w:sz="0" w:space="0" w:color="auto"/>
            <w:right w:val="none" w:sz="0" w:space="0" w:color="auto"/>
          </w:divBdr>
        </w:div>
        <w:div w:id="567616471">
          <w:marLeft w:val="0"/>
          <w:marRight w:val="0"/>
          <w:marTop w:val="0"/>
          <w:marBottom w:val="0"/>
          <w:divBdr>
            <w:top w:val="none" w:sz="0" w:space="0" w:color="auto"/>
            <w:left w:val="none" w:sz="0" w:space="0" w:color="auto"/>
            <w:bottom w:val="none" w:sz="0" w:space="0" w:color="auto"/>
            <w:right w:val="none" w:sz="0" w:space="0" w:color="auto"/>
          </w:divBdr>
        </w:div>
        <w:div w:id="1907379182">
          <w:marLeft w:val="0"/>
          <w:marRight w:val="0"/>
          <w:marTop w:val="0"/>
          <w:marBottom w:val="0"/>
          <w:divBdr>
            <w:top w:val="none" w:sz="0" w:space="0" w:color="auto"/>
            <w:left w:val="none" w:sz="0" w:space="0" w:color="auto"/>
            <w:bottom w:val="none" w:sz="0" w:space="0" w:color="auto"/>
            <w:right w:val="none" w:sz="0" w:space="0" w:color="auto"/>
          </w:divBdr>
        </w:div>
        <w:div w:id="2064331466">
          <w:marLeft w:val="0"/>
          <w:marRight w:val="0"/>
          <w:marTop w:val="0"/>
          <w:marBottom w:val="0"/>
          <w:divBdr>
            <w:top w:val="none" w:sz="0" w:space="0" w:color="auto"/>
            <w:left w:val="none" w:sz="0" w:space="0" w:color="auto"/>
            <w:bottom w:val="none" w:sz="0" w:space="0" w:color="auto"/>
            <w:right w:val="none" w:sz="0" w:space="0" w:color="auto"/>
          </w:divBdr>
        </w:div>
        <w:div w:id="2111854212">
          <w:marLeft w:val="0"/>
          <w:marRight w:val="0"/>
          <w:marTop w:val="0"/>
          <w:marBottom w:val="0"/>
          <w:divBdr>
            <w:top w:val="none" w:sz="0" w:space="0" w:color="auto"/>
            <w:left w:val="none" w:sz="0" w:space="0" w:color="auto"/>
            <w:bottom w:val="none" w:sz="0" w:space="0" w:color="auto"/>
            <w:right w:val="none" w:sz="0" w:space="0" w:color="auto"/>
          </w:divBdr>
        </w:div>
        <w:div w:id="398864656">
          <w:marLeft w:val="0"/>
          <w:marRight w:val="0"/>
          <w:marTop w:val="0"/>
          <w:marBottom w:val="0"/>
          <w:divBdr>
            <w:top w:val="none" w:sz="0" w:space="0" w:color="auto"/>
            <w:left w:val="none" w:sz="0" w:space="0" w:color="auto"/>
            <w:bottom w:val="none" w:sz="0" w:space="0" w:color="auto"/>
            <w:right w:val="none" w:sz="0" w:space="0" w:color="auto"/>
          </w:divBdr>
        </w:div>
        <w:div w:id="1442190615">
          <w:marLeft w:val="0"/>
          <w:marRight w:val="0"/>
          <w:marTop w:val="0"/>
          <w:marBottom w:val="0"/>
          <w:divBdr>
            <w:top w:val="none" w:sz="0" w:space="0" w:color="auto"/>
            <w:left w:val="none" w:sz="0" w:space="0" w:color="auto"/>
            <w:bottom w:val="none" w:sz="0" w:space="0" w:color="auto"/>
            <w:right w:val="none" w:sz="0" w:space="0" w:color="auto"/>
          </w:divBdr>
        </w:div>
      </w:divsChild>
    </w:div>
    <w:div w:id="428812786">
      <w:bodyDiv w:val="1"/>
      <w:marLeft w:val="0"/>
      <w:marRight w:val="0"/>
      <w:marTop w:val="0"/>
      <w:marBottom w:val="0"/>
      <w:divBdr>
        <w:top w:val="none" w:sz="0" w:space="0" w:color="auto"/>
        <w:left w:val="none" w:sz="0" w:space="0" w:color="auto"/>
        <w:bottom w:val="none" w:sz="0" w:space="0" w:color="auto"/>
        <w:right w:val="none" w:sz="0" w:space="0" w:color="auto"/>
      </w:divBdr>
      <w:divsChild>
        <w:div w:id="1561675030">
          <w:marLeft w:val="0"/>
          <w:marRight w:val="0"/>
          <w:marTop w:val="0"/>
          <w:marBottom w:val="0"/>
          <w:divBdr>
            <w:top w:val="none" w:sz="0" w:space="0" w:color="auto"/>
            <w:left w:val="none" w:sz="0" w:space="0" w:color="auto"/>
            <w:bottom w:val="none" w:sz="0" w:space="0" w:color="auto"/>
            <w:right w:val="none" w:sz="0" w:space="0" w:color="auto"/>
          </w:divBdr>
        </w:div>
        <w:div w:id="1795516998">
          <w:marLeft w:val="0"/>
          <w:marRight w:val="0"/>
          <w:marTop w:val="0"/>
          <w:marBottom w:val="0"/>
          <w:divBdr>
            <w:top w:val="none" w:sz="0" w:space="0" w:color="auto"/>
            <w:left w:val="none" w:sz="0" w:space="0" w:color="auto"/>
            <w:bottom w:val="none" w:sz="0" w:space="0" w:color="auto"/>
            <w:right w:val="none" w:sz="0" w:space="0" w:color="auto"/>
          </w:divBdr>
        </w:div>
        <w:div w:id="784274337">
          <w:marLeft w:val="0"/>
          <w:marRight w:val="0"/>
          <w:marTop w:val="0"/>
          <w:marBottom w:val="0"/>
          <w:divBdr>
            <w:top w:val="none" w:sz="0" w:space="0" w:color="auto"/>
            <w:left w:val="none" w:sz="0" w:space="0" w:color="auto"/>
            <w:bottom w:val="none" w:sz="0" w:space="0" w:color="auto"/>
            <w:right w:val="none" w:sz="0" w:space="0" w:color="auto"/>
          </w:divBdr>
        </w:div>
        <w:div w:id="460996201">
          <w:marLeft w:val="0"/>
          <w:marRight w:val="0"/>
          <w:marTop w:val="0"/>
          <w:marBottom w:val="0"/>
          <w:divBdr>
            <w:top w:val="none" w:sz="0" w:space="0" w:color="auto"/>
            <w:left w:val="none" w:sz="0" w:space="0" w:color="auto"/>
            <w:bottom w:val="none" w:sz="0" w:space="0" w:color="auto"/>
            <w:right w:val="none" w:sz="0" w:space="0" w:color="auto"/>
          </w:divBdr>
        </w:div>
        <w:div w:id="1351643339">
          <w:marLeft w:val="0"/>
          <w:marRight w:val="0"/>
          <w:marTop w:val="0"/>
          <w:marBottom w:val="0"/>
          <w:divBdr>
            <w:top w:val="none" w:sz="0" w:space="0" w:color="auto"/>
            <w:left w:val="none" w:sz="0" w:space="0" w:color="auto"/>
            <w:bottom w:val="none" w:sz="0" w:space="0" w:color="auto"/>
            <w:right w:val="none" w:sz="0" w:space="0" w:color="auto"/>
          </w:divBdr>
        </w:div>
        <w:div w:id="924343793">
          <w:marLeft w:val="0"/>
          <w:marRight w:val="0"/>
          <w:marTop w:val="0"/>
          <w:marBottom w:val="0"/>
          <w:divBdr>
            <w:top w:val="none" w:sz="0" w:space="0" w:color="auto"/>
            <w:left w:val="none" w:sz="0" w:space="0" w:color="auto"/>
            <w:bottom w:val="none" w:sz="0" w:space="0" w:color="auto"/>
            <w:right w:val="none" w:sz="0" w:space="0" w:color="auto"/>
          </w:divBdr>
        </w:div>
        <w:div w:id="2055351758">
          <w:marLeft w:val="0"/>
          <w:marRight w:val="0"/>
          <w:marTop w:val="0"/>
          <w:marBottom w:val="0"/>
          <w:divBdr>
            <w:top w:val="none" w:sz="0" w:space="0" w:color="auto"/>
            <w:left w:val="none" w:sz="0" w:space="0" w:color="auto"/>
            <w:bottom w:val="none" w:sz="0" w:space="0" w:color="auto"/>
            <w:right w:val="none" w:sz="0" w:space="0" w:color="auto"/>
          </w:divBdr>
        </w:div>
        <w:div w:id="1079910259">
          <w:marLeft w:val="0"/>
          <w:marRight w:val="0"/>
          <w:marTop w:val="0"/>
          <w:marBottom w:val="0"/>
          <w:divBdr>
            <w:top w:val="none" w:sz="0" w:space="0" w:color="auto"/>
            <w:left w:val="none" w:sz="0" w:space="0" w:color="auto"/>
            <w:bottom w:val="none" w:sz="0" w:space="0" w:color="auto"/>
            <w:right w:val="none" w:sz="0" w:space="0" w:color="auto"/>
          </w:divBdr>
        </w:div>
        <w:div w:id="256905698">
          <w:marLeft w:val="0"/>
          <w:marRight w:val="0"/>
          <w:marTop w:val="0"/>
          <w:marBottom w:val="0"/>
          <w:divBdr>
            <w:top w:val="none" w:sz="0" w:space="0" w:color="auto"/>
            <w:left w:val="none" w:sz="0" w:space="0" w:color="auto"/>
            <w:bottom w:val="none" w:sz="0" w:space="0" w:color="auto"/>
            <w:right w:val="none" w:sz="0" w:space="0" w:color="auto"/>
          </w:divBdr>
        </w:div>
        <w:div w:id="439106838">
          <w:marLeft w:val="0"/>
          <w:marRight w:val="0"/>
          <w:marTop w:val="0"/>
          <w:marBottom w:val="0"/>
          <w:divBdr>
            <w:top w:val="none" w:sz="0" w:space="0" w:color="auto"/>
            <w:left w:val="none" w:sz="0" w:space="0" w:color="auto"/>
            <w:bottom w:val="none" w:sz="0" w:space="0" w:color="auto"/>
            <w:right w:val="none" w:sz="0" w:space="0" w:color="auto"/>
          </w:divBdr>
        </w:div>
        <w:div w:id="210264025">
          <w:marLeft w:val="0"/>
          <w:marRight w:val="0"/>
          <w:marTop w:val="0"/>
          <w:marBottom w:val="0"/>
          <w:divBdr>
            <w:top w:val="none" w:sz="0" w:space="0" w:color="auto"/>
            <w:left w:val="none" w:sz="0" w:space="0" w:color="auto"/>
            <w:bottom w:val="none" w:sz="0" w:space="0" w:color="auto"/>
            <w:right w:val="none" w:sz="0" w:space="0" w:color="auto"/>
          </w:divBdr>
        </w:div>
        <w:div w:id="874856282">
          <w:marLeft w:val="0"/>
          <w:marRight w:val="0"/>
          <w:marTop w:val="0"/>
          <w:marBottom w:val="0"/>
          <w:divBdr>
            <w:top w:val="none" w:sz="0" w:space="0" w:color="auto"/>
            <w:left w:val="none" w:sz="0" w:space="0" w:color="auto"/>
            <w:bottom w:val="none" w:sz="0" w:space="0" w:color="auto"/>
            <w:right w:val="none" w:sz="0" w:space="0" w:color="auto"/>
          </w:divBdr>
        </w:div>
        <w:div w:id="112215804">
          <w:marLeft w:val="0"/>
          <w:marRight w:val="0"/>
          <w:marTop w:val="0"/>
          <w:marBottom w:val="0"/>
          <w:divBdr>
            <w:top w:val="none" w:sz="0" w:space="0" w:color="auto"/>
            <w:left w:val="none" w:sz="0" w:space="0" w:color="auto"/>
            <w:bottom w:val="none" w:sz="0" w:space="0" w:color="auto"/>
            <w:right w:val="none" w:sz="0" w:space="0" w:color="auto"/>
          </w:divBdr>
        </w:div>
        <w:div w:id="1217863027">
          <w:marLeft w:val="0"/>
          <w:marRight w:val="0"/>
          <w:marTop w:val="0"/>
          <w:marBottom w:val="0"/>
          <w:divBdr>
            <w:top w:val="none" w:sz="0" w:space="0" w:color="auto"/>
            <w:left w:val="none" w:sz="0" w:space="0" w:color="auto"/>
            <w:bottom w:val="none" w:sz="0" w:space="0" w:color="auto"/>
            <w:right w:val="none" w:sz="0" w:space="0" w:color="auto"/>
          </w:divBdr>
        </w:div>
        <w:div w:id="1379354619">
          <w:marLeft w:val="0"/>
          <w:marRight w:val="0"/>
          <w:marTop w:val="0"/>
          <w:marBottom w:val="0"/>
          <w:divBdr>
            <w:top w:val="none" w:sz="0" w:space="0" w:color="auto"/>
            <w:left w:val="none" w:sz="0" w:space="0" w:color="auto"/>
            <w:bottom w:val="none" w:sz="0" w:space="0" w:color="auto"/>
            <w:right w:val="none" w:sz="0" w:space="0" w:color="auto"/>
          </w:divBdr>
        </w:div>
        <w:div w:id="404452921">
          <w:marLeft w:val="0"/>
          <w:marRight w:val="0"/>
          <w:marTop w:val="0"/>
          <w:marBottom w:val="0"/>
          <w:divBdr>
            <w:top w:val="none" w:sz="0" w:space="0" w:color="auto"/>
            <w:left w:val="none" w:sz="0" w:space="0" w:color="auto"/>
            <w:bottom w:val="none" w:sz="0" w:space="0" w:color="auto"/>
            <w:right w:val="none" w:sz="0" w:space="0" w:color="auto"/>
          </w:divBdr>
        </w:div>
        <w:div w:id="589896027">
          <w:marLeft w:val="0"/>
          <w:marRight w:val="0"/>
          <w:marTop w:val="0"/>
          <w:marBottom w:val="0"/>
          <w:divBdr>
            <w:top w:val="none" w:sz="0" w:space="0" w:color="auto"/>
            <w:left w:val="none" w:sz="0" w:space="0" w:color="auto"/>
            <w:bottom w:val="none" w:sz="0" w:space="0" w:color="auto"/>
            <w:right w:val="none" w:sz="0" w:space="0" w:color="auto"/>
          </w:divBdr>
        </w:div>
        <w:div w:id="1258293121">
          <w:marLeft w:val="0"/>
          <w:marRight w:val="0"/>
          <w:marTop w:val="0"/>
          <w:marBottom w:val="0"/>
          <w:divBdr>
            <w:top w:val="none" w:sz="0" w:space="0" w:color="auto"/>
            <w:left w:val="none" w:sz="0" w:space="0" w:color="auto"/>
            <w:bottom w:val="none" w:sz="0" w:space="0" w:color="auto"/>
            <w:right w:val="none" w:sz="0" w:space="0" w:color="auto"/>
          </w:divBdr>
        </w:div>
        <w:div w:id="1971473900">
          <w:marLeft w:val="0"/>
          <w:marRight w:val="0"/>
          <w:marTop w:val="0"/>
          <w:marBottom w:val="0"/>
          <w:divBdr>
            <w:top w:val="none" w:sz="0" w:space="0" w:color="auto"/>
            <w:left w:val="none" w:sz="0" w:space="0" w:color="auto"/>
            <w:bottom w:val="none" w:sz="0" w:space="0" w:color="auto"/>
            <w:right w:val="none" w:sz="0" w:space="0" w:color="auto"/>
          </w:divBdr>
        </w:div>
        <w:div w:id="1784686134">
          <w:marLeft w:val="0"/>
          <w:marRight w:val="0"/>
          <w:marTop w:val="0"/>
          <w:marBottom w:val="0"/>
          <w:divBdr>
            <w:top w:val="none" w:sz="0" w:space="0" w:color="auto"/>
            <w:left w:val="none" w:sz="0" w:space="0" w:color="auto"/>
            <w:bottom w:val="none" w:sz="0" w:space="0" w:color="auto"/>
            <w:right w:val="none" w:sz="0" w:space="0" w:color="auto"/>
          </w:divBdr>
        </w:div>
        <w:div w:id="1903514801">
          <w:marLeft w:val="0"/>
          <w:marRight w:val="0"/>
          <w:marTop w:val="0"/>
          <w:marBottom w:val="0"/>
          <w:divBdr>
            <w:top w:val="none" w:sz="0" w:space="0" w:color="auto"/>
            <w:left w:val="none" w:sz="0" w:space="0" w:color="auto"/>
            <w:bottom w:val="none" w:sz="0" w:space="0" w:color="auto"/>
            <w:right w:val="none" w:sz="0" w:space="0" w:color="auto"/>
          </w:divBdr>
        </w:div>
        <w:div w:id="795757231">
          <w:marLeft w:val="0"/>
          <w:marRight w:val="0"/>
          <w:marTop w:val="0"/>
          <w:marBottom w:val="0"/>
          <w:divBdr>
            <w:top w:val="none" w:sz="0" w:space="0" w:color="auto"/>
            <w:left w:val="none" w:sz="0" w:space="0" w:color="auto"/>
            <w:bottom w:val="none" w:sz="0" w:space="0" w:color="auto"/>
            <w:right w:val="none" w:sz="0" w:space="0" w:color="auto"/>
          </w:divBdr>
        </w:div>
        <w:div w:id="964698227">
          <w:marLeft w:val="0"/>
          <w:marRight w:val="0"/>
          <w:marTop w:val="0"/>
          <w:marBottom w:val="0"/>
          <w:divBdr>
            <w:top w:val="none" w:sz="0" w:space="0" w:color="auto"/>
            <w:left w:val="none" w:sz="0" w:space="0" w:color="auto"/>
            <w:bottom w:val="none" w:sz="0" w:space="0" w:color="auto"/>
            <w:right w:val="none" w:sz="0" w:space="0" w:color="auto"/>
          </w:divBdr>
        </w:div>
        <w:div w:id="1675112445">
          <w:marLeft w:val="0"/>
          <w:marRight w:val="0"/>
          <w:marTop w:val="0"/>
          <w:marBottom w:val="0"/>
          <w:divBdr>
            <w:top w:val="none" w:sz="0" w:space="0" w:color="auto"/>
            <w:left w:val="none" w:sz="0" w:space="0" w:color="auto"/>
            <w:bottom w:val="none" w:sz="0" w:space="0" w:color="auto"/>
            <w:right w:val="none" w:sz="0" w:space="0" w:color="auto"/>
          </w:divBdr>
        </w:div>
        <w:div w:id="141119758">
          <w:marLeft w:val="0"/>
          <w:marRight w:val="0"/>
          <w:marTop w:val="0"/>
          <w:marBottom w:val="0"/>
          <w:divBdr>
            <w:top w:val="none" w:sz="0" w:space="0" w:color="auto"/>
            <w:left w:val="none" w:sz="0" w:space="0" w:color="auto"/>
            <w:bottom w:val="none" w:sz="0" w:space="0" w:color="auto"/>
            <w:right w:val="none" w:sz="0" w:space="0" w:color="auto"/>
          </w:divBdr>
        </w:div>
        <w:div w:id="714697156">
          <w:marLeft w:val="0"/>
          <w:marRight w:val="0"/>
          <w:marTop w:val="0"/>
          <w:marBottom w:val="0"/>
          <w:divBdr>
            <w:top w:val="none" w:sz="0" w:space="0" w:color="auto"/>
            <w:left w:val="none" w:sz="0" w:space="0" w:color="auto"/>
            <w:bottom w:val="none" w:sz="0" w:space="0" w:color="auto"/>
            <w:right w:val="none" w:sz="0" w:space="0" w:color="auto"/>
          </w:divBdr>
        </w:div>
      </w:divsChild>
    </w:div>
    <w:div w:id="457794619">
      <w:bodyDiv w:val="1"/>
      <w:marLeft w:val="0"/>
      <w:marRight w:val="0"/>
      <w:marTop w:val="0"/>
      <w:marBottom w:val="0"/>
      <w:divBdr>
        <w:top w:val="none" w:sz="0" w:space="0" w:color="auto"/>
        <w:left w:val="none" w:sz="0" w:space="0" w:color="auto"/>
        <w:bottom w:val="none" w:sz="0" w:space="0" w:color="auto"/>
        <w:right w:val="none" w:sz="0" w:space="0" w:color="auto"/>
      </w:divBdr>
      <w:divsChild>
        <w:div w:id="273287184">
          <w:marLeft w:val="0"/>
          <w:marRight w:val="0"/>
          <w:marTop w:val="0"/>
          <w:marBottom w:val="0"/>
          <w:divBdr>
            <w:top w:val="none" w:sz="0" w:space="0" w:color="auto"/>
            <w:left w:val="none" w:sz="0" w:space="0" w:color="auto"/>
            <w:bottom w:val="none" w:sz="0" w:space="0" w:color="auto"/>
            <w:right w:val="none" w:sz="0" w:space="0" w:color="auto"/>
          </w:divBdr>
        </w:div>
        <w:div w:id="1735081363">
          <w:marLeft w:val="0"/>
          <w:marRight w:val="0"/>
          <w:marTop w:val="0"/>
          <w:marBottom w:val="0"/>
          <w:divBdr>
            <w:top w:val="none" w:sz="0" w:space="0" w:color="auto"/>
            <w:left w:val="none" w:sz="0" w:space="0" w:color="auto"/>
            <w:bottom w:val="none" w:sz="0" w:space="0" w:color="auto"/>
            <w:right w:val="none" w:sz="0" w:space="0" w:color="auto"/>
          </w:divBdr>
        </w:div>
        <w:div w:id="1190097410">
          <w:marLeft w:val="0"/>
          <w:marRight w:val="0"/>
          <w:marTop w:val="0"/>
          <w:marBottom w:val="0"/>
          <w:divBdr>
            <w:top w:val="none" w:sz="0" w:space="0" w:color="auto"/>
            <w:left w:val="none" w:sz="0" w:space="0" w:color="auto"/>
            <w:bottom w:val="none" w:sz="0" w:space="0" w:color="auto"/>
            <w:right w:val="none" w:sz="0" w:space="0" w:color="auto"/>
          </w:divBdr>
        </w:div>
        <w:div w:id="1374311385">
          <w:marLeft w:val="0"/>
          <w:marRight w:val="0"/>
          <w:marTop w:val="0"/>
          <w:marBottom w:val="0"/>
          <w:divBdr>
            <w:top w:val="none" w:sz="0" w:space="0" w:color="auto"/>
            <w:left w:val="none" w:sz="0" w:space="0" w:color="auto"/>
            <w:bottom w:val="none" w:sz="0" w:space="0" w:color="auto"/>
            <w:right w:val="none" w:sz="0" w:space="0" w:color="auto"/>
          </w:divBdr>
        </w:div>
        <w:div w:id="1065840962">
          <w:marLeft w:val="0"/>
          <w:marRight w:val="0"/>
          <w:marTop w:val="0"/>
          <w:marBottom w:val="0"/>
          <w:divBdr>
            <w:top w:val="none" w:sz="0" w:space="0" w:color="auto"/>
            <w:left w:val="none" w:sz="0" w:space="0" w:color="auto"/>
            <w:bottom w:val="none" w:sz="0" w:space="0" w:color="auto"/>
            <w:right w:val="none" w:sz="0" w:space="0" w:color="auto"/>
          </w:divBdr>
        </w:div>
        <w:div w:id="530073271">
          <w:marLeft w:val="0"/>
          <w:marRight w:val="0"/>
          <w:marTop w:val="0"/>
          <w:marBottom w:val="0"/>
          <w:divBdr>
            <w:top w:val="none" w:sz="0" w:space="0" w:color="auto"/>
            <w:left w:val="none" w:sz="0" w:space="0" w:color="auto"/>
            <w:bottom w:val="none" w:sz="0" w:space="0" w:color="auto"/>
            <w:right w:val="none" w:sz="0" w:space="0" w:color="auto"/>
          </w:divBdr>
        </w:div>
        <w:div w:id="1793283599">
          <w:marLeft w:val="0"/>
          <w:marRight w:val="0"/>
          <w:marTop w:val="0"/>
          <w:marBottom w:val="0"/>
          <w:divBdr>
            <w:top w:val="none" w:sz="0" w:space="0" w:color="auto"/>
            <w:left w:val="none" w:sz="0" w:space="0" w:color="auto"/>
            <w:bottom w:val="none" w:sz="0" w:space="0" w:color="auto"/>
            <w:right w:val="none" w:sz="0" w:space="0" w:color="auto"/>
          </w:divBdr>
        </w:div>
        <w:div w:id="707796971">
          <w:marLeft w:val="0"/>
          <w:marRight w:val="0"/>
          <w:marTop w:val="0"/>
          <w:marBottom w:val="0"/>
          <w:divBdr>
            <w:top w:val="none" w:sz="0" w:space="0" w:color="auto"/>
            <w:left w:val="none" w:sz="0" w:space="0" w:color="auto"/>
            <w:bottom w:val="none" w:sz="0" w:space="0" w:color="auto"/>
            <w:right w:val="none" w:sz="0" w:space="0" w:color="auto"/>
          </w:divBdr>
        </w:div>
        <w:div w:id="373501758">
          <w:marLeft w:val="0"/>
          <w:marRight w:val="0"/>
          <w:marTop w:val="0"/>
          <w:marBottom w:val="0"/>
          <w:divBdr>
            <w:top w:val="none" w:sz="0" w:space="0" w:color="auto"/>
            <w:left w:val="none" w:sz="0" w:space="0" w:color="auto"/>
            <w:bottom w:val="none" w:sz="0" w:space="0" w:color="auto"/>
            <w:right w:val="none" w:sz="0" w:space="0" w:color="auto"/>
          </w:divBdr>
        </w:div>
        <w:div w:id="30303830">
          <w:marLeft w:val="0"/>
          <w:marRight w:val="0"/>
          <w:marTop w:val="0"/>
          <w:marBottom w:val="0"/>
          <w:divBdr>
            <w:top w:val="none" w:sz="0" w:space="0" w:color="auto"/>
            <w:left w:val="none" w:sz="0" w:space="0" w:color="auto"/>
            <w:bottom w:val="none" w:sz="0" w:space="0" w:color="auto"/>
            <w:right w:val="none" w:sz="0" w:space="0" w:color="auto"/>
          </w:divBdr>
        </w:div>
      </w:divsChild>
    </w:div>
    <w:div w:id="502404022">
      <w:bodyDiv w:val="1"/>
      <w:marLeft w:val="0"/>
      <w:marRight w:val="0"/>
      <w:marTop w:val="0"/>
      <w:marBottom w:val="0"/>
      <w:divBdr>
        <w:top w:val="none" w:sz="0" w:space="0" w:color="auto"/>
        <w:left w:val="none" w:sz="0" w:space="0" w:color="auto"/>
        <w:bottom w:val="none" w:sz="0" w:space="0" w:color="auto"/>
        <w:right w:val="none" w:sz="0" w:space="0" w:color="auto"/>
      </w:divBdr>
    </w:div>
    <w:div w:id="504631331">
      <w:bodyDiv w:val="1"/>
      <w:marLeft w:val="0"/>
      <w:marRight w:val="0"/>
      <w:marTop w:val="0"/>
      <w:marBottom w:val="0"/>
      <w:divBdr>
        <w:top w:val="none" w:sz="0" w:space="0" w:color="auto"/>
        <w:left w:val="none" w:sz="0" w:space="0" w:color="auto"/>
        <w:bottom w:val="none" w:sz="0" w:space="0" w:color="auto"/>
        <w:right w:val="none" w:sz="0" w:space="0" w:color="auto"/>
      </w:divBdr>
    </w:div>
    <w:div w:id="549533246">
      <w:bodyDiv w:val="1"/>
      <w:marLeft w:val="0"/>
      <w:marRight w:val="0"/>
      <w:marTop w:val="0"/>
      <w:marBottom w:val="0"/>
      <w:divBdr>
        <w:top w:val="none" w:sz="0" w:space="0" w:color="auto"/>
        <w:left w:val="none" w:sz="0" w:space="0" w:color="auto"/>
        <w:bottom w:val="none" w:sz="0" w:space="0" w:color="auto"/>
        <w:right w:val="none" w:sz="0" w:space="0" w:color="auto"/>
      </w:divBdr>
    </w:div>
    <w:div w:id="672610484">
      <w:bodyDiv w:val="1"/>
      <w:marLeft w:val="0"/>
      <w:marRight w:val="0"/>
      <w:marTop w:val="0"/>
      <w:marBottom w:val="0"/>
      <w:divBdr>
        <w:top w:val="none" w:sz="0" w:space="0" w:color="auto"/>
        <w:left w:val="none" w:sz="0" w:space="0" w:color="auto"/>
        <w:bottom w:val="none" w:sz="0" w:space="0" w:color="auto"/>
        <w:right w:val="none" w:sz="0" w:space="0" w:color="auto"/>
      </w:divBdr>
    </w:div>
    <w:div w:id="676856372">
      <w:bodyDiv w:val="1"/>
      <w:marLeft w:val="0"/>
      <w:marRight w:val="0"/>
      <w:marTop w:val="0"/>
      <w:marBottom w:val="0"/>
      <w:divBdr>
        <w:top w:val="none" w:sz="0" w:space="0" w:color="auto"/>
        <w:left w:val="none" w:sz="0" w:space="0" w:color="auto"/>
        <w:bottom w:val="none" w:sz="0" w:space="0" w:color="auto"/>
        <w:right w:val="none" w:sz="0" w:space="0" w:color="auto"/>
      </w:divBdr>
      <w:divsChild>
        <w:div w:id="1003438309">
          <w:marLeft w:val="0"/>
          <w:marRight w:val="0"/>
          <w:marTop w:val="0"/>
          <w:marBottom w:val="0"/>
          <w:divBdr>
            <w:top w:val="none" w:sz="0" w:space="0" w:color="auto"/>
            <w:left w:val="none" w:sz="0" w:space="0" w:color="auto"/>
            <w:bottom w:val="none" w:sz="0" w:space="0" w:color="auto"/>
            <w:right w:val="none" w:sz="0" w:space="0" w:color="auto"/>
          </w:divBdr>
        </w:div>
        <w:div w:id="439841118">
          <w:marLeft w:val="0"/>
          <w:marRight w:val="0"/>
          <w:marTop w:val="0"/>
          <w:marBottom w:val="0"/>
          <w:divBdr>
            <w:top w:val="none" w:sz="0" w:space="0" w:color="auto"/>
            <w:left w:val="none" w:sz="0" w:space="0" w:color="auto"/>
            <w:bottom w:val="none" w:sz="0" w:space="0" w:color="auto"/>
            <w:right w:val="none" w:sz="0" w:space="0" w:color="auto"/>
          </w:divBdr>
        </w:div>
        <w:div w:id="1192456357">
          <w:marLeft w:val="0"/>
          <w:marRight w:val="0"/>
          <w:marTop w:val="0"/>
          <w:marBottom w:val="0"/>
          <w:divBdr>
            <w:top w:val="none" w:sz="0" w:space="0" w:color="auto"/>
            <w:left w:val="none" w:sz="0" w:space="0" w:color="auto"/>
            <w:bottom w:val="none" w:sz="0" w:space="0" w:color="auto"/>
            <w:right w:val="none" w:sz="0" w:space="0" w:color="auto"/>
          </w:divBdr>
        </w:div>
        <w:div w:id="431752286">
          <w:marLeft w:val="0"/>
          <w:marRight w:val="0"/>
          <w:marTop w:val="0"/>
          <w:marBottom w:val="0"/>
          <w:divBdr>
            <w:top w:val="none" w:sz="0" w:space="0" w:color="auto"/>
            <w:left w:val="none" w:sz="0" w:space="0" w:color="auto"/>
            <w:bottom w:val="none" w:sz="0" w:space="0" w:color="auto"/>
            <w:right w:val="none" w:sz="0" w:space="0" w:color="auto"/>
          </w:divBdr>
        </w:div>
        <w:div w:id="78528302">
          <w:marLeft w:val="0"/>
          <w:marRight w:val="0"/>
          <w:marTop w:val="0"/>
          <w:marBottom w:val="0"/>
          <w:divBdr>
            <w:top w:val="none" w:sz="0" w:space="0" w:color="auto"/>
            <w:left w:val="none" w:sz="0" w:space="0" w:color="auto"/>
            <w:bottom w:val="none" w:sz="0" w:space="0" w:color="auto"/>
            <w:right w:val="none" w:sz="0" w:space="0" w:color="auto"/>
          </w:divBdr>
        </w:div>
        <w:div w:id="1880706071">
          <w:marLeft w:val="0"/>
          <w:marRight w:val="0"/>
          <w:marTop w:val="0"/>
          <w:marBottom w:val="0"/>
          <w:divBdr>
            <w:top w:val="none" w:sz="0" w:space="0" w:color="auto"/>
            <w:left w:val="none" w:sz="0" w:space="0" w:color="auto"/>
            <w:bottom w:val="none" w:sz="0" w:space="0" w:color="auto"/>
            <w:right w:val="none" w:sz="0" w:space="0" w:color="auto"/>
          </w:divBdr>
        </w:div>
      </w:divsChild>
    </w:div>
    <w:div w:id="681205934">
      <w:bodyDiv w:val="1"/>
      <w:marLeft w:val="0"/>
      <w:marRight w:val="0"/>
      <w:marTop w:val="0"/>
      <w:marBottom w:val="0"/>
      <w:divBdr>
        <w:top w:val="none" w:sz="0" w:space="0" w:color="auto"/>
        <w:left w:val="none" w:sz="0" w:space="0" w:color="auto"/>
        <w:bottom w:val="none" w:sz="0" w:space="0" w:color="auto"/>
        <w:right w:val="none" w:sz="0" w:space="0" w:color="auto"/>
      </w:divBdr>
      <w:divsChild>
        <w:div w:id="813564502">
          <w:marLeft w:val="0"/>
          <w:marRight w:val="0"/>
          <w:marTop w:val="0"/>
          <w:marBottom w:val="0"/>
          <w:divBdr>
            <w:top w:val="none" w:sz="0" w:space="0" w:color="auto"/>
            <w:left w:val="none" w:sz="0" w:space="0" w:color="auto"/>
            <w:bottom w:val="none" w:sz="0" w:space="0" w:color="auto"/>
            <w:right w:val="none" w:sz="0" w:space="0" w:color="auto"/>
          </w:divBdr>
        </w:div>
        <w:div w:id="317001166">
          <w:marLeft w:val="0"/>
          <w:marRight w:val="0"/>
          <w:marTop w:val="0"/>
          <w:marBottom w:val="0"/>
          <w:divBdr>
            <w:top w:val="none" w:sz="0" w:space="0" w:color="auto"/>
            <w:left w:val="none" w:sz="0" w:space="0" w:color="auto"/>
            <w:bottom w:val="none" w:sz="0" w:space="0" w:color="auto"/>
            <w:right w:val="none" w:sz="0" w:space="0" w:color="auto"/>
          </w:divBdr>
        </w:div>
      </w:divsChild>
    </w:div>
    <w:div w:id="766776256">
      <w:bodyDiv w:val="1"/>
      <w:marLeft w:val="0"/>
      <w:marRight w:val="0"/>
      <w:marTop w:val="0"/>
      <w:marBottom w:val="0"/>
      <w:divBdr>
        <w:top w:val="none" w:sz="0" w:space="0" w:color="auto"/>
        <w:left w:val="none" w:sz="0" w:space="0" w:color="auto"/>
        <w:bottom w:val="none" w:sz="0" w:space="0" w:color="auto"/>
        <w:right w:val="none" w:sz="0" w:space="0" w:color="auto"/>
      </w:divBdr>
    </w:div>
    <w:div w:id="769275332">
      <w:bodyDiv w:val="1"/>
      <w:marLeft w:val="0"/>
      <w:marRight w:val="0"/>
      <w:marTop w:val="0"/>
      <w:marBottom w:val="0"/>
      <w:divBdr>
        <w:top w:val="none" w:sz="0" w:space="0" w:color="auto"/>
        <w:left w:val="none" w:sz="0" w:space="0" w:color="auto"/>
        <w:bottom w:val="none" w:sz="0" w:space="0" w:color="auto"/>
        <w:right w:val="none" w:sz="0" w:space="0" w:color="auto"/>
      </w:divBdr>
    </w:div>
    <w:div w:id="815877525">
      <w:bodyDiv w:val="1"/>
      <w:marLeft w:val="0"/>
      <w:marRight w:val="0"/>
      <w:marTop w:val="0"/>
      <w:marBottom w:val="0"/>
      <w:divBdr>
        <w:top w:val="none" w:sz="0" w:space="0" w:color="auto"/>
        <w:left w:val="none" w:sz="0" w:space="0" w:color="auto"/>
        <w:bottom w:val="none" w:sz="0" w:space="0" w:color="auto"/>
        <w:right w:val="none" w:sz="0" w:space="0" w:color="auto"/>
      </w:divBdr>
      <w:divsChild>
        <w:div w:id="1549223823">
          <w:marLeft w:val="0"/>
          <w:marRight w:val="0"/>
          <w:marTop w:val="0"/>
          <w:marBottom w:val="0"/>
          <w:divBdr>
            <w:top w:val="none" w:sz="0" w:space="0" w:color="auto"/>
            <w:left w:val="none" w:sz="0" w:space="0" w:color="auto"/>
            <w:bottom w:val="none" w:sz="0" w:space="0" w:color="auto"/>
            <w:right w:val="none" w:sz="0" w:space="0" w:color="auto"/>
          </w:divBdr>
        </w:div>
        <w:div w:id="1579703796">
          <w:marLeft w:val="0"/>
          <w:marRight w:val="0"/>
          <w:marTop w:val="0"/>
          <w:marBottom w:val="0"/>
          <w:divBdr>
            <w:top w:val="none" w:sz="0" w:space="0" w:color="auto"/>
            <w:left w:val="none" w:sz="0" w:space="0" w:color="auto"/>
            <w:bottom w:val="none" w:sz="0" w:space="0" w:color="auto"/>
            <w:right w:val="none" w:sz="0" w:space="0" w:color="auto"/>
          </w:divBdr>
        </w:div>
        <w:div w:id="1818454852">
          <w:marLeft w:val="0"/>
          <w:marRight w:val="0"/>
          <w:marTop w:val="0"/>
          <w:marBottom w:val="0"/>
          <w:divBdr>
            <w:top w:val="none" w:sz="0" w:space="0" w:color="auto"/>
            <w:left w:val="none" w:sz="0" w:space="0" w:color="auto"/>
            <w:bottom w:val="none" w:sz="0" w:space="0" w:color="auto"/>
            <w:right w:val="none" w:sz="0" w:space="0" w:color="auto"/>
          </w:divBdr>
        </w:div>
      </w:divsChild>
    </w:div>
    <w:div w:id="855080183">
      <w:bodyDiv w:val="1"/>
      <w:marLeft w:val="0"/>
      <w:marRight w:val="0"/>
      <w:marTop w:val="0"/>
      <w:marBottom w:val="0"/>
      <w:divBdr>
        <w:top w:val="none" w:sz="0" w:space="0" w:color="auto"/>
        <w:left w:val="none" w:sz="0" w:space="0" w:color="auto"/>
        <w:bottom w:val="none" w:sz="0" w:space="0" w:color="auto"/>
        <w:right w:val="none" w:sz="0" w:space="0" w:color="auto"/>
      </w:divBdr>
    </w:div>
    <w:div w:id="890843228">
      <w:bodyDiv w:val="1"/>
      <w:marLeft w:val="0"/>
      <w:marRight w:val="0"/>
      <w:marTop w:val="0"/>
      <w:marBottom w:val="0"/>
      <w:divBdr>
        <w:top w:val="none" w:sz="0" w:space="0" w:color="auto"/>
        <w:left w:val="none" w:sz="0" w:space="0" w:color="auto"/>
        <w:bottom w:val="none" w:sz="0" w:space="0" w:color="auto"/>
        <w:right w:val="none" w:sz="0" w:space="0" w:color="auto"/>
      </w:divBdr>
    </w:div>
    <w:div w:id="893541689">
      <w:bodyDiv w:val="1"/>
      <w:marLeft w:val="0"/>
      <w:marRight w:val="0"/>
      <w:marTop w:val="0"/>
      <w:marBottom w:val="0"/>
      <w:divBdr>
        <w:top w:val="none" w:sz="0" w:space="0" w:color="auto"/>
        <w:left w:val="none" w:sz="0" w:space="0" w:color="auto"/>
        <w:bottom w:val="none" w:sz="0" w:space="0" w:color="auto"/>
        <w:right w:val="none" w:sz="0" w:space="0" w:color="auto"/>
      </w:divBdr>
      <w:divsChild>
        <w:div w:id="1882203820">
          <w:marLeft w:val="0"/>
          <w:marRight w:val="0"/>
          <w:marTop w:val="0"/>
          <w:marBottom w:val="0"/>
          <w:divBdr>
            <w:top w:val="none" w:sz="0" w:space="0" w:color="auto"/>
            <w:left w:val="none" w:sz="0" w:space="0" w:color="auto"/>
            <w:bottom w:val="none" w:sz="0" w:space="0" w:color="auto"/>
            <w:right w:val="none" w:sz="0" w:space="0" w:color="auto"/>
          </w:divBdr>
        </w:div>
        <w:div w:id="647788886">
          <w:marLeft w:val="0"/>
          <w:marRight w:val="0"/>
          <w:marTop w:val="0"/>
          <w:marBottom w:val="0"/>
          <w:divBdr>
            <w:top w:val="none" w:sz="0" w:space="0" w:color="auto"/>
            <w:left w:val="none" w:sz="0" w:space="0" w:color="auto"/>
            <w:bottom w:val="none" w:sz="0" w:space="0" w:color="auto"/>
            <w:right w:val="none" w:sz="0" w:space="0" w:color="auto"/>
          </w:divBdr>
        </w:div>
        <w:div w:id="2011447085">
          <w:marLeft w:val="0"/>
          <w:marRight w:val="0"/>
          <w:marTop w:val="0"/>
          <w:marBottom w:val="0"/>
          <w:divBdr>
            <w:top w:val="none" w:sz="0" w:space="0" w:color="auto"/>
            <w:left w:val="none" w:sz="0" w:space="0" w:color="auto"/>
            <w:bottom w:val="none" w:sz="0" w:space="0" w:color="auto"/>
            <w:right w:val="none" w:sz="0" w:space="0" w:color="auto"/>
          </w:divBdr>
        </w:div>
      </w:divsChild>
    </w:div>
    <w:div w:id="896936026">
      <w:bodyDiv w:val="1"/>
      <w:marLeft w:val="0"/>
      <w:marRight w:val="0"/>
      <w:marTop w:val="0"/>
      <w:marBottom w:val="0"/>
      <w:divBdr>
        <w:top w:val="none" w:sz="0" w:space="0" w:color="auto"/>
        <w:left w:val="none" w:sz="0" w:space="0" w:color="auto"/>
        <w:bottom w:val="none" w:sz="0" w:space="0" w:color="auto"/>
        <w:right w:val="none" w:sz="0" w:space="0" w:color="auto"/>
      </w:divBdr>
      <w:divsChild>
        <w:div w:id="745037742">
          <w:marLeft w:val="0"/>
          <w:marRight w:val="0"/>
          <w:marTop w:val="0"/>
          <w:marBottom w:val="0"/>
          <w:divBdr>
            <w:top w:val="none" w:sz="0" w:space="0" w:color="auto"/>
            <w:left w:val="none" w:sz="0" w:space="0" w:color="auto"/>
            <w:bottom w:val="none" w:sz="0" w:space="0" w:color="auto"/>
            <w:right w:val="none" w:sz="0" w:space="0" w:color="auto"/>
          </w:divBdr>
        </w:div>
        <w:div w:id="684400781">
          <w:marLeft w:val="0"/>
          <w:marRight w:val="0"/>
          <w:marTop w:val="0"/>
          <w:marBottom w:val="0"/>
          <w:divBdr>
            <w:top w:val="none" w:sz="0" w:space="0" w:color="auto"/>
            <w:left w:val="none" w:sz="0" w:space="0" w:color="auto"/>
            <w:bottom w:val="none" w:sz="0" w:space="0" w:color="auto"/>
            <w:right w:val="none" w:sz="0" w:space="0" w:color="auto"/>
          </w:divBdr>
        </w:div>
        <w:div w:id="1642613446">
          <w:marLeft w:val="0"/>
          <w:marRight w:val="0"/>
          <w:marTop w:val="0"/>
          <w:marBottom w:val="0"/>
          <w:divBdr>
            <w:top w:val="none" w:sz="0" w:space="0" w:color="auto"/>
            <w:left w:val="none" w:sz="0" w:space="0" w:color="auto"/>
            <w:bottom w:val="none" w:sz="0" w:space="0" w:color="auto"/>
            <w:right w:val="none" w:sz="0" w:space="0" w:color="auto"/>
          </w:divBdr>
        </w:div>
        <w:div w:id="535122502">
          <w:marLeft w:val="0"/>
          <w:marRight w:val="0"/>
          <w:marTop w:val="0"/>
          <w:marBottom w:val="0"/>
          <w:divBdr>
            <w:top w:val="none" w:sz="0" w:space="0" w:color="auto"/>
            <w:left w:val="none" w:sz="0" w:space="0" w:color="auto"/>
            <w:bottom w:val="none" w:sz="0" w:space="0" w:color="auto"/>
            <w:right w:val="none" w:sz="0" w:space="0" w:color="auto"/>
          </w:divBdr>
        </w:div>
        <w:div w:id="2023362446">
          <w:marLeft w:val="0"/>
          <w:marRight w:val="0"/>
          <w:marTop w:val="0"/>
          <w:marBottom w:val="0"/>
          <w:divBdr>
            <w:top w:val="none" w:sz="0" w:space="0" w:color="auto"/>
            <w:left w:val="none" w:sz="0" w:space="0" w:color="auto"/>
            <w:bottom w:val="none" w:sz="0" w:space="0" w:color="auto"/>
            <w:right w:val="none" w:sz="0" w:space="0" w:color="auto"/>
          </w:divBdr>
        </w:div>
        <w:div w:id="1219197327">
          <w:marLeft w:val="0"/>
          <w:marRight w:val="0"/>
          <w:marTop w:val="0"/>
          <w:marBottom w:val="0"/>
          <w:divBdr>
            <w:top w:val="none" w:sz="0" w:space="0" w:color="auto"/>
            <w:left w:val="none" w:sz="0" w:space="0" w:color="auto"/>
            <w:bottom w:val="none" w:sz="0" w:space="0" w:color="auto"/>
            <w:right w:val="none" w:sz="0" w:space="0" w:color="auto"/>
          </w:divBdr>
        </w:div>
        <w:div w:id="69470350">
          <w:marLeft w:val="0"/>
          <w:marRight w:val="0"/>
          <w:marTop w:val="0"/>
          <w:marBottom w:val="0"/>
          <w:divBdr>
            <w:top w:val="none" w:sz="0" w:space="0" w:color="auto"/>
            <w:left w:val="none" w:sz="0" w:space="0" w:color="auto"/>
            <w:bottom w:val="none" w:sz="0" w:space="0" w:color="auto"/>
            <w:right w:val="none" w:sz="0" w:space="0" w:color="auto"/>
          </w:divBdr>
        </w:div>
        <w:div w:id="885066869">
          <w:marLeft w:val="0"/>
          <w:marRight w:val="0"/>
          <w:marTop w:val="0"/>
          <w:marBottom w:val="0"/>
          <w:divBdr>
            <w:top w:val="none" w:sz="0" w:space="0" w:color="auto"/>
            <w:left w:val="none" w:sz="0" w:space="0" w:color="auto"/>
            <w:bottom w:val="none" w:sz="0" w:space="0" w:color="auto"/>
            <w:right w:val="none" w:sz="0" w:space="0" w:color="auto"/>
          </w:divBdr>
        </w:div>
        <w:div w:id="1667440763">
          <w:marLeft w:val="0"/>
          <w:marRight w:val="0"/>
          <w:marTop w:val="0"/>
          <w:marBottom w:val="0"/>
          <w:divBdr>
            <w:top w:val="none" w:sz="0" w:space="0" w:color="auto"/>
            <w:left w:val="none" w:sz="0" w:space="0" w:color="auto"/>
            <w:bottom w:val="none" w:sz="0" w:space="0" w:color="auto"/>
            <w:right w:val="none" w:sz="0" w:space="0" w:color="auto"/>
          </w:divBdr>
        </w:div>
        <w:div w:id="764307673">
          <w:marLeft w:val="0"/>
          <w:marRight w:val="0"/>
          <w:marTop w:val="0"/>
          <w:marBottom w:val="0"/>
          <w:divBdr>
            <w:top w:val="none" w:sz="0" w:space="0" w:color="auto"/>
            <w:left w:val="none" w:sz="0" w:space="0" w:color="auto"/>
            <w:bottom w:val="none" w:sz="0" w:space="0" w:color="auto"/>
            <w:right w:val="none" w:sz="0" w:space="0" w:color="auto"/>
          </w:divBdr>
        </w:div>
        <w:div w:id="1858885675">
          <w:marLeft w:val="0"/>
          <w:marRight w:val="0"/>
          <w:marTop w:val="0"/>
          <w:marBottom w:val="0"/>
          <w:divBdr>
            <w:top w:val="none" w:sz="0" w:space="0" w:color="auto"/>
            <w:left w:val="none" w:sz="0" w:space="0" w:color="auto"/>
            <w:bottom w:val="none" w:sz="0" w:space="0" w:color="auto"/>
            <w:right w:val="none" w:sz="0" w:space="0" w:color="auto"/>
          </w:divBdr>
        </w:div>
        <w:div w:id="458912678">
          <w:marLeft w:val="0"/>
          <w:marRight w:val="0"/>
          <w:marTop w:val="0"/>
          <w:marBottom w:val="0"/>
          <w:divBdr>
            <w:top w:val="none" w:sz="0" w:space="0" w:color="auto"/>
            <w:left w:val="none" w:sz="0" w:space="0" w:color="auto"/>
            <w:bottom w:val="none" w:sz="0" w:space="0" w:color="auto"/>
            <w:right w:val="none" w:sz="0" w:space="0" w:color="auto"/>
          </w:divBdr>
        </w:div>
        <w:div w:id="1051156231">
          <w:marLeft w:val="0"/>
          <w:marRight w:val="0"/>
          <w:marTop w:val="0"/>
          <w:marBottom w:val="0"/>
          <w:divBdr>
            <w:top w:val="none" w:sz="0" w:space="0" w:color="auto"/>
            <w:left w:val="none" w:sz="0" w:space="0" w:color="auto"/>
            <w:bottom w:val="none" w:sz="0" w:space="0" w:color="auto"/>
            <w:right w:val="none" w:sz="0" w:space="0" w:color="auto"/>
          </w:divBdr>
        </w:div>
        <w:div w:id="790712720">
          <w:marLeft w:val="0"/>
          <w:marRight w:val="0"/>
          <w:marTop w:val="0"/>
          <w:marBottom w:val="0"/>
          <w:divBdr>
            <w:top w:val="none" w:sz="0" w:space="0" w:color="auto"/>
            <w:left w:val="none" w:sz="0" w:space="0" w:color="auto"/>
            <w:bottom w:val="none" w:sz="0" w:space="0" w:color="auto"/>
            <w:right w:val="none" w:sz="0" w:space="0" w:color="auto"/>
          </w:divBdr>
        </w:div>
        <w:div w:id="719863714">
          <w:marLeft w:val="0"/>
          <w:marRight w:val="0"/>
          <w:marTop w:val="0"/>
          <w:marBottom w:val="0"/>
          <w:divBdr>
            <w:top w:val="none" w:sz="0" w:space="0" w:color="auto"/>
            <w:left w:val="none" w:sz="0" w:space="0" w:color="auto"/>
            <w:bottom w:val="none" w:sz="0" w:space="0" w:color="auto"/>
            <w:right w:val="none" w:sz="0" w:space="0" w:color="auto"/>
          </w:divBdr>
        </w:div>
        <w:div w:id="1152136519">
          <w:marLeft w:val="0"/>
          <w:marRight w:val="0"/>
          <w:marTop w:val="0"/>
          <w:marBottom w:val="0"/>
          <w:divBdr>
            <w:top w:val="none" w:sz="0" w:space="0" w:color="auto"/>
            <w:left w:val="none" w:sz="0" w:space="0" w:color="auto"/>
            <w:bottom w:val="none" w:sz="0" w:space="0" w:color="auto"/>
            <w:right w:val="none" w:sz="0" w:space="0" w:color="auto"/>
          </w:divBdr>
        </w:div>
        <w:div w:id="250554389">
          <w:marLeft w:val="0"/>
          <w:marRight w:val="0"/>
          <w:marTop w:val="0"/>
          <w:marBottom w:val="0"/>
          <w:divBdr>
            <w:top w:val="none" w:sz="0" w:space="0" w:color="auto"/>
            <w:left w:val="none" w:sz="0" w:space="0" w:color="auto"/>
            <w:bottom w:val="none" w:sz="0" w:space="0" w:color="auto"/>
            <w:right w:val="none" w:sz="0" w:space="0" w:color="auto"/>
          </w:divBdr>
        </w:div>
      </w:divsChild>
    </w:div>
    <w:div w:id="909270333">
      <w:bodyDiv w:val="1"/>
      <w:marLeft w:val="0"/>
      <w:marRight w:val="0"/>
      <w:marTop w:val="0"/>
      <w:marBottom w:val="0"/>
      <w:divBdr>
        <w:top w:val="none" w:sz="0" w:space="0" w:color="auto"/>
        <w:left w:val="none" w:sz="0" w:space="0" w:color="auto"/>
        <w:bottom w:val="none" w:sz="0" w:space="0" w:color="auto"/>
        <w:right w:val="none" w:sz="0" w:space="0" w:color="auto"/>
      </w:divBdr>
    </w:div>
    <w:div w:id="933977259">
      <w:bodyDiv w:val="1"/>
      <w:marLeft w:val="0"/>
      <w:marRight w:val="0"/>
      <w:marTop w:val="0"/>
      <w:marBottom w:val="0"/>
      <w:divBdr>
        <w:top w:val="none" w:sz="0" w:space="0" w:color="auto"/>
        <w:left w:val="none" w:sz="0" w:space="0" w:color="auto"/>
        <w:bottom w:val="none" w:sz="0" w:space="0" w:color="auto"/>
        <w:right w:val="none" w:sz="0" w:space="0" w:color="auto"/>
      </w:divBdr>
    </w:div>
    <w:div w:id="988360143">
      <w:bodyDiv w:val="1"/>
      <w:marLeft w:val="0"/>
      <w:marRight w:val="0"/>
      <w:marTop w:val="0"/>
      <w:marBottom w:val="0"/>
      <w:divBdr>
        <w:top w:val="none" w:sz="0" w:space="0" w:color="auto"/>
        <w:left w:val="none" w:sz="0" w:space="0" w:color="auto"/>
        <w:bottom w:val="none" w:sz="0" w:space="0" w:color="auto"/>
        <w:right w:val="none" w:sz="0" w:space="0" w:color="auto"/>
      </w:divBdr>
    </w:div>
    <w:div w:id="1037124816">
      <w:bodyDiv w:val="1"/>
      <w:marLeft w:val="0"/>
      <w:marRight w:val="0"/>
      <w:marTop w:val="0"/>
      <w:marBottom w:val="0"/>
      <w:divBdr>
        <w:top w:val="none" w:sz="0" w:space="0" w:color="auto"/>
        <w:left w:val="none" w:sz="0" w:space="0" w:color="auto"/>
        <w:bottom w:val="none" w:sz="0" w:space="0" w:color="auto"/>
        <w:right w:val="none" w:sz="0" w:space="0" w:color="auto"/>
      </w:divBdr>
    </w:div>
    <w:div w:id="1042553488">
      <w:bodyDiv w:val="1"/>
      <w:marLeft w:val="0"/>
      <w:marRight w:val="0"/>
      <w:marTop w:val="0"/>
      <w:marBottom w:val="0"/>
      <w:divBdr>
        <w:top w:val="none" w:sz="0" w:space="0" w:color="auto"/>
        <w:left w:val="none" w:sz="0" w:space="0" w:color="auto"/>
        <w:bottom w:val="none" w:sz="0" w:space="0" w:color="auto"/>
        <w:right w:val="none" w:sz="0" w:space="0" w:color="auto"/>
      </w:divBdr>
    </w:div>
    <w:div w:id="1086002314">
      <w:bodyDiv w:val="1"/>
      <w:marLeft w:val="0"/>
      <w:marRight w:val="0"/>
      <w:marTop w:val="0"/>
      <w:marBottom w:val="0"/>
      <w:divBdr>
        <w:top w:val="none" w:sz="0" w:space="0" w:color="auto"/>
        <w:left w:val="none" w:sz="0" w:space="0" w:color="auto"/>
        <w:bottom w:val="none" w:sz="0" w:space="0" w:color="auto"/>
        <w:right w:val="none" w:sz="0" w:space="0" w:color="auto"/>
      </w:divBdr>
      <w:divsChild>
        <w:div w:id="626009106">
          <w:marLeft w:val="0"/>
          <w:marRight w:val="0"/>
          <w:marTop w:val="0"/>
          <w:marBottom w:val="0"/>
          <w:divBdr>
            <w:top w:val="none" w:sz="0" w:space="0" w:color="auto"/>
            <w:left w:val="none" w:sz="0" w:space="0" w:color="auto"/>
            <w:bottom w:val="none" w:sz="0" w:space="0" w:color="auto"/>
            <w:right w:val="none" w:sz="0" w:space="0" w:color="auto"/>
          </w:divBdr>
        </w:div>
        <w:div w:id="1476485802">
          <w:marLeft w:val="0"/>
          <w:marRight w:val="0"/>
          <w:marTop w:val="0"/>
          <w:marBottom w:val="0"/>
          <w:divBdr>
            <w:top w:val="none" w:sz="0" w:space="0" w:color="auto"/>
            <w:left w:val="none" w:sz="0" w:space="0" w:color="auto"/>
            <w:bottom w:val="none" w:sz="0" w:space="0" w:color="auto"/>
            <w:right w:val="none" w:sz="0" w:space="0" w:color="auto"/>
          </w:divBdr>
        </w:div>
        <w:div w:id="1171065009">
          <w:marLeft w:val="0"/>
          <w:marRight w:val="0"/>
          <w:marTop w:val="0"/>
          <w:marBottom w:val="0"/>
          <w:divBdr>
            <w:top w:val="none" w:sz="0" w:space="0" w:color="auto"/>
            <w:left w:val="none" w:sz="0" w:space="0" w:color="auto"/>
            <w:bottom w:val="none" w:sz="0" w:space="0" w:color="auto"/>
            <w:right w:val="none" w:sz="0" w:space="0" w:color="auto"/>
          </w:divBdr>
        </w:div>
        <w:div w:id="13505055">
          <w:marLeft w:val="0"/>
          <w:marRight w:val="0"/>
          <w:marTop w:val="0"/>
          <w:marBottom w:val="0"/>
          <w:divBdr>
            <w:top w:val="none" w:sz="0" w:space="0" w:color="auto"/>
            <w:left w:val="none" w:sz="0" w:space="0" w:color="auto"/>
            <w:bottom w:val="none" w:sz="0" w:space="0" w:color="auto"/>
            <w:right w:val="none" w:sz="0" w:space="0" w:color="auto"/>
          </w:divBdr>
        </w:div>
      </w:divsChild>
    </w:div>
    <w:div w:id="1099450152">
      <w:bodyDiv w:val="1"/>
      <w:marLeft w:val="0"/>
      <w:marRight w:val="0"/>
      <w:marTop w:val="0"/>
      <w:marBottom w:val="0"/>
      <w:divBdr>
        <w:top w:val="none" w:sz="0" w:space="0" w:color="auto"/>
        <w:left w:val="none" w:sz="0" w:space="0" w:color="auto"/>
        <w:bottom w:val="none" w:sz="0" w:space="0" w:color="auto"/>
        <w:right w:val="none" w:sz="0" w:space="0" w:color="auto"/>
      </w:divBdr>
    </w:div>
    <w:div w:id="1139375190">
      <w:bodyDiv w:val="1"/>
      <w:marLeft w:val="0"/>
      <w:marRight w:val="0"/>
      <w:marTop w:val="0"/>
      <w:marBottom w:val="0"/>
      <w:divBdr>
        <w:top w:val="none" w:sz="0" w:space="0" w:color="auto"/>
        <w:left w:val="none" w:sz="0" w:space="0" w:color="auto"/>
        <w:bottom w:val="none" w:sz="0" w:space="0" w:color="auto"/>
        <w:right w:val="none" w:sz="0" w:space="0" w:color="auto"/>
      </w:divBdr>
      <w:divsChild>
        <w:div w:id="1357272493">
          <w:marLeft w:val="0"/>
          <w:marRight w:val="0"/>
          <w:marTop w:val="0"/>
          <w:marBottom w:val="0"/>
          <w:divBdr>
            <w:top w:val="none" w:sz="0" w:space="0" w:color="auto"/>
            <w:left w:val="none" w:sz="0" w:space="0" w:color="auto"/>
            <w:bottom w:val="none" w:sz="0" w:space="0" w:color="auto"/>
            <w:right w:val="none" w:sz="0" w:space="0" w:color="auto"/>
          </w:divBdr>
        </w:div>
        <w:div w:id="2134443266">
          <w:marLeft w:val="0"/>
          <w:marRight w:val="0"/>
          <w:marTop w:val="0"/>
          <w:marBottom w:val="0"/>
          <w:divBdr>
            <w:top w:val="none" w:sz="0" w:space="0" w:color="auto"/>
            <w:left w:val="none" w:sz="0" w:space="0" w:color="auto"/>
            <w:bottom w:val="none" w:sz="0" w:space="0" w:color="auto"/>
            <w:right w:val="none" w:sz="0" w:space="0" w:color="auto"/>
          </w:divBdr>
        </w:div>
        <w:div w:id="688025868">
          <w:marLeft w:val="0"/>
          <w:marRight w:val="0"/>
          <w:marTop w:val="0"/>
          <w:marBottom w:val="0"/>
          <w:divBdr>
            <w:top w:val="none" w:sz="0" w:space="0" w:color="auto"/>
            <w:left w:val="none" w:sz="0" w:space="0" w:color="auto"/>
            <w:bottom w:val="none" w:sz="0" w:space="0" w:color="auto"/>
            <w:right w:val="none" w:sz="0" w:space="0" w:color="auto"/>
          </w:divBdr>
        </w:div>
        <w:div w:id="14157181">
          <w:marLeft w:val="0"/>
          <w:marRight w:val="0"/>
          <w:marTop w:val="0"/>
          <w:marBottom w:val="0"/>
          <w:divBdr>
            <w:top w:val="none" w:sz="0" w:space="0" w:color="auto"/>
            <w:left w:val="none" w:sz="0" w:space="0" w:color="auto"/>
            <w:bottom w:val="none" w:sz="0" w:space="0" w:color="auto"/>
            <w:right w:val="none" w:sz="0" w:space="0" w:color="auto"/>
          </w:divBdr>
        </w:div>
        <w:div w:id="328411250">
          <w:marLeft w:val="0"/>
          <w:marRight w:val="0"/>
          <w:marTop w:val="0"/>
          <w:marBottom w:val="0"/>
          <w:divBdr>
            <w:top w:val="none" w:sz="0" w:space="0" w:color="auto"/>
            <w:left w:val="none" w:sz="0" w:space="0" w:color="auto"/>
            <w:bottom w:val="none" w:sz="0" w:space="0" w:color="auto"/>
            <w:right w:val="none" w:sz="0" w:space="0" w:color="auto"/>
          </w:divBdr>
        </w:div>
        <w:div w:id="741757525">
          <w:marLeft w:val="0"/>
          <w:marRight w:val="0"/>
          <w:marTop w:val="0"/>
          <w:marBottom w:val="0"/>
          <w:divBdr>
            <w:top w:val="none" w:sz="0" w:space="0" w:color="auto"/>
            <w:left w:val="none" w:sz="0" w:space="0" w:color="auto"/>
            <w:bottom w:val="none" w:sz="0" w:space="0" w:color="auto"/>
            <w:right w:val="none" w:sz="0" w:space="0" w:color="auto"/>
          </w:divBdr>
        </w:div>
        <w:div w:id="983049060">
          <w:marLeft w:val="0"/>
          <w:marRight w:val="0"/>
          <w:marTop w:val="0"/>
          <w:marBottom w:val="0"/>
          <w:divBdr>
            <w:top w:val="none" w:sz="0" w:space="0" w:color="auto"/>
            <w:left w:val="none" w:sz="0" w:space="0" w:color="auto"/>
            <w:bottom w:val="none" w:sz="0" w:space="0" w:color="auto"/>
            <w:right w:val="none" w:sz="0" w:space="0" w:color="auto"/>
          </w:divBdr>
        </w:div>
        <w:div w:id="1312439429">
          <w:marLeft w:val="0"/>
          <w:marRight w:val="0"/>
          <w:marTop w:val="0"/>
          <w:marBottom w:val="0"/>
          <w:divBdr>
            <w:top w:val="none" w:sz="0" w:space="0" w:color="auto"/>
            <w:left w:val="none" w:sz="0" w:space="0" w:color="auto"/>
            <w:bottom w:val="none" w:sz="0" w:space="0" w:color="auto"/>
            <w:right w:val="none" w:sz="0" w:space="0" w:color="auto"/>
          </w:divBdr>
        </w:div>
        <w:div w:id="1505516353">
          <w:marLeft w:val="0"/>
          <w:marRight w:val="0"/>
          <w:marTop w:val="0"/>
          <w:marBottom w:val="0"/>
          <w:divBdr>
            <w:top w:val="none" w:sz="0" w:space="0" w:color="auto"/>
            <w:left w:val="none" w:sz="0" w:space="0" w:color="auto"/>
            <w:bottom w:val="none" w:sz="0" w:space="0" w:color="auto"/>
            <w:right w:val="none" w:sz="0" w:space="0" w:color="auto"/>
          </w:divBdr>
        </w:div>
        <w:div w:id="1896769522">
          <w:marLeft w:val="0"/>
          <w:marRight w:val="0"/>
          <w:marTop w:val="0"/>
          <w:marBottom w:val="0"/>
          <w:divBdr>
            <w:top w:val="none" w:sz="0" w:space="0" w:color="auto"/>
            <w:left w:val="none" w:sz="0" w:space="0" w:color="auto"/>
            <w:bottom w:val="none" w:sz="0" w:space="0" w:color="auto"/>
            <w:right w:val="none" w:sz="0" w:space="0" w:color="auto"/>
          </w:divBdr>
        </w:div>
        <w:div w:id="1529873592">
          <w:marLeft w:val="0"/>
          <w:marRight w:val="0"/>
          <w:marTop w:val="0"/>
          <w:marBottom w:val="0"/>
          <w:divBdr>
            <w:top w:val="none" w:sz="0" w:space="0" w:color="auto"/>
            <w:left w:val="none" w:sz="0" w:space="0" w:color="auto"/>
            <w:bottom w:val="none" w:sz="0" w:space="0" w:color="auto"/>
            <w:right w:val="none" w:sz="0" w:space="0" w:color="auto"/>
          </w:divBdr>
        </w:div>
        <w:div w:id="146828984">
          <w:marLeft w:val="0"/>
          <w:marRight w:val="0"/>
          <w:marTop w:val="0"/>
          <w:marBottom w:val="0"/>
          <w:divBdr>
            <w:top w:val="none" w:sz="0" w:space="0" w:color="auto"/>
            <w:left w:val="none" w:sz="0" w:space="0" w:color="auto"/>
            <w:bottom w:val="none" w:sz="0" w:space="0" w:color="auto"/>
            <w:right w:val="none" w:sz="0" w:space="0" w:color="auto"/>
          </w:divBdr>
        </w:div>
        <w:div w:id="852376104">
          <w:marLeft w:val="0"/>
          <w:marRight w:val="0"/>
          <w:marTop w:val="0"/>
          <w:marBottom w:val="0"/>
          <w:divBdr>
            <w:top w:val="none" w:sz="0" w:space="0" w:color="auto"/>
            <w:left w:val="none" w:sz="0" w:space="0" w:color="auto"/>
            <w:bottom w:val="none" w:sz="0" w:space="0" w:color="auto"/>
            <w:right w:val="none" w:sz="0" w:space="0" w:color="auto"/>
          </w:divBdr>
        </w:div>
        <w:div w:id="401106042">
          <w:marLeft w:val="0"/>
          <w:marRight w:val="0"/>
          <w:marTop w:val="0"/>
          <w:marBottom w:val="0"/>
          <w:divBdr>
            <w:top w:val="none" w:sz="0" w:space="0" w:color="auto"/>
            <w:left w:val="none" w:sz="0" w:space="0" w:color="auto"/>
            <w:bottom w:val="none" w:sz="0" w:space="0" w:color="auto"/>
            <w:right w:val="none" w:sz="0" w:space="0" w:color="auto"/>
          </w:divBdr>
        </w:div>
        <w:div w:id="1366635537">
          <w:marLeft w:val="0"/>
          <w:marRight w:val="0"/>
          <w:marTop w:val="0"/>
          <w:marBottom w:val="0"/>
          <w:divBdr>
            <w:top w:val="none" w:sz="0" w:space="0" w:color="auto"/>
            <w:left w:val="none" w:sz="0" w:space="0" w:color="auto"/>
            <w:bottom w:val="none" w:sz="0" w:space="0" w:color="auto"/>
            <w:right w:val="none" w:sz="0" w:space="0" w:color="auto"/>
          </w:divBdr>
        </w:div>
        <w:div w:id="2138521136">
          <w:marLeft w:val="0"/>
          <w:marRight w:val="0"/>
          <w:marTop w:val="0"/>
          <w:marBottom w:val="0"/>
          <w:divBdr>
            <w:top w:val="none" w:sz="0" w:space="0" w:color="auto"/>
            <w:left w:val="none" w:sz="0" w:space="0" w:color="auto"/>
            <w:bottom w:val="none" w:sz="0" w:space="0" w:color="auto"/>
            <w:right w:val="none" w:sz="0" w:space="0" w:color="auto"/>
          </w:divBdr>
        </w:div>
        <w:div w:id="1563640827">
          <w:marLeft w:val="0"/>
          <w:marRight w:val="0"/>
          <w:marTop w:val="0"/>
          <w:marBottom w:val="0"/>
          <w:divBdr>
            <w:top w:val="none" w:sz="0" w:space="0" w:color="auto"/>
            <w:left w:val="none" w:sz="0" w:space="0" w:color="auto"/>
            <w:bottom w:val="none" w:sz="0" w:space="0" w:color="auto"/>
            <w:right w:val="none" w:sz="0" w:space="0" w:color="auto"/>
          </w:divBdr>
        </w:div>
        <w:div w:id="584531023">
          <w:marLeft w:val="0"/>
          <w:marRight w:val="0"/>
          <w:marTop w:val="0"/>
          <w:marBottom w:val="0"/>
          <w:divBdr>
            <w:top w:val="none" w:sz="0" w:space="0" w:color="auto"/>
            <w:left w:val="none" w:sz="0" w:space="0" w:color="auto"/>
            <w:bottom w:val="none" w:sz="0" w:space="0" w:color="auto"/>
            <w:right w:val="none" w:sz="0" w:space="0" w:color="auto"/>
          </w:divBdr>
        </w:div>
      </w:divsChild>
    </w:div>
    <w:div w:id="1185709470">
      <w:bodyDiv w:val="1"/>
      <w:marLeft w:val="0"/>
      <w:marRight w:val="0"/>
      <w:marTop w:val="0"/>
      <w:marBottom w:val="0"/>
      <w:divBdr>
        <w:top w:val="none" w:sz="0" w:space="0" w:color="auto"/>
        <w:left w:val="none" w:sz="0" w:space="0" w:color="auto"/>
        <w:bottom w:val="none" w:sz="0" w:space="0" w:color="auto"/>
        <w:right w:val="none" w:sz="0" w:space="0" w:color="auto"/>
      </w:divBdr>
      <w:divsChild>
        <w:div w:id="562712799">
          <w:marLeft w:val="0"/>
          <w:marRight w:val="0"/>
          <w:marTop w:val="0"/>
          <w:marBottom w:val="0"/>
          <w:divBdr>
            <w:top w:val="none" w:sz="0" w:space="0" w:color="auto"/>
            <w:left w:val="none" w:sz="0" w:space="0" w:color="auto"/>
            <w:bottom w:val="none" w:sz="0" w:space="0" w:color="auto"/>
            <w:right w:val="none" w:sz="0" w:space="0" w:color="auto"/>
          </w:divBdr>
        </w:div>
        <w:div w:id="198131930">
          <w:marLeft w:val="0"/>
          <w:marRight w:val="0"/>
          <w:marTop w:val="0"/>
          <w:marBottom w:val="0"/>
          <w:divBdr>
            <w:top w:val="none" w:sz="0" w:space="0" w:color="auto"/>
            <w:left w:val="none" w:sz="0" w:space="0" w:color="auto"/>
            <w:bottom w:val="none" w:sz="0" w:space="0" w:color="auto"/>
            <w:right w:val="none" w:sz="0" w:space="0" w:color="auto"/>
          </w:divBdr>
        </w:div>
        <w:div w:id="161968923">
          <w:marLeft w:val="0"/>
          <w:marRight w:val="0"/>
          <w:marTop w:val="0"/>
          <w:marBottom w:val="0"/>
          <w:divBdr>
            <w:top w:val="none" w:sz="0" w:space="0" w:color="auto"/>
            <w:left w:val="none" w:sz="0" w:space="0" w:color="auto"/>
            <w:bottom w:val="none" w:sz="0" w:space="0" w:color="auto"/>
            <w:right w:val="none" w:sz="0" w:space="0" w:color="auto"/>
          </w:divBdr>
        </w:div>
        <w:div w:id="1835142893">
          <w:marLeft w:val="0"/>
          <w:marRight w:val="0"/>
          <w:marTop w:val="0"/>
          <w:marBottom w:val="0"/>
          <w:divBdr>
            <w:top w:val="none" w:sz="0" w:space="0" w:color="auto"/>
            <w:left w:val="none" w:sz="0" w:space="0" w:color="auto"/>
            <w:bottom w:val="none" w:sz="0" w:space="0" w:color="auto"/>
            <w:right w:val="none" w:sz="0" w:space="0" w:color="auto"/>
          </w:divBdr>
        </w:div>
        <w:div w:id="883718073">
          <w:marLeft w:val="0"/>
          <w:marRight w:val="0"/>
          <w:marTop w:val="0"/>
          <w:marBottom w:val="0"/>
          <w:divBdr>
            <w:top w:val="none" w:sz="0" w:space="0" w:color="auto"/>
            <w:left w:val="none" w:sz="0" w:space="0" w:color="auto"/>
            <w:bottom w:val="none" w:sz="0" w:space="0" w:color="auto"/>
            <w:right w:val="none" w:sz="0" w:space="0" w:color="auto"/>
          </w:divBdr>
        </w:div>
        <w:div w:id="691154308">
          <w:marLeft w:val="0"/>
          <w:marRight w:val="0"/>
          <w:marTop w:val="0"/>
          <w:marBottom w:val="0"/>
          <w:divBdr>
            <w:top w:val="none" w:sz="0" w:space="0" w:color="auto"/>
            <w:left w:val="none" w:sz="0" w:space="0" w:color="auto"/>
            <w:bottom w:val="none" w:sz="0" w:space="0" w:color="auto"/>
            <w:right w:val="none" w:sz="0" w:space="0" w:color="auto"/>
          </w:divBdr>
        </w:div>
        <w:div w:id="605233008">
          <w:marLeft w:val="0"/>
          <w:marRight w:val="0"/>
          <w:marTop w:val="0"/>
          <w:marBottom w:val="0"/>
          <w:divBdr>
            <w:top w:val="none" w:sz="0" w:space="0" w:color="auto"/>
            <w:left w:val="none" w:sz="0" w:space="0" w:color="auto"/>
            <w:bottom w:val="none" w:sz="0" w:space="0" w:color="auto"/>
            <w:right w:val="none" w:sz="0" w:space="0" w:color="auto"/>
          </w:divBdr>
        </w:div>
        <w:div w:id="410927385">
          <w:marLeft w:val="0"/>
          <w:marRight w:val="0"/>
          <w:marTop w:val="0"/>
          <w:marBottom w:val="0"/>
          <w:divBdr>
            <w:top w:val="none" w:sz="0" w:space="0" w:color="auto"/>
            <w:left w:val="none" w:sz="0" w:space="0" w:color="auto"/>
            <w:bottom w:val="none" w:sz="0" w:space="0" w:color="auto"/>
            <w:right w:val="none" w:sz="0" w:space="0" w:color="auto"/>
          </w:divBdr>
        </w:div>
        <w:div w:id="2089114150">
          <w:marLeft w:val="0"/>
          <w:marRight w:val="0"/>
          <w:marTop w:val="0"/>
          <w:marBottom w:val="0"/>
          <w:divBdr>
            <w:top w:val="none" w:sz="0" w:space="0" w:color="auto"/>
            <w:left w:val="none" w:sz="0" w:space="0" w:color="auto"/>
            <w:bottom w:val="none" w:sz="0" w:space="0" w:color="auto"/>
            <w:right w:val="none" w:sz="0" w:space="0" w:color="auto"/>
          </w:divBdr>
        </w:div>
        <w:div w:id="299846970">
          <w:marLeft w:val="0"/>
          <w:marRight w:val="0"/>
          <w:marTop w:val="0"/>
          <w:marBottom w:val="0"/>
          <w:divBdr>
            <w:top w:val="none" w:sz="0" w:space="0" w:color="auto"/>
            <w:left w:val="none" w:sz="0" w:space="0" w:color="auto"/>
            <w:bottom w:val="none" w:sz="0" w:space="0" w:color="auto"/>
            <w:right w:val="none" w:sz="0" w:space="0" w:color="auto"/>
          </w:divBdr>
        </w:div>
      </w:divsChild>
    </w:div>
    <w:div w:id="1186791762">
      <w:bodyDiv w:val="1"/>
      <w:marLeft w:val="0"/>
      <w:marRight w:val="0"/>
      <w:marTop w:val="0"/>
      <w:marBottom w:val="0"/>
      <w:divBdr>
        <w:top w:val="none" w:sz="0" w:space="0" w:color="auto"/>
        <w:left w:val="none" w:sz="0" w:space="0" w:color="auto"/>
        <w:bottom w:val="none" w:sz="0" w:space="0" w:color="auto"/>
        <w:right w:val="none" w:sz="0" w:space="0" w:color="auto"/>
      </w:divBdr>
    </w:div>
    <w:div w:id="1210337217">
      <w:bodyDiv w:val="1"/>
      <w:marLeft w:val="0"/>
      <w:marRight w:val="0"/>
      <w:marTop w:val="0"/>
      <w:marBottom w:val="0"/>
      <w:divBdr>
        <w:top w:val="none" w:sz="0" w:space="0" w:color="auto"/>
        <w:left w:val="none" w:sz="0" w:space="0" w:color="auto"/>
        <w:bottom w:val="none" w:sz="0" w:space="0" w:color="auto"/>
        <w:right w:val="none" w:sz="0" w:space="0" w:color="auto"/>
      </w:divBdr>
    </w:div>
    <w:div w:id="1213157244">
      <w:bodyDiv w:val="1"/>
      <w:marLeft w:val="0"/>
      <w:marRight w:val="0"/>
      <w:marTop w:val="0"/>
      <w:marBottom w:val="0"/>
      <w:divBdr>
        <w:top w:val="none" w:sz="0" w:space="0" w:color="auto"/>
        <w:left w:val="none" w:sz="0" w:space="0" w:color="auto"/>
        <w:bottom w:val="none" w:sz="0" w:space="0" w:color="auto"/>
        <w:right w:val="none" w:sz="0" w:space="0" w:color="auto"/>
      </w:divBdr>
      <w:divsChild>
        <w:div w:id="190657146">
          <w:marLeft w:val="0"/>
          <w:marRight w:val="0"/>
          <w:marTop w:val="0"/>
          <w:marBottom w:val="0"/>
          <w:divBdr>
            <w:top w:val="none" w:sz="0" w:space="0" w:color="auto"/>
            <w:left w:val="none" w:sz="0" w:space="0" w:color="auto"/>
            <w:bottom w:val="none" w:sz="0" w:space="0" w:color="auto"/>
            <w:right w:val="none" w:sz="0" w:space="0" w:color="auto"/>
          </w:divBdr>
        </w:div>
        <w:div w:id="265694733">
          <w:marLeft w:val="0"/>
          <w:marRight w:val="0"/>
          <w:marTop w:val="0"/>
          <w:marBottom w:val="0"/>
          <w:divBdr>
            <w:top w:val="none" w:sz="0" w:space="0" w:color="auto"/>
            <w:left w:val="none" w:sz="0" w:space="0" w:color="auto"/>
            <w:bottom w:val="none" w:sz="0" w:space="0" w:color="auto"/>
            <w:right w:val="none" w:sz="0" w:space="0" w:color="auto"/>
          </w:divBdr>
        </w:div>
      </w:divsChild>
    </w:div>
    <w:div w:id="1229267698">
      <w:bodyDiv w:val="1"/>
      <w:marLeft w:val="0"/>
      <w:marRight w:val="0"/>
      <w:marTop w:val="0"/>
      <w:marBottom w:val="0"/>
      <w:divBdr>
        <w:top w:val="none" w:sz="0" w:space="0" w:color="auto"/>
        <w:left w:val="none" w:sz="0" w:space="0" w:color="auto"/>
        <w:bottom w:val="none" w:sz="0" w:space="0" w:color="auto"/>
        <w:right w:val="none" w:sz="0" w:space="0" w:color="auto"/>
      </w:divBdr>
      <w:divsChild>
        <w:div w:id="209609415">
          <w:marLeft w:val="0"/>
          <w:marRight w:val="0"/>
          <w:marTop w:val="0"/>
          <w:marBottom w:val="0"/>
          <w:divBdr>
            <w:top w:val="none" w:sz="0" w:space="0" w:color="auto"/>
            <w:left w:val="none" w:sz="0" w:space="0" w:color="auto"/>
            <w:bottom w:val="none" w:sz="0" w:space="0" w:color="auto"/>
            <w:right w:val="none" w:sz="0" w:space="0" w:color="auto"/>
          </w:divBdr>
        </w:div>
        <w:div w:id="2129154480">
          <w:marLeft w:val="0"/>
          <w:marRight w:val="0"/>
          <w:marTop w:val="0"/>
          <w:marBottom w:val="0"/>
          <w:divBdr>
            <w:top w:val="none" w:sz="0" w:space="0" w:color="auto"/>
            <w:left w:val="none" w:sz="0" w:space="0" w:color="auto"/>
            <w:bottom w:val="none" w:sz="0" w:space="0" w:color="auto"/>
            <w:right w:val="none" w:sz="0" w:space="0" w:color="auto"/>
          </w:divBdr>
        </w:div>
        <w:div w:id="1996949843">
          <w:marLeft w:val="0"/>
          <w:marRight w:val="0"/>
          <w:marTop w:val="0"/>
          <w:marBottom w:val="0"/>
          <w:divBdr>
            <w:top w:val="none" w:sz="0" w:space="0" w:color="auto"/>
            <w:left w:val="none" w:sz="0" w:space="0" w:color="auto"/>
            <w:bottom w:val="none" w:sz="0" w:space="0" w:color="auto"/>
            <w:right w:val="none" w:sz="0" w:space="0" w:color="auto"/>
          </w:divBdr>
        </w:div>
        <w:div w:id="1370258362">
          <w:marLeft w:val="0"/>
          <w:marRight w:val="0"/>
          <w:marTop w:val="0"/>
          <w:marBottom w:val="0"/>
          <w:divBdr>
            <w:top w:val="none" w:sz="0" w:space="0" w:color="auto"/>
            <w:left w:val="none" w:sz="0" w:space="0" w:color="auto"/>
            <w:bottom w:val="none" w:sz="0" w:space="0" w:color="auto"/>
            <w:right w:val="none" w:sz="0" w:space="0" w:color="auto"/>
          </w:divBdr>
        </w:div>
        <w:div w:id="1087848294">
          <w:marLeft w:val="0"/>
          <w:marRight w:val="0"/>
          <w:marTop w:val="0"/>
          <w:marBottom w:val="0"/>
          <w:divBdr>
            <w:top w:val="none" w:sz="0" w:space="0" w:color="auto"/>
            <w:left w:val="none" w:sz="0" w:space="0" w:color="auto"/>
            <w:bottom w:val="none" w:sz="0" w:space="0" w:color="auto"/>
            <w:right w:val="none" w:sz="0" w:space="0" w:color="auto"/>
          </w:divBdr>
        </w:div>
      </w:divsChild>
    </w:div>
    <w:div w:id="1276714067">
      <w:bodyDiv w:val="1"/>
      <w:marLeft w:val="0"/>
      <w:marRight w:val="0"/>
      <w:marTop w:val="0"/>
      <w:marBottom w:val="0"/>
      <w:divBdr>
        <w:top w:val="none" w:sz="0" w:space="0" w:color="auto"/>
        <w:left w:val="none" w:sz="0" w:space="0" w:color="auto"/>
        <w:bottom w:val="none" w:sz="0" w:space="0" w:color="auto"/>
        <w:right w:val="none" w:sz="0" w:space="0" w:color="auto"/>
      </w:divBdr>
    </w:div>
    <w:div w:id="1279097462">
      <w:bodyDiv w:val="1"/>
      <w:marLeft w:val="0"/>
      <w:marRight w:val="0"/>
      <w:marTop w:val="0"/>
      <w:marBottom w:val="0"/>
      <w:divBdr>
        <w:top w:val="none" w:sz="0" w:space="0" w:color="auto"/>
        <w:left w:val="none" w:sz="0" w:space="0" w:color="auto"/>
        <w:bottom w:val="none" w:sz="0" w:space="0" w:color="auto"/>
        <w:right w:val="none" w:sz="0" w:space="0" w:color="auto"/>
      </w:divBdr>
    </w:div>
    <w:div w:id="1298611374">
      <w:bodyDiv w:val="1"/>
      <w:marLeft w:val="0"/>
      <w:marRight w:val="0"/>
      <w:marTop w:val="0"/>
      <w:marBottom w:val="0"/>
      <w:divBdr>
        <w:top w:val="none" w:sz="0" w:space="0" w:color="auto"/>
        <w:left w:val="none" w:sz="0" w:space="0" w:color="auto"/>
        <w:bottom w:val="none" w:sz="0" w:space="0" w:color="auto"/>
        <w:right w:val="none" w:sz="0" w:space="0" w:color="auto"/>
      </w:divBdr>
      <w:divsChild>
        <w:div w:id="1870796088">
          <w:marLeft w:val="0"/>
          <w:marRight w:val="0"/>
          <w:marTop w:val="0"/>
          <w:marBottom w:val="0"/>
          <w:divBdr>
            <w:top w:val="none" w:sz="0" w:space="0" w:color="auto"/>
            <w:left w:val="none" w:sz="0" w:space="0" w:color="auto"/>
            <w:bottom w:val="none" w:sz="0" w:space="0" w:color="auto"/>
            <w:right w:val="none" w:sz="0" w:space="0" w:color="auto"/>
          </w:divBdr>
        </w:div>
        <w:div w:id="139462850">
          <w:marLeft w:val="0"/>
          <w:marRight w:val="0"/>
          <w:marTop w:val="0"/>
          <w:marBottom w:val="0"/>
          <w:divBdr>
            <w:top w:val="none" w:sz="0" w:space="0" w:color="auto"/>
            <w:left w:val="none" w:sz="0" w:space="0" w:color="auto"/>
            <w:bottom w:val="none" w:sz="0" w:space="0" w:color="auto"/>
            <w:right w:val="none" w:sz="0" w:space="0" w:color="auto"/>
          </w:divBdr>
        </w:div>
        <w:div w:id="190654770">
          <w:marLeft w:val="0"/>
          <w:marRight w:val="0"/>
          <w:marTop w:val="0"/>
          <w:marBottom w:val="0"/>
          <w:divBdr>
            <w:top w:val="none" w:sz="0" w:space="0" w:color="auto"/>
            <w:left w:val="none" w:sz="0" w:space="0" w:color="auto"/>
            <w:bottom w:val="none" w:sz="0" w:space="0" w:color="auto"/>
            <w:right w:val="none" w:sz="0" w:space="0" w:color="auto"/>
          </w:divBdr>
        </w:div>
        <w:div w:id="1951283203">
          <w:marLeft w:val="0"/>
          <w:marRight w:val="0"/>
          <w:marTop w:val="0"/>
          <w:marBottom w:val="0"/>
          <w:divBdr>
            <w:top w:val="none" w:sz="0" w:space="0" w:color="auto"/>
            <w:left w:val="none" w:sz="0" w:space="0" w:color="auto"/>
            <w:bottom w:val="none" w:sz="0" w:space="0" w:color="auto"/>
            <w:right w:val="none" w:sz="0" w:space="0" w:color="auto"/>
          </w:divBdr>
        </w:div>
        <w:div w:id="1356804721">
          <w:marLeft w:val="0"/>
          <w:marRight w:val="0"/>
          <w:marTop w:val="0"/>
          <w:marBottom w:val="0"/>
          <w:divBdr>
            <w:top w:val="none" w:sz="0" w:space="0" w:color="auto"/>
            <w:left w:val="none" w:sz="0" w:space="0" w:color="auto"/>
            <w:bottom w:val="none" w:sz="0" w:space="0" w:color="auto"/>
            <w:right w:val="none" w:sz="0" w:space="0" w:color="auto"/>
          </w:divBdr>
        </w:div>
        <w:div w:id="1118990519">
          <w:marLeft w:val="0"/>
          <w:marRight w:val="0"/>
          <w:marTop w:val="0"/>
          <w:marBottom w:val="0"/>
          <w:divBdr>
            <w:top w:val="none" w:sz="0" w:space="0" w:color="auto"/>
            <w:left w:val="none" w:sz="0" w:space="0" w:color="auto"/>
            <w:bottom w:val="none" w:sz="0" w:space="0" w:color="auto"/>
            <w:right w:val="none" w:sz="0" w:space="0" w:color="auto"/>
          </w:divBdr>
        </w:div>
        <w:div w:id="886453402">
          <w:marLeft w:val="0"/>
          <w:marRight w:val="0"/>
          <w:marTop w:val="0"/>
          <w:marBottom w:val="0"/>
          <w:divBdr>
            <w:top w:val="none" w:sz="0" w:space="0" w:color="auto"/>
            <w:left w:val="none" w:sz="0" w:space="0" w:color="auto"/>
            <w:bottom w:val="none" w:sz="0" w:space="0" w:color="auto"/>
            <w:right w:val="none" w:sz="0" w:space="0" w:color="auto"/>
          </w:divBdr>
        </w:div>
        <w:div w:id="2105029803">
          <w:marLeft w:val="0"/>
          <w:marRight w:val="0"/>
          <w:marTop w:val="0"/>
          <w:marBottom w:val="0"/>
          <w:divBdr>
            <w:top w:val="none" w:sz="0" w:space="0" w:color="auto"/>
            <w:left w:val="none" w:sz="0" w:space="0" w:color="auto"/>
            <w:bottom w:val="none" w:sz="0" w:space="0" w:color="auto"/>
            <w:right w:val="none" w:sz="0" w:space="0" w:color="auto"/>
          </w:divBdr>
        </w:div>
        <w:div w:id="402265151">
          <w:marLeft w:val="0"/>
          <w:marRight w:val="0"/>
          <w:marTop w:val="0"/>
          <w:marBottom w:val="0"/>
          <w:divBdr>
            <w:top w:val="none" w:sz="0" w:space="0" w:color="auto"/>
            <w:left w:val="none" w:sz="0" w:space="0" w:color="auto"/>
            <w:bottom w:val="none" w:sz="0" w:space="0" w:color="auto"/>
            <w:right w:val="none" w:sz="0" w:space="0" w:color="auto"/>
          </w:divBdr>
        </w:div>
        <w:div w:id="938752814">
          <w:marLeft w:val="0"/>
          <w:marRight w:val="0"/>
          <w:marTop w:val="0"/>
          <w:marBottom w:val="0"/>
          <w:divBdr>
            <w:top w:val="none" w:sz="0" w:space="0" w:color="auto"/>
            <w:left w:val="none" w:sz="0" w:space="0" w:color="auto"/>
            <w:bottom w:val="none" w:sz="0" w:space="0" w:color="auto"/>
            <w:right w:val="none" w:sz="0" w:space="0" w:color="auto"/>
          </w:divBdr>
        </w:div>
        <w:div w:id="2052731267">
          <w:marLeft w:val="0"/>
          <w:marRight w:val="0"/>
          <w:marTop w:val="0"/>
          <w:marBottom w:val="0"/>
          <w:divBdr>
            <w:top w:val="none" w:sz="0" w:space="0" w:color="auto"/>
            <w:left w:val="none" w:sz="0" w:space="0" w:color="auto"/>
            <w:bottom w:val="none" w:sz="0" w:space="0" w:color="auto"/>
            <w:right w:val="none" w:sz="0" w:space="0" w:color="auto"/>
          </w:divBdr>
        </w:div>
        <w:div w:id="229928156">
          <w:marLeft w:val="0"/>
          <w:marRight w:val="0"/>
          <w:marTop w:val="0"/>
          <w:marBottom w:val="0"/>
          <w:divBdr>
            <w:top w:val="none" w:sz="0" w:space="0" w:color="auto"/>
            <w:left w:val="none" w:sz="0" w:space="0" w:color="auto"/>
            <w:bottom w:val="none" w:sz="0" w:space="0" w:color="auto"/>
            <w:right w:val="none" w:sz="0" w:space="0" w:color="auto"/>
          </w:divBdr>
        </w:div>
        <w:div w:id="1752313499">
          <w:marLeft w:val="0"/>
          <w:marRight w:val="0"/>
          <w:marTop w:val="0"/>
          <w:marBottom w:val="0"/>
          <w:divBdr>
            <w:top w:val="none" w:sz="0" w:space="0" w:color="auto"/>
            <w:left w:val="none" w:sz="0" w:space="0" w:color="auto"/>
            <w:bottom w:val="none" w:sz="0" w:space="0" w:color="auto"/>
            <w:right w:val="none" w:sz="0" w:space="0" w:color="auto"/>
          </w:divBdr>
        </w:div>
        <w:div w:id="326906377">
          <w:marLeft w:val="0"/>
          <w:marRight w:val="0"/>
          <w:marTop w:val="0"/>
          <w:marBottom w:val="0"/>
          <w:divBdr>
            <w:top w:val="none" w:sz="0" w:space="0" w:color="auto"/>
            <w:left w:val="none" w:sz="0" w:space="0" w:color="auto"/>
            <w:bottom w:val="none" w:sz="0" w:space="0" w:color="auto"/>
            <w:right w:val="none" w:sz="0" w:space="0" w:color="auto"/>
          </w:divBdr>
        </w:div>
        <w:div w:id="319306492">
          <w:marLeft w:val="0"/>
          <w:marRight w:val="0"/>
          <w:marTop w:val="0"/>
          <w:marBottom w:val="0"/>
          <w:divBdr>
            <w:top w:val="none" w:sz="0" w:space="0" w:color="auto"/>
            <w:left w:val="none" w:sz="0" w:space="0" w:color="auto"/>
            <w:bottom w:val="none" w:sz="0" w:space="0" w:color="auto"/>
            <w:right w:val="none" w:sz="0" w:space="0" w:color="auto"/>
          </w:divBdr>
        </w:div>
        <w:div w:id="1627199722">
          <w:marLeft w:val="0"/>
          <w:marRight w:val="0"/>
          <w:marTop w:val="0"/>
          <w:marBottom w:val="0"/>
          <w:divBdr>
            <w:top w:val="none" w:sz="0" w:space="0" w:color="auto"/>
            <w:left w:val="none" w:sz="0" w:space="0" w:color="auto"/>
            <w:bottom w:val="none" w:sz="0" w:space="0" w:color="auto"/>
            <w:right w:val="none" w:sz="0" w:space="0" w:color="auto"/>
          </w:divBdr>
        </w:div>
        <w:div w:id="1181702582">
          <w:marLeft w:val="0"/>
          <w:marRight w:val="0"/>
          <w:marTop w:val="0"/>
          <w:marBottom w:val="0"/>
          <w:divBdr>
            <w:top w:val="none" w:sz="0" w:space="0" w:color="auto"/>
            <w:left w:val="none" w:sz="0" w:space="0" w:color="auto"/>
            <w:bottom w:val="none" w:sz="0" w:space="0" w:color="auto"/>
            <w:right w:val="none" w:sz="0" w:space="0" w:color="auto"/>
          </w:divBdr>
        </w:div>
        <w:div w:id="974145987">
          <w:marLeft w:val="0"/>
          <w:marRight w:val="0"/>
          <w:marTop w:val="0"/>
          <w:marBottom w:val="0"/>
          <w:divBdr>
            <w:top w:val="none" w:sz="0" w:space="0" w:color="auto"/>
            <w:left w:val="none" w:sz="0" w:space="0" w:color="auto"/>
            <w:bottom w:val="none" w:sz="0" w:space="0" w:color="auto"/>
            <w:right w:val="none" w:sz="0" w:space="0" w:color="auto"/>
          </w:divBdr>
        </w:div>
      </w:divsChild>
    </w:div>
    <w:div w:id="1301498822">
      <w:bodyDiv w:val="1"/>
      <w:marLeft w:val="0"/>
      <w:marRight w:val="0"/>
      <w:marTop w:val="0"/>
      <w:marBottom w:val="0"/>
      <w:divBdr>
        <w:top w:val="none" w:sz="0" w:space="0" w:color="auto"/>
        <w:left w:val="none" w:sz="0" w:space="0" w:color="auto"/>
        <w:bottom w:val="none" w:sz="0" w:space="0" w:color="auto"/>
        <w:right w:val="none" w:sz="0" w:space="0" w:color="auto"/>
      </w:divBdr>
    </w:div>
    <w:div w:id="1307473085">
      <w:bodyDiv w:val="1"/>
      <w:marLeft w:val="0"/>
      <w:marRight w:val="0"/>
      <w:marTop w:val="0"/>
      <w:marBottom w:val="0"/>
      <w:divBdr>
        <w:top w:val="none" w:sz="0" w:space="0" w:color="auto"/>
        <w:left w:val="none" w:sz="0" w:space="0" w:color="auto"/>
        <w:bottom w:val="none" w:sz="0" w:space="0" w:color="auto"/>
        <w:right w:val="none" w:sz="0" w:space="0" w:color="auto"/>
      </w:divBdr>
    </w:div>
    <w:div w:id="1335063175">
      <w:bodyDiv w:val="1"/>
      <w:marLeft w:val="0"/>
      <w:marRight w:val="0"/>
      <w:marTop w:val="0"/>
      <w:marBottom w:val="0"/>
      <w:divBdr>
        <w:top w:val="none" w:sz="0" w:space="0" w:color="auto"/>
        <w:left w:val="none" w:sz="0" w:space="0" w:color="auto"/>
        <w:bottom w:val="none" w:sz="0" w:space="0" w:color="auto"/>
        <w:right w:val="none" w:sz="0" w:space="0" w:color="auto"/>
      </w:divBdr>
    </w:div>
    <w:div w:id="1345980865">
      <w:bodyDiv w:val="1"/>
      <w:marLeft w:val="0"/>
      <w:marRight w:val="0"/>
      <w:marTop w:val="0"/>
      <w:marBottom w:val="0"/>
      <w:divBdr>
        <w:top w:val="none" w:sz="0" w:space="0" w:color="auto"/>
        <w:left w:val="none" w:sz="0" w:space="0" w:color="auto"/>
        <w:bottom w:val="none" w:sz="0" w:space="0" w:color="auto"/>
        <w:right w:val="none" w:sz="0" w:space="0" w:color="auto"/>
      </w:divBdr>
      <w:divsChild>
        <w:div w:id="761604860">
          <w:marLeft w:val="0"/>
          <w:marRight w:val="0"/>
          <w:marTop w:val="0"/>
          <w:marBottom w:val="0"/>
          <w:divBdr>
            <w:top w:val="none" w:sz="0" w:space="0" w:color="auto"/>
            <w:left w:val="none" w:sz="0" w:space="0" w:color="auto"/>
            <w:bottom w:val="none" w:sz="0" w:space="0" w:color="auto"/>
            <w:right w:val="none" w:sz="0" w:space="0" w:color="auto"/>
          </w:divBdr>
        </w:div>
        <w:div w:id="375550579">
          <w:marLeft w:val="0"/>
          <w:marRight w:val="0"/>
          <w:marTop w:val="0"/>
          <w:marBottom w:val="0"/>
          <w:divBdr>
            <w:top w:val="none" w:sz="0" w:space="0" w:color="auto"/>
            <w:left w:val="none" w:sz="0" w:space="0" w:color="auto"/>
            <w:bottom w:val="none" w:sz="0" w:space="0" w:color="auto"/>
            <w:right w:val="none" w:sz="0" w:space="0" w:color="auto"/>
          </w:divBdr>
        </w:div>
        <w:div w:id="1383678525">
          <w:marLeft w:val="0"/>
          <w:marRight w:val="0"/>
          <w:marTop w:val="0"/>
          <w:marBottom w:val="0"/>
          <w:divBdr>
            <w:top w:val="none" w:sz="0" w:space="0" w:color="auto"/>
            <w:left w:val="none" w:sz="0" w:space="0" w:color="auto"/>
            <w:bottom w:val="none" w:sz="0" w:space="0" w:color="auto"/>
            <w:right w:val="none" w:sz="0" w:space="0" w:color="auto"/>
          </w:divBdr>
        </w:div>
        <w:div w:id="720129416">
          <w:marLeft w:val="0"/>
          <w:marRight w:val="0"/>
          <w:marTop w:val="0"/>
          <w:marBottom w:val="0"/>
          <w:divBdr>
            <w:top w:val="none" w:sz="0" w:space="0" w:color="auto"/>
            <w:left w:val="none" w:sz="0" w:space="0" w:color="auto"/>
            <w:bottom w:val="none" w:sz="0" w:space="0" w:color="auto"/>
            <w:right w:val="none" w:sz="0" w:space="0" w:color="auto"/>
          </w:divBdr>
        </w:div>
        <w:div w:id="199785745">
          <w:marLeft w:val="0"/>
          <w:marRight w:val="0"/>
          <w:marTop w:val="0"/>
          <w:marBottom w:val="0"/>
          <w:divBdr>
            <w:top w:val="none" w:sz="0" w:space="0" w:color="auto"/>
            <w:left w:val="none" w:sz="0" w:space="0" w:color="auto"/>
            <w:bottom w:val="none" w:sz="0" w:space="0" w:color="auto"/>
            <w:right w:val="none" w:sz="0" w:space="0" w:color="auto"/>
          </w:divBdr>
        </w:div>
        <w:div w:id="793449697">
          <w:marLeft w:val="0"/>
          <w:marRight w:val="0"/>
          <w:marTop w:val="0"/>
          <w:marBottom w:val="0"/>
          <w:divBdr>
            <w:top w:val="none" w:sz="0" w:space="0" w:color="auto"/>
            <w:left w:val="none" w:sz="0" w:space="0" w:color="auto"/>
            <w:bottom w:val="none" w:sz="0" w:space="0" w:color="auto"/>
            <w:right w:val="none" w:sz="0" w:space="0" w:color="auto"/>
          </w:divBdr>
        </w:div>
        <w:div w:id="77488456">
          <w:marLeft w:val="0"/>
          <w:marRight w:val="0"/>
          <w:marTop w:val="0"/>
          <w:marBottom w:val="0"/>
          <w:divBdr>
            <w:top w:val="none" w:sz="0" w:space="0" w:color="auto"/>
            <w:left w:val="none" w:sz="0" w:space="0" w:color="auto"/>
            <w:bottom w:val="none" w:sz="0" w:space="0" w:color="auto"/>
            <w:right w:val="none" w:sz="0" w:space="0" w:color="auto"/>
          </w:divBdr>
        </w:div>
        <w:div w:id="999230867">
          <w:marLeft w:val="0"/>
          <w:marRight w:val="0"/>
          <w:marTop w:val="0"/>
          <w:marBottom w:val="0"/>
          <w:divBdr>
            <w:top w:val="none" w:sz="0" w:space="0" w:color="auto"/>
            <w:left w:val="none" w:sz="0" w:space="0" w:color="auto"/>
            <w:bottom w:val="none" w:sz="0" w:space="0" w:color="auto"/>
            <w:right w:val="none" w:sz="0" w:space="0" w:color="auto"/>
          </w:divBdr>
        </w:div>
        <w:div w:id="1571381583">
          <w:marLeft w:val="0"/>
          <w:marRight w:val="0"/>
          <w:marTop w:val="0"/>
          <w:marBottom w:val="0"/>
          <w:divBdr>
            <w:top w:val="none" w:sz="0" w:space="0" w:color="auto"/>
            <w:left w:val="none" w:sz="0" w:space="0" w:color="auto"/>
            <w:bottom w:val="none" w:sz="0" w:space="0" w:color="auto"/>
            <w:right w:val="none" w:sz="0" w:space="0" w:color="auto"/>
          </w:divBdr>
        </w:div>
        <w:div w:id="1052659669">
          <w:marLeft w:val="0"/>
          <w:marRight w:val="0"/>
          <w:marTop w:val="0"/>
          <w:marBottom w:val="0"/>
          <w:divBdr>
            <w:top w:val="none" w:sz="0" w:space="0" w:color="auto"/>
            <w:left w:val="none" w:sz="0" w:space="0" w:color="auto"/>
            <w:bottom w:val="none" w:sz="0" w:space="0" w:color="auto"/>
            <w:right w:val="none" w:sz="0" w:space="0" w:color="auto"/>
          </w:divBdr>
        </w:div>
      </w:divsChild>
    </w:div>
    <w:div w:id="1359506904">
      <w:bodyDiv w:val="1"/>
      <w:marLeft w:val="0"/>
      <w:marRight w:val="0"/>
      <w:marTop w:val="0"/>
      <w:marBottom w:val="0"/>
      <w:divBdr>
        <w:top w:val="none" w:sz="0" w:space="0" w:color="auto"/>
        <w:left w:val="none" w:sz="0" w:space="0" w:color="auto"/>
        <w:bottom w:val="none" w:sz="0" w:space="0" w:color="auto"/>
        <w:right w:val="none" w:sz="0" w:space="0" w:color="auto"/>
      </w:divBdr>
    </w:div>
    <w:div w:id="1386291121">
      <w:bodyDiv w:val="1"/>
      <w:marLeft w:val="0"/>
      <w:marRight w:val="0"/>
      <w:marTop w:val="0"/>
      <w:marBottom w:val="0"/>
      <w:divBdr>
        <w:top w:val="none" w:sz="0" w:space="0" w:color="auto"/>
        <w:left w:val="none" w:sz="0" w:space="0" w:color="auto"/>
        <w:bottom w:val="none" w:sz="0" w:space="0" w:color="auto"/>
        <w:right w:val="none" w:sz="0" w:space="0" w:color="auto"/>
      </w:divBdr>
      <w:divsChild>
        <w:div w:id="622543900">
          <w:marLeft w:val="0"/>
          <w:marRight w:val="0"/>
          <w:marTop w:val="0"/>
          <w:marBottom w:val="0"/>
          <w:divBdr>
            <w:top w:val="none" w:sz="0" w:space="0" w:color="auto"/>
            <w:left w:val="none" w:sz="0" w:space="0" w:color="auto"/>
            <w:bottom w:val="none" w:sz="0" w:space="0" w:color="auto"/>
            <w:right w:val="none" w:sz="0" w:space="0" w:color="auto"/>
          </w:divBdr>
        </w:div>
        <w:div w:id="332803754">
          <w:marLeft w:val="0"/>
          <w:marRight w:val="0"/>
          <w:marTop w:val="0"/>
          <w:marBottom w:val="0"/>
          <w:divBdr>
            <w:top w:val="none" w:sz="0" w:space="0" w:color="auto"/>
            <w:left w:val="none" w:sz="0" w:space="0" w:color="auto"/>
            <w:bottom w:val="none" w:sz="0" w:space="0" w:color="auto"/>
            <w:right w:val="none" w:sz="0" w:space="0" w:color="auto"/>
          </w:divBdr>
        </w:div>
        <w:div w:id="1037045578">
          <w:marLeft w:val="0"/>
          <w:marRight w:val="0"/>
          <w:marTop w:val="0"/>
          <w:marBottom w:val="0"/>
          <w:divBdr>
            <w:top w:val="none" w:sz="0" w:space="0" w:color="auto"/>
            <w:left w:val="none" w:sz="0" w:space="0" w:color="auto"/>
            <w:bottom w:val="none" w:sz="0" w:space="0" w:color="auto"/>
            <w:right w:val="none" w:sz="0" w:space="0" w:color="auto"/>
          </w:divBdr>
        </w:div>
        <w:div w:id="586890396">
          <w:marLeft w:val="0"/>
          <w:marRight w:val="0"/>
          <w:marTop w:val="0"/>
          <w:marBottom w:val="0"/>
          <w:divBdr>
            <w:top w:val="none" w:sz="0" w:space="0" w:color="auto"/>
            <w:left w:val="none" w:sz="0" w:space="0" w:color="auto"/>
            <w:bottom w:val="none" w:sz="0" w:space="0" w:color="auto"/>
            <w:right w:val="none" w:sz="0" w:space="0" w:color="auto"/>
          </w:divBdr>
        </w:div>
        <w:div w:id="1093277906">
          <w:marLeft w:val="0"/>
          <w:marRight w:val="0"/>
          <w:marTop w:val="0"/>
          <w:marBottom w:val="0"/>
          <w:divBdr>
            <w:top w:val="none" w:sz="0" w:space="0" w:color="auto"/>
            <w:left w:val="none" w:sz="0" w:space="0" w:color="auto"/>
            <w:bottom w:val="none" w:sz="0" w:space="0" w:color="auto"/>
            <w:right w:val="none" w:sz="0" w:space="0" w:color="auto"/>
          </w:divBdr>
        </w:div>
        <w:div w:id="920480171">
          <w:marLeft w:val="0"/>
          <w:marRight w:val="0"/>
          <w:marTop w:val="0"/>
          <w:marBottom w:val="0"/>
          <w:divBdr>
            <w:top w:val="none" w:sz="0" w:space="0" w:color="auto"/>
            <w:left w:val="none" w:sz="0" w:space="0" w:color="auto"/>
            <w:bottom w:val="none" w:sz="0" w:space="0" w:color="auto"/>
            <w:right w:val="none" w:sz="0" w:space="0" w:color="auto"/>
          </w:divBdr>
        </w:div>
        <w:div w:id="1665278284">
          <w:marLeft w:val="0"/>
          <w:marRight w:val="0"/>
          <w:marTop w:val="0"/>
          <w:marBottom w:val="0"/>
          <w:divBdr>
            <w:top w:val="none" w:sz="0" w:space="0" w:color="auto"/>
            <w:left w:val="none" w:sz="0" w:space="0" w:color="auto"/>
            <w:bottom w:val="none" w:sz="0" w:space="0" w:color="auto"/>
            <w:right w:val="none" w:sz="0" w:space="0" w:color="auto"/>
          </w:divBdr>
        </w:div>
        <w:div w:id="1755973548">
          <w:marLeft w:val="0"/>
          <w:marRight w:val="0"/>
          <w:marTop w:val="0"/>
          <w:marBottom w:val="0"/>
          <w:divBdr>
            <w:top w:val="none" w:sz="0" w:space="0" w:color="auto"/>
            <w:left w:val="none" w:sz="0" w:space="0" w:color="auto"/>
            <w:bottom w:val="none" w:sz="0" w:space="0" w:color="auto"/>
            <w:right w:val="none" w:sz="0" w:space="0" w:color="auto"/>
          </w:divBdr>
        </w:div>
      </w:divsChild>
    </w:div>
    <w:div w:id="1401908569">
      <w:bodyDiv w:val="1"/>
      <w:marLeft w:val="0"/>
      <w:marRight w:val="0"/>
      <w:marTop w:val="0"/>
      <w:marBottom w:val="0"/>
      <w:divBdr>
        <w:top w:val="none" w:sz="0" w:space="0" w:color="auto"/>
        <w:left w:val="none" w:sz="0" w:space="0" w:color="auto"/>
        <w:bottom w:val="none" w:sz="0" w:space="0" w:color="auto"/>
        <w:right w:val="none" w:sz="0" w:space="0" w:color="auto"/>
      </w:divBdr>
    </w:div>
    <w:div w:id="1430545815">
      <w:bodyDiv w:val="1"/>
      <w:marLeft w:val="0"/>
      <w:marRight w:val="0"/>
      <w:marTop w:val="0"/>
      <w:marBottom w:val="0"/>
      <w:divBdr>
        <w:top w:val="none" w:sz="0" w:space="0" w:color="auto"/>
        <w:left w:val="none" w:sz="0" w:space="0" w:color="auto"/>
        <w:bottom w:val="none" w:sz="0" w:space="0" w:color="auto"/>
        <w:right w:val="none" w:sz="0" w:space="0" w:color="auto"/>
      </w:divBdr>
    </w:div>
    <w:div w:id="1494681883">
      <w:bodyDiv w:val="1"/>
      <w:marLeft w:val="0"/>
      <w:marRight w:val="0"/>
      <w:marTop w:val="0"/>
      <w:marBottom w:val="0"/>
      <w:divBdr>
        <w:top w:val="none" w:sz="0" w:space="0" w:color="auto"/>
        <w:left w:val="none" w:sz="0" w:space="0" w:color="auto"/>
        <w:bottom w:val="none" w:sz="0" w:space="0" w:color="auto"/>
        <w:right w:val="none" w:sz="0" w:space="0" w:color="auto"/>
      </w:divBdr>
      <w:divsChild>
        <w:div w:id="1276985021">
          <w:marLeft w:val="0"/>
          <w:marRight w:val="0"/>
          <w:marTop w:val="0"/>
          <w:marBottom w:val="0"/>
          <w:divBdr>
            <w:top w:val="none" w:sz="0" w:space="0" w:color="auto"/>
            <w:left w:val="none" w:sz="0" w:space="0" w:color="auto"/>
            <w:bottom w:val="none" w:sz="0" w:space="0" w:color="auto"/>
            <w:right w:val="none" w:sz="0" w:space="0" w:color="auto"/>
          </w:divBdr>
        </w:div>
        <w:div w:id="1913154237">
          <w:marLeft w:val="0"/>
          <w:marRight w:val="0"/>
          <w:marTop w:val="0"/>
          <w:marBottom w:val="0"/>
          <w:divBdr>
            <w:top w:val="none" w:sz="0" w:space="0" w:color="auto"/>
            <w:left w:val="none" w:sz="0" w:space="0" w:color="auto"/>
            <w:bottom w:val="none" w:sz="0" w:space="0" w:color="auto"/>
            <w:right w:val="none" w:sz="0" w:space="0" w:color="auto"/>
          </w:divBdr>
        </w:div>
        <w:div w:id="213347554">
          <w:marLeft w:val="0"/>
          <w:marRight w:val="0"/>
          <w:marTop w:val="0"/>
          <w:marBottom w:val="0"/>
          <w:divBdr>
            <w:top w:val="none" w:sz="0" w:space="0" w:color="auto"/>
            <w:left w:val="none" w:sz="0" w:space="0" w:color="auto"/>
            <w:bottom w:val="none" w:sz="0" w:space="0" w:color="auto"/>
            <w:right w:val="none" w:sz="0" w:space="0" w:color="auto"/>
          </w:divBdr>
        </w:div>
        <w:div w:id="1327320669">
          <w:marLeft w:val="0"/>
          <w:marRight w:val="0"/>
          <w:marTop w:val="0"/>
          <w:marBottom w:val="0"/>
          <w:divBdr>
            <w:top w:val="none" w:sz="0" w:space="0" w:color="auto"/>
            <w:left w:val="none" w:sz="0" w:space="0" w:color="auto"/>
            <w:bottom w:val="none" w:sz="0" w:space="0" w:color="auto"/>
            <w:right w:val="none" w:sz="0" w:space="0" w:color="auto"/>
          </w:divBdr>
        </w:div>
        <w:div w:id="2016296501">
          <w:marLeft w:val="0"/>
          <w:marRight w:val="0"/>
          <w:marTop w:val="0"/>
          <w:marBottom w:val="0"/>
          <w:divBdr>
            <w:top w:val="none" w:sz="0" w:space="0" w:color="auto"/>
            <w:left w:val="none" w:sz="0" w:space="0" w:color="auto"/>
            <w:bottom w:val="none" w:sz="0" w:space="0" w:color="auto"/>
            <w:right w:val="none" w:sz="0" w:space="0" w:color="auto"/>
          </w:divBdr>
        </w:div>
        <w:div w:id="442311520">
          <w:marLeft w:val="0"/>
          <w:marRight w:val="0"/>
          <w:marTop w:val="0"/>
          <w:marBottom w:val="0"/>
          <w:divBdr>
            <w:top w:val="none" w:sz="0" w:space="0" w:color="auto"/>
            <w:left w:val="none" w:sz="0" w:space="0" w:color="auto"/>
            <w:bottom w:val="none" w:sz="0" w:space="0" w:color="auto"/>
            <w:right w:val="none" w:sz="0" w:space="0" w:color="auto"/>
          </w:divBdr>
        </w:div>
        <w:div w:id="663123064">
          <w:marLeft w:val="0"/>
          <w:marRight w:val="0"/>
          <w:marTop w:val="0"/>
          <w:marBottom w:val="0"/>
          <w:divBdr>
            <w:top w:val="none" w:sz="0" w:space="0" w:color="auto"/>
            <w:left w:val="none" w:sz="0" w:space="0" w:color="auto"/>
            <w:bottom w:val="none" w:sz="0" w:space="0" w:color="auto"/>
            <w:right w:val="none" w:sz="0" w:space="0" w:color="auto"/>
          </w:divBdr>
        </w:div>
        <w:div w:id="1366635071">
          <w:marLeft w:val="0"/>
          <w:marRight w:val="0"/>
          <w:marTop w:val="0"/>
          <w:marBottom w:val="0"/>
          <w:divBdr>
            <w:top w:val="none" w:sz="0" w:space="0" w:color="auto"/>
            <w:left w:val="none" w:sz="0" w:space="0" w:color="auto"/>
            <w:bottom w:val="none" w:sz="0" w:space="0" w:color="auto"/>
            <w:right w:val="none" w:sz="0" w:space="0" w:color="auto"/>
          </w:divBdr>
        </w:div>
        <w:div w:id="1088114584">
          <w:marLeft w:val="0"/>
          <w:marRight w:val="0"/>
          <w:marTop w:val="0"/>
          <w:marBottom w:val="0"/>
          <w:divBdr>
            <w:top w:val="none" w:sz="0" w:space="0" w:color="auto"/>
            <w:left w:val="none" w:sz="0" w:space="0" w:color="auto"/>
            <w:bottom w:val="none" w:sz="0" w:space="0" w:color="auto"/>
            <w:right w:val="none" w:sz="0" w:space="0" w:color="auto"/>
          </w:divBdr>
        </w:div>
        <w:div w:id="361325547">
          <w:marLeft w:val="0"/>
          <w:marRight w:val="0"/>
          <w:marTop w:val="0"/>
          <w:marBottom w:val="0"/>
          <w:divBdr>
            <w:top w:val="none" w:sz="0" w:space="0" w:color="auto"/>
            <w:left w:val="none" w:sz="0" w:space="0" w:color="auto"/>
            <w:bottom w:val="none" w:sz="0" w:space="0" w:color="auto"/>
            <w:right w:val="none" w:sz="0" w:space="0" w:color="auto"/>
          </w:divBdr>
        </w:div>
        <w:div w:id="1666855657">
          <w:marLeft w:val="0"/>
          <w:marRight w:val="0"/>
          <w:marTop w:val="0"/>
          <w:marBottom w:val="0"/>
          <w:divBdr>
            <w:top w:val="none" w:sz="0" w:space="0" w:color="auto"/>
            <w:left w:val="none" w:sz="0" w:space="0" w:color="auto"/>
            <w:bottom w:val="none" w:sz="0" w:space="0" w:color="auto"/>
            <w:right w:val="none" w:sz="0" w:space="0" w:color="auto"/>
          </w:divBdr>
        </w:div>
        <w:div w:id="448746588">
          <w:marLeft w:val="0"/>
          <w:marRight w:val="0"/>
          <w:marTop w:val="0"/>
          <w:marBottom w:val="0"/>
          <w:divBdr>
            <w:top w:val="none" w:sz="0" w:space="0" w:color="auto"/>
            <w:left w:val="none" w:sz="0" w:space="0" w:color="auto"/>
            <w:bottom w:val="none" w:sz="0" w:space="0" w:color="auto"/>
            <w:right w:val="none" w:sz="0" w:space="0" w:color="auto"/>
          </w:divBdr>
        </w:div>
        <w:div w:id="1562668439">
          <w:marLeft w:val="0"/>
          <w:marRight w:val="0"/>
          <w:marTop w:val="0"/>
          <w:marBottom w:val="0"/>
          <w:divBdr>
            <w:top w:val="none" w:sz="0" w:space="0" w:color="auto"/>
            <w:left w:val="none" w:sz="0" w:space="0" w:color="auto"/>
            <w:bottom w:val="none" w:sz="0" w:space="0" w:color="auto"/>
            <w:right w:val="none" w:sz="0" w:space="0" w:color="auto"/>
          </w:divBdr>
        </w:div>
        <w:div w:id="1559511135">
          <w:marLeft w:val="0"/>
          <w:marRight w:val="0"/>
          <w:marTop w:val="0"/>
          <w:marBottom w:val="0"/>
          <w:divBdr>
            <w:top w:val="none" w:sz="0" w:space="0" w:color="auto"/>
            <w:left w:val="none" w:sz="0" w:space="0" w:color="auto"/>
            <w:bottom w:val="none" w:sz="0" w:space="0" w:color="auto"/>
            <w:right w:val="none" w:sz="0" w:space="0" w:color="auto"/>
          </w:divBdr>
        </w:div>
        <w:div w:id="464353767">
          <w:marLeft w:val="0"/>
          <w:marRight w:val="0"/>
          <w:marTop w:val="0"/>
          <w:marBottom w:val="0"/>
          <w:divBdr>
            <w:top w:val="none" w:sz="0" w:space="0" w:color="auto"/>
            <w:left w:val="none" w:sz="0" w:space="0" w:color="auto"/>
            <w:bottom w:val="none" w:sz="0" w:space="0" w:color="auto"/>
            <w:right w:val="none" w:sz="0" w:space="0" w:color="auto"/>
          </w:divBdr>
        </w:div>
        <w:div w:id="893397163">
          <w:marLeft w:val="0"/>
          <w:marRight w:val="0"/>
          <w:marTop w:val="0"/>
          <w:marBottom w:val="0"/>
          <w:divBdr>
            <w:top w:val="none" w:sz="0" w:space="0" w:color="auto"/>
            <w:left w:val="none" w:sz="0" w:space="0" w:color="auto"/>
            <w:bottom w:val="none" w:sz="0" w:space="0" w:color="auto"/>
            <w:right w:val="none" w:sz="0" w:space="0" w:color="auto"/>
          </w:divBdr>
        </w:div>
        <w:div w:id="696810755">
          <w:marLeft w:val="0"/>
          <w:marRight w:val="0"/>
          <w:marTop w:val="0"/>
          <w:marBottom w:val="0"/>
          <w:divBdr>
            <w:top w:val="none" w:sz="0" w:space="0" w:color="auto"/>
            <w:left w:val="none" w:sz="0" w:space="0" w:color="auto"/>
            <w:bottom w:val="none" w:sz="0" w:space="0" w:color="auto"/>
            <w:right w:val="none" w:sz="0" w:space="0" w:color="auto"/>
          </w:divBdr>
        </w:div>
        <w:div w:id="450712817">
          <w:marLeft w:val="0"/>
          <w:marRight w:val="0"/>
          <w:marTop w:val="0"/>
          <w:marBottom w:val="0"/>
          <w:divBdr>
            <w:top w:val="none" w:sz="0" w:space="0" w:color="auto"/>
            <w:left w:val="none" w:sz="0" w:space="0" w:color="auto"/>
            <w:bottom w:val="none" w:sz="0" w:space="0" w:color="auto"/>
            <w:right w:val="none" w:sz="0" w:space="0" w:color="auto"/>
          </w:divBdr>
        </w:div>
        <w:div w:id="1266888713">
          <w:marLeft w:val="0"/>
          <w:marRight w:val="0"/>
          <w:marTop w:val="0"/>
          <w:marBottom w:val="0"/>
          <w:divBdr>
            <w:top w:val="none" w:sz="0" w:space="0" w:color="auto"/>
            <w:left w:val="none" w:sz="0" w:space="0" w:color="auto"/>
            <w:bottom w:val="none" w:sz="0" w:space="0" w:color="auto"/>
            <w:right w:val="none" w:sz="0" w:space="0" w:color="auto"/>
          </w:divBdr>
        </w:div>
        <w:div w:id="1526360713">
          <w:marLeft w:val="0"/>
          <w:marRight w:val="0"/>
          <w:marTop w:val="0"/>
          <w:marBottom w:val="0"/>
          <w:divBdr>
            <w:top w:val="none" w:sz="0" w:space="0" w:color="auto"/>
            <w:left w:val="none" w:sz="0" w:space="0" w:color="auto"/>
            <w:bottom w:val="none" w:sz="0" w:space="0" w:color="auto"/>
            <w:right w:val="none" w:sz="0" w:space="0" w:color="auto"/>
          </w:divBdr>
        </w:div>
        <w:div w:id="1151287488">
          <w:marLeft w:val="0"/>
          <w:marRight w:val="0"/>
          <w:marTop w:val="0"/>
          <w:marBottom w:val="0"/>
          <w:divBdr>
            <w:top w:val="none" w:sz="0" w:space="0" w:color="auto"/>
            <w:left w:val="none" w:sz="0" w:space="0" w:color="auto"/>
            <w:bottom w:val="none" w:sz="0" w:space="0" w:color="auto"/>
            <w:right w:val="none" w:sz="0" w:space="0" w:color="auto"/>
          </w:divBdr>
        </w:div>
        <w:div w:id="590893630">
          <w:marLeft w:val="0"/>
          <w:marRight w:val="0"/>
          <w:marTop w:val="0"/>
          <w:marBottom w:val="0"/>
          <w:divBdr>
            <w:top w:val="none" w:sz="0" w:space="0" w:color="auto"/>
            <w:left w:val="none" w:sz="0" w:space="0" w:color="auto"/>
            <w:bottom w:val="none" w:sz="0" w:space="0" w:color="auto"/>
            <w:right w:val="none" w:sz="0" w:space="0" w:color="auto"/>
          </w:divBdr>
        </w:div>
        <w:div w:id="697631893">
          <w:marLeft w:val="0"/>
          <w:marRight w:val="0"/>
          <w:marTop w:val="0"/>
          <w:marBottom w:val="0"/>
          <w:divBdr>
            <w:top w:val="none" w:sz="0" w:space="0" w:color="auto"/>
            <w:left w:val="none" w:sz="0" w:space="0" w:color="auto"/>
            <w:bottom w:val="none" w:sz="0" w:space="0" w:color="auto"/>
            <w:right w:val="none" w:sz="0" w:space="0" w:color="auto"/>
          </w:divBdr>
        </w:div>
      </w:divsChild>
    </w:div>
    <w:div w:id="1502698439">
      <w:bodyDiv w:val="1"/>
      <w:marLeft w:val="0"/>
      <w:marRight w:val="0"/>
      <w:marTop w:val="0"/>
      <w:marBottom w:val="0"/>
      <w:divBdr>
        <w:top w:val="none" w:sz="0" w:space="0" w:color="auto"/>
        <w:left w:val="none" w:sz="0" w:space="0" w:color="auto"/>
        <w:bottom w:val="none" w:sz="0" w:space="0" w:color="auto"/>
        <w:right w:val="none" w:sz="0" w:space="0" w:color="auto"/>
      </w:divBdr>
    </w:div>
    <w:div w:id="1515455981">
      <w:bodyDiv w:val="1"/>
      <w:marLeft w:val="0"/>
      <w:marRight w:val="0"/>
      <w:marTop w:val="0"/>
      <w:marBottom w:val="0"/>
      <w:divBdr>
        <w:top w:val="none" w:sz="0" w:space="0" w:color="auto"/>
        <w:left w:val="none" w:sz="0" w:space="0" w:color="auto"/>
        <w:bottom w:val="none" w:sz="0" w:space="0" w:color="auto"/>
        <w:right w:val="none" w:sz="0" w:space="0" w:color="auto"/>
      </w:divBdr>
    </w:div>
    <w:div w:id="1550530666">
      <w:bodyDiv w:val="1"/>
      <w:marLeft w:val="0"/>
      <w:marRight w:val="0"/>
      <w:marTop w:val="0"/>
      <w:marBottom w:val="0"/>
      <w:divBdr>
        <w:top w:val="none" w:sz="0" w:space="0" w:color="auto"/>
        <w:left w:val="none" w:sz="0" w:space="0" w:color="auto"/>
        <w:bottom w:val="none" w:sz="0" w:space="0" w:color="auto"/>
        <w:right w:val="none" w:sz="0" w:space="0" w:color="auto"/>
      </w:divBdr>
    </w:div>
    <w:div w:id="1570385320">
      <w:bodyDiv w:val="1"/>
      <w:marLeft w:val="0"/>
      <w:marRight w:val="0"/>
      <w:marTop w:val="0"/>
      <w:marBottom w:val="0"/>
      <w:divBdr>
        <w:top w:val="none" w:sz="0" w:space="0" w:color="auto"/>
        <w:left w:val="none" w:sz="0" w:space="0" w:color="auto"/>
        <w:bottom w:val="none" w:sz="0" w:space="0" w:color="auto"/>
        <w:right w:val="none" w:sz="0" w:space="0" w:color="auto"/>
      </w:divBdr>
      <w:divsChild>
        <w:div w:id="1764719996">
          <w:marLeft w:val="547"/>
          <w:marRight w:val="0"/>
          <w:marTop w:val="77"/>
          <w:marBottom w:val="0"/>
          <w:divBdr>
            <w:top w:val="none" w:sz="0" w:space="0" w:color="auto"/>
            <w:left w:val="none" w:sz="0" w:space="0" w:color="auto"/>
            <w:bottom w:val="none" w:sz="0" w:space="0" w:color="auto"/>
            <w:right w:val="none" w:sz="0" w:space="0" w:color="auto"/>
          </w:divBdr>
        </w:div>
        <w:div w:id="677120915">
          <w:marLeft w:val="547"/>
          <w:marRight w:val="0"/>
          <w:marTop w:val="77"/>
          <w:marBottom w:val="0"/>
          <w:divBdr>
            <w:top w:val="none" w:sz="0" w:space="0" w:color="auto"/>
            <w:left w:val="none" w:sz="0" w:space="0" w:color="auto"/>
            <w:bottom w:val="none" w:sz="0" w:space="0" w:color="auto"/>
            <w:right w:val="none" w:sz="0" w:space="0" w:color="auto"/>
          </w:divBdr>
        </w:div>
        <w:div w:id="133256625">
          <w:marLeft w:val="547"/>
          <w:marRight w:val="0"/>
          <w:marTop w:val="77"/>
          <w:marBottom w:val="0"/>
          <w:divBdr>
            <w:top w:val="none" w:sz="0" w:space="0" w:color="auto"/>
            <w:left w:val="none" w:sz="0" w:space="0" w:color="auto"/>
            <w:bottom w:val="none" w:sz="0" w:space="0" w:color="auto"/>
            <w:right w:val="none" w:sz="0" w:space="0" w:color="auto"/>
          </w:divBdr>
        </w:div>
        <w:div w:id="1566603827">
          <w:marLeft w:val="547"/>
          <w:marRight w:val="0"/>
          <w:marTop w:val="77"/>
          <w:marBottom w:val="0"/>
          <w:divBdr>
            <w:top w:val="none" w:sz="0" w:space="0" w:color="auto"/>
            <w:left w:val="none" w:sz="0" w:space="0" w:color="auto"/>
            <w:bottom w:val="none" w:sz="0" w:space="0" w:color="auto"/>
            <w:right w:val="none" w:sz="0" w:space="0" w:color="auto"/>
          </w:divBdr>
        </w:div>
        <w:div w:id="168376360">
          <w:marLeft w:val="547"/>
          <w:marRight w:val="0"/>
          <w:marTop w:val="77"/>
          <w:marBottom w:val="0"/>
          <w:divBdr>
            <w:top w:val="none" w:sz="0" w:space="0" w:color="auto"/>
            <w:left w:val="none" w:sz="0" w:space="0" w:color="auto"/>
            <w:bottom w:val="none" w:sz="0" w:space="0" w:color="auto"/>
            <w:right w:val="none" w:sz="0" w:space="0" w:color="auto"/>
          </w:divBdr>
        </w:div>
        <w:div w:id="487206370">
          <w:marLeft w:val="547"/>
          <w:marRight w:val="0"/>
          <w:marTop w:val="77"/>
          <w:marBottom w:val="0"/>
          <w:divBdr>
            <w:top w:val="none" w:sz="0" w:space="0" w:color="auto"/>
            <w:left w:val="none" w:sz="0" w:space="0" w:color="auto"/>
            <w:bottom w:val="none" w:sz="0" w:space="0" w:color="auto"/>
            <w:right w:val="none" w:sz="0" w:space="0" w:color="auto"/>
          </w:divBdr>
        </w:div>
      </w:divsChild>
    </w:div>
    <w:div w:id="1621910333">
      <w:bodyDiv w:val="1"/>
      <w:marLeft w:val="0"/>
      <w:marRight w:val="0"/>
      <w:marTop w:val="0"/>
      <w:marBottom w:val="0"/>
      <w:divBdr>
        <w:top w:val="none" w:sz="0" w:space="0" w:color="auto"/>
        <w:left w:val="none" w:sz="0" w:space="0" w:color="auto"/>
        <w:bottom w:val="none" w:sz="0" w:space="0" w:color="auto"/>
        <w:right w:val="none" w:sz="0" w:space="0" w:color="auto"/>
      </w:divBdr>
      <w:divsChild>
        <w:div w:id="1506284164">
          <w:marLeft w:val="0"/>
          <w:marRight w:val="0"/>
          <w:marTop w:val="0"/>
          <w:marBottom w:val="0"/>
          <w:divBdr>
            <w:top w:val="none" w:sz="0" w:space="0" w:color="auto"/>
            <w:left w:val="none" w:sz="0" w:space="0" w:color="auto"/>
            <w:bottom w:val="none" w:sz="0" w:space="0" w:color="auto"/>
            <w:right w:val="none" w:sz="0" w:space="0" w:color="auto"/>
          </w:divBdr>
        </w:div>
        <w:div w:id="1577277682">
          <w:marLeft w:val="0"/>
          <w:marRight w:val="0"/>
          <w:marTop w:val="0"/>
          <w:marBottom w:val="0"/>
          <w:divBdr>
            <w:top w:val="none" w:sz="0" w:space="0" w:color="auto"/>
            <w:left w:val="none" w:sz="0" w:space="0" w:color="auto"/>
            <w:bottom w:val="none" w:sz="0" w:space="0" w:color="auto"/>
            <w:right w:val="none" w:sz="0" w:space="0" w:color="auto"/>
          </w:divBdr>
        </w:div>
        <w:div w:id="1428114482">
          <w:marLeft w:val="0"/>
          <w:marRight w:val="0"/>
          <w:marTop w:val="0"/>
          <w:marBottom w:val="0"/>
          <w:divBdr>
            <w:top w:val="none" w:sz="0" w:space="0" w:color="auto"/>
            <w:left w:val="none" w:sz="0" w:space="0" w:color="auto"/>
            <w:bottom w:val="none" w:sz="0" w:space="0" w:color="auto"/>
            <w:right w:val="none" w:sz="0" w:space="0" w:color="auto"/>
          </w:divBdr>
        </w:div>
        <w:div w:id="717971458">
          <w:marLeft w:val="0"/>
          <w:marRight w:val="0"/>
          <w:marTop w:val="0"/>
          <w:marBottom w:val="0"/>
          <w:divBdr>
            <w:top w:val="none" w:sz="0" w:space="0" w:color="auto"/>
            <w:left w:val="none" w:sz="0" w:space="0" w:color="auto"/>
            <w:bottom w:val="none" w:sz="0" w:space="0" w:color="auto"/>
            <w:right w:val="none" w:sz="0" w:space="0" w:color="auto"/>
          </w:divBdr>
        </w:div>
      </w:divsChild>
    </w:div>
    <w:div w:id="1746762109">
      <w:bodyDiv w:val="1"/>
      <w:marLeft w:val="0"/>
      <w:marRight w:val="0"/>
      <w:marTop w:val="0"/>
      <w:marBottom w:val="0"/>
      <w:divBdr>
        <w:top w:val="none" w:sz="0" w:space="0" w:color="auto"/>
        <w:left w:val="none" w:sz="0" w:space="0" w:color="auto"/>
        <w:bottom w:val="none" w:sz="0" w:space="0" w:color="auto"/>
        <w:right w:val="none" w:sz="0" w:space="0" w:color="auto"/>
      </w:divBdr>
      <w:divsChild>
        <w:div w:id="1649821389">
          <w:marLeft w:val="0"/>
          <w:marRight w:val="0"/>
          <w:marTop w:val="0"/>
          <w:marBottom w:val="0"/>
          <w:divBdr>
            <w:top w:val="none" w:sz="0" w:space="0" w:color="auto"/>
            <w:left w:val="none" w:sz="0" w:space="0" w:color="auto"/>
            <w:bottom w:val="none" w:sz="0" w:space="0" w:color="auto"/>
            <w:right w:val="none" w:sz="0" w:space="0" w:color="auto"/>
          </w:divBdr>
        </w:div>
        <w:div w:id="1446390146">
          <w:marLeft w:val="0"/>
          <w:marRight w:val="0"/>
          <w:marTop w:val="0"/>
          <w:marBottom w:val="0"/>
          <w:divBdr>
            <w:top w:val="none" w:sz="0" w:space="0" w:color="auto"/>
            <w:left w:val="none" w:sz="0" w:space="0" w:color="auto"/>
            <w:bottom w:val="none" w:sz="0" w:space="0" w:color="auto"/>
            <w:right w:val="none" w:sz="0" w:space="0" w:color="auto"/>
          </w:divBdr>
        </w:div>
        <w:div w:id="119881658">
          <w:marLeft w:val="0"/>
          <w:marRight w:val="0"/>
          <w:marTop w:val="0"/>
          <w:marBottom w:val="0"/>
          <w:divBdr>
            <w:top w:val="none" w:sz="0" w:space="0" w:color="auto"/>
            <w:left w:val="none" w:sz="0" w:space="0" w:color="auto"/>
            <w:bottom w:val="none" w:sz="0" w:space="0" w:color="auto"/>
            <w:right w:val="none" w:sz="0" w:space="0" w:color="auto"/>
          </w:divBdr>
        </w:div>
      </w:divsChild>
    </w:div>
    <w:div w:id="1752770490">
      <w:bodyDiv w:val="1"/>
      <w:marLeft w:val="0"/>
      <w:marRight w:val="0"/>
      <w:marTop w:val="0"/>
      <w:marBottom w:val="0"/>
      <w:divBdr>
        <w:top w:val="none" w:sz="0" w:space="0" w:color="auto"/>
        <w:left w:val="none" w:sz="0" w:space="0" w:color="auto"/>
        <w:bottom w:val="none" w:sz="0" w:space="0" w:color="auto"/>
        <w:right w:val="none" w:sz="0" w:space="0" w:color="auto"/>
      </w:divBdr>
      <w:divsChild>
        <w:div w:id="905795338">
          <w:marLeft w:val="0"/>
          <w:marRight w:val="0"/>
          <w:marTop w:val="0"/>
          <w:marBottom w:val="0"/>
          <w:divBdr>
            <w:top w:val="none" w:sz="0" w:space="0" w:color="auto"/>
            <w:left w:val="none" w:sz="0" w:space="0" w:color="auto"/>
            <w:bottom w:val="none" w:sz="0" w:space="0" w:color="auto"/>
            <w:right w:val="none" w:sz="0" w:space="0" w:color="auto"/>
          </w:divBdr>
        </w:div>
        <w:div w:id="918902546">
          <w:marLeft w:val="0"/>
          <w:marRight w:val="0"/>
          <w:marTop w:val="0"/>
          <w:marBottom w:val="0"/>
          <w:divBdr>
            <w:top w:val="none" w:sz="0" w:space="0" w:color="auto"/>
            <w:left w:val="none" w:sz="0" w:space="0" w:color="auto"/>
            <w:bottom w:val="none" w:sz="0" w:space="0" w:color="auto"/>
            <w:right w:val="none" w:sz="0" w:space="0" w:color="auto"/>
          </w:divBdr>
        </w:div>
        <w:div w:id="1713529519">
          <w:marLeft w:val="0"/>
          <w:marRight w:val="0"/>
          <w:marTop w:val="0"/>
          <w:marBottom w:val="0"/>
          <w:divBdr>
            <w:top w:val="none" w:sz="0" w:space="0" w:color="auto"/>
            <w:left w:val="none" w:sz="0" w:space="0" w:color="auto"/>
            <w:bottom w:val="none" w:sz="0" w:space="0" w:color="auto"/>
            <w:right w:val="none" w:sz="0" w:space="0" w:color="auto"/>
          </w:divBdr>
        </w:div>
        <w:div w:id="201790535">
          <w:marLeft w:val="0"/>
          <w:marRight w:val="0"/>
          <w:marTop w:val="0"/>
          <w:marBottom w:val="0"/>
          <w:divBdr>
            <w:top w:val="none" w:sz="0" w:space="0" w:color="auto"/>
            <w:left w:val="none" w:sz="0" w:space="0" w:color="auto"/>
            <w:bottom w:val="none" w:sz="0" w:space="0" w:color="auto"/>
            <w:right w:val="none" w:sz="0" w:space="0" w:color="auto"/>
          </w:divBdr>
        </w:div>
        <w:div w:id="77018864">
          <w:marLeft w:val="0"/>
          <w:marRight w:val="0"/>
          <w:marTop w:val="0"/>
          <w:marBottom w:val="0"/>
          <w:divBdr>
            <w:top w:val="none" w:sz="0" w:space="0" w:color="auto"/>
            <w:left w:val="none" w:sz="0" w:space="0" w:color="auto"/>
            <w:bottom w:val="none" w:sz="0" w:space="0" w:color="auto"/>
            <w:right w:val="none" w:sz="0" w:space="0" w:color="auto"/>
          </w:divBdr>
        </w:div>
        <w:div w:id="987317215">
          <w:marLeft w:val="0"/>
          <w:marRight w:val="0"/>
          <w:marTop w:val="0"/>
          <w:marBottom w:val="0"/>
          <w:divBdr>
            <w:top w:val="none" w:sz="0" w:space="0" w:color="auto"/>
            <w:left w:val="none" w:sz="0" w:space="0" w:color="auto"/>
            <w:bottom w:val="none" w:sz="0" w:space="0" w:color="auto"/>
            <w:right w:val="none" w:sz="0" w:space="0" w:color="auto"/>
          </w:divBdr>
        </w:div>
        <w:div w:id="1722359030">
          <w:marLeft w:val="0"/>
          <w:marRight w:val="0"/>
          <w:marTop w:val="0"/>
          <w:marBottom w:val="0"/>
          <w:divBdr>
            <w:top w:val="none" w:sz="0" w:space="0" w:color="auto"/>
            <w:left w:val="none" w:sz="0" w:space="0" w:color="auto"/>
            <w:bottom w:val="none" w:sz="0" w:space="0" w:color="auto"/>
            <w:right w:val="none" w:sz="0" w:space="0" w:color="auto"/>
          </w:divBdr>
        </w:div>
        <w:div w:id="211691826">
          <w:marLeft w:val="0"/>
          <w:marRight w:val="0"/>
          <w:marTop w:val="0"/>
          <w:marBottom w:val="0"/>
          <w:divBdr>
            <w:top w:val="none" w:sz="0" w:space="0" w:color="auto"/>
            <w:left w:val="none" w:sz="0" w:space="0" w:color="auto"/>
            <w:bottom w:val="none" w:sz="0" w:space="0" w:color="auto"/>
            <w:right w:val="none" w:sz="0" w:space="0" w:color="auto"/>
          </w:divBdr>
        </w:div>
      </w:divsChild>
    </w:div>
    <w:div w:id="1771513403">
      <w:bodyDiv w:val="1"/>
      <w:marLeft w:val="0"/>
      <w:marRight w:val="0"/>
      <w:marTop w:val="0"/>
      <w:marBottom w:val="0"/>
      <w:divBdr>
        <w:top w:val="none" w:sz="0" w:space="0" w:color="auto"/>
        <w:left w:val="none" w:sz="0" w:space="0" w:color="auto"/>
        <w:bottom w:val="none" w:sz="0" w:space="0" w:color="auto"/>
        <w:right w:val="none" w:sz="0" w:space="0" w:color="auto"/>
      </w:divBdr>
    </w:div>
    <w:div w:id="1863786093">
      <w:bodyDiv w:val="1"/>
      <w:marLeft w:val="0"/>
      <w:marRight w:val="0"/>
      <w:marTop w:val="0"/>
      <w:marBottom w:val="0"/>
      <w:divBdr>
        <w:top w:val="none" w:sz="0" w:space="0" w:color="auto"/>
        <w:left w:val="none" w:sz="0" w:space="0" w:color="auto"/>
        <w:bottom w:val="none" w:sz="0" w:space="0" w:color="auto"/>
        <w:right w:val="none" w:sz="0" w:space="0" w:color="auto"/>
      </w:divBdr>
      <w:divsChild>
        <w:div w:id="1954287002">
          <w:marLeft w:val="0"/>
          <w:marRight w:val="0"/>
          <w:marTop w:val="0"/>
          <w:marBottom w:val="0"/>
          <w:divBdr>
            <w:top w:val="none" w:sz="0" w:space="0" w:color="auto"/>
            <w:left w:val="none" w:sz="0" w:space="0" w:color="auto"/>
            <w:bottom w:val="none" w:sz="0" w:space="0" w:color="auto"/>
            <w:right w:val="none" w:sz="0" w:space="0" w:color="auto"/>
          </w:divBdr>
        </w:div>
        <w:div w:id="1463616761">
          <w:marLeft w:val="0"/>
          <w:marRight w:val="0"/>
          <w:marTop w:val="0"/>
          <w:marBottom w:val="0"/>
          <w:divBdr>
            <w:top w:val="none" w:sz="0" w:space="0" w:color="auto"/>
            <w:left w:val="none" w:sz="0" w:space="0" w:color="auto"/>
            <w:bottom w:val="none" w:sz="0" w:space="0" w:color="auto"/>
            <w:right w:val="none" w:sz="0" w:space="0" w:color="auto"/>
          </w:divBdr>
        </w:div>
        <w:div w:id="1254123336">
          <w:marLeft w:val="0"/>
          <w:marRight w:val="0"/>
          <w:marTop w:val="0"/>
          <w:marBottom w:val="0"/>
          <w:divBdr>
            <w:top w:val="none" w:sz="0" w:space="0" w:color="auto"/>
            <w:left w:val="none" w:sz="0" w:space="0" w:color="auto"/>
            <w:bottom w:val="none" w:sz="0" w:space="0" w:color="auto"/>
            <w:right w:val="none" w:sz="0" w:space="0" w:color="auto"/>
          </w:divBdr>
        </w:div>
        <w:div w:id="1288125453">
          <w:marLeft w:val="0"/>
          <w:marRight w:val="0"/>
          <w:marTop w:val="0"/>
          <w:marBottom w:val="0"/>
          <w:divBdr>
            <w:top w:val="none" w:sz="0" w:space="0" w:color="auto"/>
            <w:left w:val="none" w:sz="0" w:space="0" w:color="auto"/>
            <w:bottom w:val="none" w:sz="0" w:space="0" w:color="auto"/>
            <w:right w:val="none" w:sz="0" w:space="0" w:color="auto"/>
          </w:divBdr>
        </w:div>
        <w:div w:id="1187863611">
          <w:marLeft w:val="0"/>
          <w:marRight w:val="0"/>
          <w:marTop w:val="0"/>
          <w:marBottom w:val="0"/>
          <w:divBdr>
            <w:top w:val="none" w:sz="0" w:space="0" w:color="auto"/>
            <w:left w:val="none" w:sz="0" w:space="0" w:color="auto"/>
            <w:bottom w:val="none" w:sz="0" w:space="0" w:color="auto"/>
            <w:right w:val="none" w:sz="0" w:space="0" w:color="auto"/>
          </w:divBdr>
        </w:div>
        <w:div w:id="1630547794">
          <w:marLeft w:val="0"/>
          <w:marRight w:val="0"/>
          <w:marTop w:val="0"/>
          <w:marBottom w:val="0"/>
          <w:divBdr>
            <w:top w:val="none" w:sz="0" w:space="0" w:color="auto"/>
            <w:left w:val="none" w:sz="0" w:space="0" w:color="auto"/>
            <w:bottom w:val="none" w:sz="0" w:space="0" w:color="auto"/>
            <w:right w:val="none" w:sz="0" w:space="0" w:color="auto"/>
          </w:divBdr>
        </w:div>
      </w:divsChild>
    </w:div>
    <w:div w:id="1884247371">
      <w:bodyDiv w:val="1"/>
      <w:marLeft w:val="0"/>
      <w:marRight w:val="0"/>
      <w:marTop w:val="0"/>
      <w:marBottom w:val="0"/>
      <w:divBdr>
        <w:top w:val="none" w:sz="0" w:space="0" w:color="auto"/>
        <w:left w:val="none" w:sz="0" w:space="0" w:color="auto"/>
        <w:bottom w:val="none" w:sz="0" w:space="0" w:color="auto"/>
        <w:right w:val="none" w:sz="0" w:space="0" w:color="auto"/>
      </w:divBdr>
      <w:divsChild>
        <w:div w:id="892426634">
          <w:marLeft w:val="0"/>
          <w:marRight w:val="0"/>
          <w:marTop w:val="0"/>
          <w:marBottom w:val="0"/>
          <w:divBdr>
            <w:top w:val="none" w:sz="0" w:space="0" w:color="auto"/>
            <w:left w:val="none" w:sz="0" w:space="0" w:color="auto"/>
            <w:bottom w:val="none" w:sz="0" w:space="0" w:color="auto"/>
            <w:right w:val="none" w:sz="0" w:space="0" w:color="auto"/>
          </w:divBdr>
        </w:div>
        <w:div w:id="709182486">
          <w:marLeft w:val="0"/>
          <w:marRight w:val="0"/>
          <w:marTop w:val="0"/>
          <w:marBottom w:val="0"/>
          <w:divBdr>
            <w:top w:val="none" w:sz="0" w:space="0" w:color="auto"/>
            <w:left w:val="none" w:sz="0" w:space="0" w:color="auto"/>
            <w:bottom w:val="none" w:sz="0" w:space="0" w:color="auto"/>
            <w:right w:val="none" w:sz="0" w:space="0" w:color="auto"/>
          </w:divBdr>
        </w:div>
        <w:div w:id="479352108">
          <w:marLeft w:val="0"/>
          <w:marRight w:val="0"/>
          <w:marTop w:val="0"/>
          <w:marBottom w:val="0"/>
          <w:divBdr>
            <w:top w:val="none" w:sz="0" w:space="0" w:color="auto"/>
            <w:left w:val="none" w:sz="0" w:space="0" w:color="auto"/>
            <w:bottom w:val="none" w:sz="0" w:space="0" w:color="auto"/>
            <w:right w:val="none" w:sz="0" w:space="0" w:color="auto"/>
          </w:divBdr>
        </w:div>
        <w:div w:id="236670178">
          <w:marLeft w:val="0"/>
          <w:marRight w:val="0"/>
          <w:marTop w:val="0"/>
          <w:marBottom w:val="0"/>
          <w:divBdr>
            <w:top w:val="none" w:sz="0" w:space="0" w:color="auto"/>
            <w:left w:val="none" w:sz="0" w:space="0" w:color="auto"/>
            <w:bottom w:val="none" w:sz="0" w:space="0" w:color="auto"/>
            <w:right w:val="none" w:sz="0" w:space="0" w:color="auto"/>
          </w:divBdr>
        </w:div>
        <w:div w:id="244075919">
          <w:marLeft w:val="0"/>
          <w:marRight w:val="0"/>
          <w:marTop w:val="0"/>
          <w:marBottom w:val="0"/>
          <w:divBdr>
            <w:top w:val="none" w:sz="0" w:space="0" w:color="auto"/>
            <w:left w:val="none" w:sz="0" w:space="0" w:color="auto"/>
            <w:bottom w:val="none" w:sz="0" w:space="0" w:color="auto"/>
            <w:right w:val="none" w:sz="0" w:space="0" w:color="auto"/>
          </w:divBdr>
        </w:div>
        <w:div w:id="279385935">
          <w:marLeft w:val="0"/>
          <w:marRight w:val="0"/>
          <w:marTop w:val="0"/>
          <w:marBottom w:val="0"/>
          <w:divBdr>
            <w:top w:val="none" w:sz="0" w:space="0" w:color="auto"/>
            <w:left w:val="none" w:sz="0" w:space="0" w:color="auto"/>
            <w:bottom w:val="none" w:sz="0" w:space="0" w:color="auto"/>
            <w:right w:val="none" w:sz="0" w:space="0" w:color="auto"/>
          </w:divBdr>
        </w:div>
        <w:div w:id="1344429709">
          <w:marLeft w:val="0"/>
          <w:marRight w:val="0"/>
          <w:marTop w:val="0"/>
          <w:marBottom w:val="0"/>
          <w:divBdr>
            <w:top w:val="none" w:sz="0" w:space="0" w:color="auto"/>
            <w:left w:val="none" w:sz="0" w:space="0" w:color="auto"/>
            <w:bottom w:val="none" w:sz="0" w:space="0" w:color="auto"/>
            <w:right w:val="none" w:sz="0" w:space="0" w:color="auto"/>
          </w:divBdr>
        </w:div>
        <w:div w:id="1522863468">
          <w:marLeft w:val="0"/>
          <w:marRight w:val="0"/>
          <w:marTop w:val="0"/>
          <w:marBottom w:val="0"/>
          <w:divBdr>
            <w:top w:val="none" w:sz="0" w:space="0" w:color="auto"/>
            <w:left w:val="none" w:sz="0" w:space="0" w:color="auto"/>
            <w:bottom w:val="none" w:sz="0" w:space="0" w:color="auto"/>
            <w:right w:val="none" w:sz="0" w:space="0" w:color="auto"/>
          </w:divBdr>
        </w:div>
        <w:div w:id="1867404097">
          <w:marLeft w:val="0"/>
          <w:marRight w:val="0"/>
          <w:marTop w:val="0"/>
          <w:marBottom w:val="0"/>
          <w:divBdr>
            <w:top w:val="none" w:sz="0" w:space="0" w:color="auto"/>
            <w:left w:val="none" w:sz="0" w:space="0" w:color="auto"/>
            <w:bottom w:val="none" w:sz="0" w:space="0" w:color="auto"/>
            <w:right w:val="none" w:sz="0" w:space="0" w:color="auto"/>
          </w:divBdr>
        </w:div>
        <w:div w:id="203753840">
          <w:marLeft w:val="0"/>
          <w:marRight w:val="0"/>
          <w:marTop w:val="0"/>
          <w:marBottom w:val="0"/>
          <w:divBdr>
            <w:top w:val="none" w:sz="0" w:space="0" w:color="auto"/>
            <w:left w:val="none" w:sz="0" w:space="0" w:color="auto"/>
            <w:bottom w:val="none" w:sz="0" w:space="0" w:color="auto"/>
            <w:right w:val="none" w:sz="0" w:space="0" w:color="auto"/>
          </w:divBdr>
        </w:div>
        <w:div w:id="680471281">
          <w:marLeft w:val="0"/>
          <w:marRight w:val="0"/>
          <w:marTop w:val="0"/>
          <w:marBottom w:val="0"/>
          <w:divBdr>
            <w:top w:val="none" w:sz="0" w:space="0" w:color="auto"/>
            <w:left w:val="none" w:sz="0" w:space="0" w:color="auto"/>
            <w:bottom w:val="none" w:sz="0" w:space="0" w:color="auto"/>
            <w:right w:val="none" w:sz="0" w:space="0" w:color="auto"/>
          </w:divBdr>
        </w:div>
        <w:div w:id="1954896512">
          <w:marLeft w:val="0"/>
          <w:marRight w:val="0"/>
          <w:marTop w:val="0"/>
          <w:marBottom w:val="0"/>
          <w:divBdr>
            <w:top w:val="none" w:sz="0" w:space="0" w:color="auto"/>
            <w:left w:val="none" w:sz="0" w:space="0" w:color="auto"/>
            <w:bottom w:val="none" w:sz="0" w:space="0" w:color="auto"/>
            <w:right w:val="none" w:sz="0" w:space="0" w:color="auto"/>
          </w:divBdr>
        </w:div>
      </w:divsChild>
    </w:div>
    <w:div w:id="1899902418">
      <w:bodyDiv w:val="1"/>
      <w:marLeft w:val="0"/>
      <w:marRight w:val="0"/>
      <w:marTop w:val="0"/>
      <w:marBottom w:val="0"/>
      <w:divBdr>
        <w:top w:val="none" w:sz="0" w:space="0" w:color="auto"/>
        <w:left w:val="none" w:sz="0" w:space="0" w:color="auto"/>
        <w:bottom w:val="none" w:sz="0" w:space="0" w:color="auto"/>
        <w:right w:val="none" w:sz="0" w:space="0" w:color="auto"/>
      </w:divBdr>
    </w:div>
    <w:div w:id="1977681888">
      <w:bodyDiv w:val="1"/>
      <w:marLeft w:val="0"/>
      <w:marRight w:val="0"/>
      <w:marTop w:val="0"/>
      <w:marBottom w:val="0"/>
      <w:divBdr>
        <w:top w:val="none" w:sz="0" w:space="0" w:color="auto"/>
        <w:left w:val="none" w:sz="0" w:space="0" w:color="auto"/>
        <w:bottom w:val="none" w:sz="0" w:space="0" w:color="auto"/>
        <w:right w:val="none" w:sz="0" w:space="0" w:color="auto"/>
      </w:divBdr>
      <w:divsChild>
        <w:div w:id="1143816523">
          <w:marLeft w:val="0"/>
          <w:marRight w:val="0"/>
          <w:marTop w:val="0"/>
          <w:marBottom w:val="0"/>
          <w:divBdr>
            <w:top w:val="none" w:sz="0" w:space="0" w:color="auto"/>
            <w:left w:val="none" w:sz="0" w:space="0" w:color="auto"/>
            <w:bottom w:val="none" w:sz="0" w:space="0" w:color="auto"/>
            <w:right w:val="none" w:sz="0" w:space="0" w:color="auto"/>
          </w:divBdr>
        </w:div>
        <w:div w:id="20254430">
          <w:marLeft w:val="0"/>
          <w:marRight w:val="0"/>
          <w:marTop w:val="0"/>
          <w:marBottom w:val="0"/>
          <w:divBdr>
            <w:top w:val="none" w:sz="0" w:space="0" w:color="auto"/>
            <w:left w:val="none" w:sz="0" w:space="0" w:color="auto"/>
            <w:bottom w:val="none" w:sz="0" w:space="0" w:color="auto"/>
            <w:right w:val="none" w:sz="0" w:space="0" w:color="auto"/>
          </w:divBdr>
        </w:div>
        <w:div w:id="1806120496">
          <w:marLeft w:val="0"/>
          <w:marRight w:val="0"/>
          <w:marTop w:val="0"/>
          <w:marBottom w:val="0"/>
          <w:divBdr>
            <w:top w:val="none" w:sz="0" w:space="0" w:color="auto"/>
            <w:left w:val="none" w:sz="0" w:space="0" w:color="auto"/>
            <w:bottom w:val="none" w:sz="0" w:space="0" w:color="auto"/>
            <w:right w:val="none" w:sz="0" w:space="0" w:color="auto"/>
          </w:divBdr>
        </w:div>
        <w:div w:id="1553036946">
          <w:marLeft w:val="0"/>
          <w:marRight w:val="0"/>
          <w:marTop w:val="0"/>
          <w:marBottom w:val="0"/>
          <w:divBdr>
            <w:top w:val="none" w:sz="0" w:space="0" w:color="auto"/>
            <w:left w:val="none" w:sz="0" w:space="0" w:color="auto"/>
            <w:bottom w:val="none" w:sz="0" w:space="0" w:color="auto"/>
            <w:right w:val="none" w:sz="0" w:space="0" w:color="auto"/>
          </w:divBdr>
        </w:div>
        <w:div w:id="1628970289">
          <w:marLeft w:val="0"/>
          <w:marRight w:val="0"/>
          <w:marTop w:val="0"/>
          <w:marBottom w:val="0"/>
          <w:divBdr>
            <w:top w:val="none" w:sz="0" w:space="0" w:color="auto"/>
            <w:left w:val="none" w:sz="0" w:space="0" w:color="auto"/>
            <w:bottom w:val="none" w:sz="0" w:space="0" w:color="auto"/>
            <w:right w:val="none" w:sz="0" w:space="0" w:color="auto"/>
          </w:divBdr>
        </w:div>
        <w:div w:id="30149914">
          <w:marLeft w:val="0"/>
          <w:marRight w:val="0"/>
          <w:marTop w:val="0"/>
          <w:marBottom w:val="0"/>
          <w:divBdr>
            <w:top w:val="none" w:sz="0" w:space="0" w:color="auto"/>
            <w:left w:val="none" w:sz="0" w:space="0" w:color="auto"/>
            <w:bottom w:val="none" w:sz="0" w:space="0" w:color="auto"/>
            <w:right w:val="none" w:sz="0" w:space="0" w:color="auto"/>
          </w:divBdr>
        </w:div>
        <w:div w:id="894270996">
          <w:marLeft w:val="0"/>
          <w:marRight w:val="0"/>
          <w:marTop w:val="0"/>
          <w:marBottom w:val="0"/>
          <w:divBdr>
            <w:top w:val="none" w:sz="0" w:space="0" w:color="auto"/>
            <w:left w:val="none" w:sz="0" w:space="0" w:color="auto"/>
            <w:bottom w:val="none" w:sz="0" w:space="0" w:color="auto"/>
            <w:right w:val="none" w:sz="0" w:space="0" w:color="auto"/>
          </w:divBdr>
        </w:div>
        <w:div w:id="1914703845">
          <w:marLeft w:val="0"/>
          <w:marRight w:val="0"/>
          <w:marTop w:val="0"/>
          <w:marBottom w:val="0"/>
          <w:divBdr>
            <w:top w:val="none" w:sz="0" w:space="0" w:color="auto"/>
            <w:left w:val="none" w:sz="0" w:space="0" w:color="auto"/>
            <w:bottom w:val="none" w:sz="0" w:space="0" w:color="auto"/>
            <w:right w:val="none" w:sz="0" w:space="0" w:color="auto"/>
          </w:divBdr>
        </w:div>
        <w:div w:id="1529373595">
          <w:marLeft w:val="0"/>
          <w:marRight w:val="0"/>
          <w:marTop w:val="0"/>
          <w:marBottom w:val="0"/>
          <w:divBdr>
            <w:top w:val="none" w:sz="0" w:space="0" w:color="auto"/>
            <w:left w:val="none" w:sz="0" w:space="0" w:color="auto"/>
            <w:bottom w:val="none" w:sz="0" w:space="0" w:color="auto"/>
            <w:right w:val="none" w:sz="0" w:space="0" w:color="auto"/>
          </w:divBdr>
        </w:div>
        <w:div w:id="1344432862">
          <w:marLeft w:val="0"/>
          <w:marRight w:val="0"/>
          <w:marTop w:val="0"/>
          <w:marBottom w:val="0"/>
          <w:divBdr>
            <w:top w:val="none" w:sz="0" w:space="0" w:color="auto"/>
            <w:left w:val="none" w:sz="0" w:space="0" w:color="auto"/>
            <w:bottom w:val="none" w:sz="0" w:space="0" w:color="auto"/>
            <w:right w:val="none" w:sz="0" w:space="0" w:color="auto"/>
          </w:divBdr>
        </w:div>
        <w:div w:id="1655716331">
          <w:marLeft w:val="0"/>
          <w:marRight w:val="0"/>
          <w:marTop w:val="0"/>
          <w:marBottom w:val="0"/>
          <w:divBdr>
            <w:top w:val="none" w:sz="0" w:space="0" w:color="auto"/>
            <w:left w:val="none" w:sz="0" w:space="0" w:color="auto"/>
            <w:bottom w:val="none" w:sz="0" w:space="0" w:color="auto"/>
            <w:right w:val="none" w:sz="0" w:space="0" w:color="auto"/>
          </w:divBdr>
        </w:div>
        <w:div w:id="1966158367">
          <w:marLeft w:val="0"/>
          <w:marRight w:val="0"/>
          <w:marTop w:val="0"/>
          <w:marBottom w:val="0"/>
          <w:divBdr>
            <w:top w:val="none" w:sz="0" w:space="0" w:color="auto"/>
            <w:left w:val="none" w:sz="0" w:space="0" w:color="auto"/>
            <w:bottom w:val="none" w:sz="0" w:space="0" w:color="auto"/>
            <w:right w:val="none" w:sz="0" w:space="0" w:color="auto"/>
          </w:divBdr>
        </w:div>
        <w:div w:id="1401634478">
          <w:marLeft w:val="0"/>
          <w:marRight w:val="0"/>
          <w:marTop w:val="0"/>
          <w:marBottom w:val="0"/>
          <w:divBdr>
            <w:top w:val="none" w:sz="0" w:space="0" w:color="auto"/>
            <w:left w:val="none" w:sz="0" w:space="0" w:color="auto"/>
            <w:bottom w:val="none" w:sz="0" w:space="0" w:color="auto"/>
            <w:right w:val="none" w:sz="0" w:space="0" w:color="auto"/>
          </w:divBdr>
        </w:div>
        <w:div w:id="641233795">
          <w:marLeft w:val="0"/>
          <w:marRight w:val="0"/>
          <w:marTop w:val="0"/>
          <w:marBottom w:val="0"/>
          <w:divBdr>
            <w:top w:val="none" w:sz="0" w:space="0" w:color="auto"/>
            <w:left w:val="none" w:sz="0" w:space="0" w:color="auto"/>
            <w:bottom w:val="none" w:sz="0" w:space="0" w:color="auto"/>
            <w:right w:val="none" w:sz="0" w:space="0" w:color="auto"/>
          </w:divBdr>
        </w:div>
        <w:div w:id="447894558">
          <w:marLeft w:val="0"/>
          <w:marRight w:val="0"/>
          <w:marTop w:val="0"/>
          <w:marBottom w:val="0"/>
          <w:divBdr>
            <w:top w:val="none" w:sz="0" w:space="0" w:color="auto"/>
            <w:left w:val="none" w:sz="0" w:space="0" w:color="auto"/>
            <w:bottom w:val="none" w:sz="0" w:space="0" w:color="auto"/>
            <w:right w:val="none" w:sz="0" w:space="0" w:color="auto"/>
          </w:divBdr>
        </w:div>
        <w:div w:id="567419156">
          <w:marLeft w:val="0"/>
          <w:marRight w:val="0"/>
          <w:marTop w:val="0"/>
          <w:marBottom w:val="0"/>
          <w:divBdr>
            <w:top w:val="none" w:sz="0" w:space="0" w:color="auto"/>
            <w:left w:val="none" w:sz="0" w:space="0" w:color="auto"/>
            <w:bottom w:val="none" w:sz="0" w:space="0" w:color="auto"/>
            <w:right w:val="none" w:sz="0" w:space="0" w:color="auto"/>
          </w:divBdr>
        </w:div>
        <w:div w:id="406266271">
          <w:marLeft w:val="0"/>
          <w:marRight w:val="0"/>
          <w:marTop w:val="0"/>
          <w:marBottom w:val="0"/>
          <w:divBdr>
            <w:top w:val="none" w:sz="0" w:space="0" w:color="auto"/>
            <w:left w:val="none" w:sz="0" w:space="0" w:color="auto"/>
            <w:bottom w:val="none" w:sz="0" w:space="0" w:color="auto"/>
            <w:right w:val="none" w:sz="0" w:space="0" w:color="auto"/>
          </w:divBdr>
        </w:div>
      </w:divsChild>
    </w:div>
    <w:div w:id="2016959719">
      <w:bodyDiv w:val="1"/>
      <w:marLeft w:val="0"/>
      <w:marRight w:val="0"/>
      <w:marTop w:val="0"/>
      <w:marBottom w:val="0"/>
      <w:divBdr>
        <w:top w:val="none" w:sz="0" w:space="0" w:color="auto"/>
        <w:left w:val="none" w:sz="0" w:space="0" w:color="auto"/>
        <w:bottom w:val="none" w:sz="0" w:space="0" w:color="auto"/>
        <w:right w:val="none" w:sz="0" w:space="0" w:color="auto"/>
      </w:divBdr>
    </w:div>
    <w:div w:id="2027168883">
      <w:bodyDiv w:val="1"/>
      <w:marLeft w:val="0"/>
      <w:marRight w:val="0"/>
      <w:marTop w:val="0"/>
      <w:marBottom w:val="0"/>
      <w:divBdr>
        <w:top w:val="none" w:sz="0" w:space="0" w:color="auto"/>
        <w:left w:val="none" w:sz="0" w:space="0" w:color="auto"/>
        <w:bottom w:val="none" w:sz="0" w:space="0" w:color="auto"/>
        <w:right w:val="none" w:sz="0" w:space="0" w:color="auto"/>
      </w:divBdr>
    </w:div>
    <w:div w:id="2038192174">
      <w:bodyDiv w:val="1"/>
      <w:marLeft w:val="0"/>
      <w:marRight w:val="0"/>
      <w:marTop w:val="0"/>
      <w:marBottom w:val="0"/>
      <w:divBdr>
        <w:top w:val="none" w:sz="0" w:space="0" w:color="auto"/>
        <w:left w:val="none" w:sz="0" w:space="0" w:color="auto"/>
        <w:bottom w:val="none" w:sz="0" w:space="0" w:color="auto"/>
        <w:right w:val="none" w:sz="0" w:space="0" w:color="auto"/>
      </w:divBdr>
      <w:divsChild>
        <w:div w:id="979111155">
          <w:marLeft w:val="0"/>
          <w:marRight w:val="0"/>
          <w:marTop w:val="0"/>
          <w:marBottom w:val="0"/>
          <w:divBdr>
            <w:top w:val="none" w:sz="0" w:space="0" w:color="auto"/>
            <w:left w:val="none" w:sz="0" w:space="0" w:color="auto"/>
            <w:bottom w:val="none" w:sz="0" w:space="0" w:color="auto"/>
            <w:right w:val="none" w:sz="0" w:space="0" w:color="auto"/>
          </w:divBdr>
        </w:div>
        <w:div w:id="1155338120">
          <w:marLeft w:val="0"/>
          <w:marRight w:val="0"/>
          <w:marTop w:val="0"/>
          <w:marBottom w:val="0"/>
          <w:divBdr>
            <w:top w:val="none" w:sz="0" w:space="0" w:color="auto"/>
            <w:left w:val="none" w:sz="0" w:space="0" w:color="auto"/>
            <w:bottom w:val="none" w:sz="0" w:space="0" w:color="auto"/>
            <w:right w:val="none" w:sz="0" w:space="0" w:color="auto"/>
          </w:divBdr>
        </w:div>
        <w:div w:id="1806970536">
          <w:marLeft w:val="0"/>
          <w:marRight w:val="0"/>
          <w:marTop w:val="0"/>
          <w:marBottom w:val="0"/>
          <w:divBdr>
            <w:top w:val="none" w:sz="0" w:space="0" w:color="auto"/>
            <w:left w:val="none" w:sz="0" w:space="0" w:color="auto"/>
            <w:bottom w:val="none" w:sz="0" w:space="0" w:color="auto"/>
            <w:right w:val="none" w:sz="0" w:space="0" w:color="auto"/>
          </w:divBdr>
        </w:div>
      </w:divsChild>
    </w:div>
    <w:div w:id="2043094261">
      <w:bodyDiv w:val="1"/>
      <w:marLeft w:val="0"/>
      <w:marRight w:val="0"/>
      <w:marTop w:val="0"/>
      <w:marBottom w:val="0"/>
      <w:divBdr>
        <w:top w:val="none" w:sz="0" w:space="0" w:color="auto"/>
        <w:left w:val="none" w:sz="0" w:space="0" w:color="auto"/>
        <w:bottom w:val="none" w:sz="0" w:space="0" w:color="auto"/>
        <w:right w:val="none" w:sz="0" w:space="0" w:color="auto"/>
      </w:divBdr>
    </w:div>
    <w:div w:id="2058578527">
      <w:bodyDiv w:val="1"/>
      <w:marLeft w:val="0"/>
      <w:marRight w:val="0"/>
      <w:marTop w:val="0"/>
      <w:marBottom w:val="0"/>
      <w:divBdr>
        <w:top w:val="none" w:sz="0" w:space="0" w:color="auto"/>
        <w:left w:val="none" w:sz="0" w:space="0" w:color="auto"/>
        <w:bottom w:val="none" w:sz="0" w:space="0" w:color="auto"/>
        <w:right w:val="none" w:sz="0" w:space="0" w:color="auto"/>
      </w:divBdr>
      <w:divsChild>
        <w:div w:id="413821921">
          <w:marLeft w:val="0"/>
          <w:marRight w:val="0"/>
          <w:marTop w:val="0"/>
          <w:marBottom w:val="0"/>
          <w:divBdr>
            <w:top w:val="none" w:sz="0" w:space="0" w:color="auto"/>
            <w:left w:val="none" w:sz="0" w:space="0" w:color="auto"/>
            <w:bottom w:val="none" w:sz="0" w:space="0" w:color="auto"/>
            <w:right w:val="none" w:sz="0" w:space="0" w:color="auto"/>
          </w:divBdr>
        </w:div>
        <w:div w:id="1128666676">
          <w:marLeft w:val="0"/>
          <w:marRight w:val="0"/>
          <w:marTop w:val="0"/>
          <w:marBottom w:val="0"/>
          <w:divBdr>
            <w:top w:val="none" w:sz="0" w:space="0" w:color="auto"/>
            <w:left w:val="none" w:sz="0" w:space="0" w:color="auto"/>
            <w:bottom w:val="none" w:sz="0" w:space="0" w:color="auto"/>
            <w:right w:val="none" w:sz="0" w:space="0" w:color="auto"/>
          </w:divBdr>
        </w:div>
        <w:div w:id="1477643458">
          <w:marLeft w:val="0"/>
          <w:marRight w:val="0"/>
          <w:marTop w:val="0"/>
          <w:marBottom w:val="0"/>
          <w:divBdr>
            <w:top w:val="none" w:sz="0" w:space="0" w:color="auto"/>
            <w:left w:val="none" w:sz="0" w:space="0" w:color="auto"/>
            <w:bottom w:val="none" w:sz="0" w:space="0" w:color="auto"/>
            <w:right w:val="none" w:sz="0" w:space="0" w:color="auto"/>
          </w:divBdr>
        </w:div>
        <w:div w:id="54160445">
          <w:marLeft w:val="0"/>
          <w:marRight w:val="0"/>
          <w:marTop w:val="0"/>
          <w:marBottom w:val="0"/>
          <w:divBdr>
            <w:top w:val="none" w:sz="0" w:space="0" w:color="auto"/>
            <w:left w:val="none" w:sz="0" w:space="0" w:color="auto"/>
            <w:bottom w:val="none" w:sz="0" w:space="0" w:color="auto"/>
            <w:right w:val="none" w:sz="0" w:space="0" w:color="auto"/>
          </w:divBdr>
        </w:div>
        <w:div w:id="2136606126">
          <w:marLeft w:val="0"/>
          <w:marRight w:val="0"/>
          <w:marTop w:val="0"/>
          <w:marBottom w:val="0"/>
          <w:divBdr>
            <w:top w:val="none" w:sz="0" w:space="0" w:color="auto"/>
            <w:left w:val="none" w:sz="0" w:space="0" w:color="auto"/>
            <w:bottom w:val="none" w:sz="0" w:space="0" w:color="auto"/>
            <w:right w:val="none" w:sz="0" w:space="0" w:color="auto"/>
          </w:divBdr>
        </w:div>
        <w:div w:id="1749616757">
          <w:marLeft w:val="0"/>
          <w:marRight w:val="0"/>
          <w:marTop w:val="0"/>
          <w:marBottom w:val="0"/>
          <w:divBdr>
            <w:top w:val="none" w:sz="0" w:space="0" w:color="auto"/>
            <w:left w:val="none" w:sz="0" w:space="0" w:color="auto"/>
            <w:bottom w:val="none" w:sz="0" w:space="0" w:color="auto"/>
            <w:right w:val="none" w:sz="0" w:space="0" w:color="auto"/>
          </w:divBdr>
        </w:div>
        <w:div w:id="2043900715">
          <w:marLeft w:val="0"/>
          <w:marRight w:val="0"/>
          <w:marTop w:val="0"/>
          <w:marBottom w:val="0"/>
          <w:divBdr>
            <w:top w:val="none" w:sz="0" w:space="0" w:color="auto"/>
            <w:left w:val="none" w:sz="0" w:space="0" w:color="auto"/>
            <w:bottom w:val="none" w:sz="0" w:space="0" w:color="auto"/>
            <w:right w:val="none" w:sz="0" w:space="0" w:color="auto"/>
          </w:divBdr>
        </w:div>
        <w:div w:id="1773937904">
          <w:marLeft w:val="0"/>
          <w:marRight w:val="0"/>
          <w:marTop w:val="0"/>
          <w:marBottom w:val="0"/>
          <w:divBdr>
            <w:top w:val="none" w:sz="0" w:space="0" w:color="auto"/>
            <w:left w:val="none" w:sz="0" w:space="0" w:color="auto"/>
            <w:bottom w:val="none" w:sz="0" w:space="0" w:color="auto"/>
            <w:right w:val="none" w:sz="0" w:space="0" w:color="auto"/>
          </w:divBdr>
        </w:div>
        <w:div w:id="735204254">
          <w:marLeft w:val="0"/>
          <w:marRight w:val="0"/>
          <w:marTop w:val="0"/>
          <w:marBottom w:val="0"/>
          <w:divBdr>
            <w:top w:val="none" w:sz="0" w:space="0" w:color="auto"/>
            <w:left w:val="none" w:sz="0" w:space="0" w:color="auto"/>
            <w:bottom w:val="none" w:sz="0" w:space="0" w:color="auto"/>
            <w:right w:val="none" w:sz="0" w:space="0" w:color="auto"/>
          </w:divBdr>
        </w:div>
      </w:divsChild>
    </w:div>
    <w:div w:id="2065710869">
      <w:bodyDiv w:val="1"/>
      <w:marLeft w:val="0"/>
      <w:marRight w:val="0"/>
      <w:marTop w:val="0"/>
      <w:marBottom w:val="0"/>
      <w:divBdr>
        <w:top w:val="none" w:sz="0" w:space="0" w:color="auto"/>
        <w:left w:val="none" w:sz="0" w:space="0" w:color="auto"/>
        <w:bottom w:val="none" w:sz="0" w:space="0" w:color="auto"/>
        <w:right w:val="none" w:sz="0" w:space="0" w:color="auto"/>
      </w:divBdr>
      <w:divsChild>
        <w:div w:id="1942294682">
          <w:marLeft w:val="0"/>
          <w:marRight w:val="0"/>
          <w:marTop w:val="0"/>
          <w:marBottom w:val="0"/>
          <w:divBdr>
            <w:top w:val="none" w:sz="0" w:space="0" w:color="auto"/>
            <w:left w:val="none" w:sz="0" w:space="0" w:color="auto"/>
            <w:bottom w:val="none" w:sz="0" w:space="0" w:color="auto"/>
            <w:right w:val="none" w:sz="0" w:space="0" w:color="auto"/>
          </w:divBdr>
        </w:div>
        <w:div w:id="1919169219">
          <w:marLeft w:val="0"/>
          <w:marRight w:val="0"/>
          <w:marTop w:val="0"/>
          <w:marBottom w:val="0"/>
          <w:divBdr>
            <w:top w:val="none" w:sz="0" w:space="0" w:color="auto"/>
            <w:left w:val="none" w:sz="0" w:space="0" w:color="auto"/>
            <w:bottom w:val="none" w:sz="0" w:space="0" w:color="auto"/>
            <w:right w:val="none" w:sz="0" w:space="0" w:color="auto"/>
          </w:divBdr>
        </w:div>
      </w:divsChild>
    </w:div>
    <w:div w:id="2079009521">
      <w:bodyDiv w:val="1"/>
      <w:marLeft w:val="0"/>
      <w:marRight w:val="0"/>
      <w:marTop w:val="0"/>
      <w:marBottom w:val="0"/>
      <w:divBdr>
        <w:top w:val="none" w:sz="0" w:space="0" w:color="auto"/>
        <w:left w:val="none" w:sz="0" w:space="0" w:color="auto"/>
        <w:bottom w:val="none" w:sz="0" w:space="0" w:color="auto"/>
        <w:right w:val="none" w:sz="0" w:space="0" w:color="auto"/>
      </w:divBdr>
    </w:div>
    <w:div w:id="2081563540">
      <w:bodyDiv w:val="1"/>
      <w:marLeft w:val="0"/>
      <w:marRight w:val="0"/>
      <w:marTop w:val="0"/>
      <w:marBottom w:val="0"/>
      <w:divBdr>
        <w:top w:val="none" w:sz="0" w:space="0" w:color="auto"/>
        <w:left w:val="none" w:sz="0" w:space="0" w:color="auto"/>
        <w:bottom w:val="none" w:sz="0" w:space="0" w:color="auto"/>
        <w:right w:val="none" w:sz="0" w:space="0" w:color="auto"/>
      </w:divBdr>
    </w:div>
    <w:div w:id="210345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chart" Target="charts/chart5.xml"/><Relationship Id="rId26" Type="http://schemas.openxmlformats.org/officeDocument/2006/relationships/chart" Target="charts/chart13.xml"/><Relationship Id="rId39" Type="http://schemas.openxmlformats.org/officeDocument/2006/relationships/chart" Target="charts/chart23.xml"/><Relationship Id="rId21" Type="http://schemas.openxmlformats.org/officeDocument/2006/relationships/chart" Target="charts/chart8.xml"/><Relationship Id="rId34" Type="http://schemas.openxmlformats.org/officeDocument/2006/relationships/chart" Target="charts/chart18.xml"/><Relationship Id="rId42" Type="http://schemas.openxmlformats.org/officeDocument/2006/relationships/chart" Target="charts/chart26.xml"/><Relationship Id="rId47" Type="http://schemas.openxmlformats.org/officeDocument/2006/relationships/chart" Target="charts/chart31.xml"/><Relationship Id="rId50" Type="http://schemas.openxmlformats.org/officeDocument/2006/relationships/image" Target="media/image5.png"/><Relationship Id="rId55" Type="http://schemas.openxmlformats.org/officeDocument/2006/relationships/chart" Target="charts/chart36.xml"/><Relationship Id="rId63" Type="http://schemas.openxmlformats.org/officeDocument/2006/relationships/chart" Target="charts/chart44.xml"/><Relationship Id="rId68" Type="http://schemas.openxmlformats.org/officeDocument/2006/relationships/chart" Target="charts/chart46.xml"/><Relationship Id="rId76" Type="http://schemas.openxmlformats.org/officeDocument/2006/relationships/chart" Target="charts/chart54.xml"/><Relationship Id="rId84" Type="http://schemas.openxmlformats.org/officeDocument/2006/relationships/chart" Target="charts/chart62.xml"/><Relationship Id="rId7" Type="http://schemas.openxmlformats.org/officeDocument/2006/relationships/webSettings" Target="webSettings.xml"/><Relationship Id="rId71" Type="http://schemas.openxmlformats.org/officeDocument/2006/relationships/chart" Target="charts/chart49.xml"/><Relationship Id="rId2" Type="http://schemas.openxmlformats.org/officeDocument/2006/relationships/customXml" Target="../customXml/item2.xml"/><Relationship Id="rId16" Type="http://schemas.openxmlformats.org/officeDocument/2006/relationships/chart" Target="charts/chart3.xml"/><Relationship Id="rId29" Type="http://schemas.openxmlformats.org/officeDocument/2006/relationships/chart" Target="charts/chart16.xml"/><Relationship Id="rId11" Type="http://schemas.openxmlformats.org/officeDocument/2006/relationships/image" Target="media/image2.png"/><Relationship Id="rId24" Type="http://schemas.openxmlformats.org/officeDocument/2006/relationships/chart" Target="charts/chart11.xml"/><Relationship Id="rId32" Type="http://schemas.openxmlformats.org/officeDocument/2006/relationships/hyperlink" Target="https://es.wikipedia.org/wiki/Ciclo_del_agua" TargetMode="External"/><Relationship Id="rId37" Type="http://schemas.openxmlformats.org/officeDocument/2006/relationships/chart" Target="charts/chart21.xml"/><Relationship Id="rId40" Type="http://schemas.openxmlformats.org/officeDocument/2006/relationships/chart" Target="charts/chart24.xml"/><Relationship Id="rId45" Type="http://schemas.openxmlformats.org/officeDocument/2006/relationships/chart" Target="charts/chart29.xml"/><Relationship Id="rId53" Type="http://schemas.openxmlformats.org/officeDocument/2006/relationships/chart" Target="charts/chart34.xml"/><Relationship Id="rId58" Type="http://schemas.openxmlformats.org/officeDocument/2006/relationships/chart" Target="charts/chart39.xml"/><Relationship Id="rId66" Type="http://schemas.openxmlformats.org/officeDocument/2006/relationships/image" Target="media/image10.png"/><Relationship Id="rId74" Type="http://schemas.openxmlformats.org/officeDocument/2006/relationships/chart" Target="charts/chart52.xml"/><Relationship Id="rId79" Type="http://schemas.openxmlformats.org/officeDocument/2006/relationships/chart" Target="charts/chart57.xml"/><Relationship Id="rId87" Type="http://schemas.openxmlformats.org/officeDocument/2006/relationships/fontTable" Target="fontTable.xml"/><Relationship Id="rId5" Type="http://schemas.microsoft.com/office/2007/relationships/stylesWithEffects" Target="stylesWithEffects.xml"/><Relationship Id="rId61" Type="http://schemas.openxmlformats.org/officeDocument/2006/relationships/chart" Target="charts/chart42.xml"/><Relationship Id="rId82" Type="http://schemas.openxmlformats.org/officeDocument/2006/relationships/chart" Target="charts/chart60.xml"/><Relationship Id="rId90" Type="http://schemas.microsoft.com/office/2011/relationships/commentsExtended" Target="commentsExtended.xml"/><Relationship Id="rId19" Type="http://schemas.openxmlformats.org/officeDocument/2006/relationships/chart" Target="charts/chart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chart" Target="charts/chart14.xml"/><Relationship Id="rId30" Type="http://schemas.openxmlformats.org/officeDocument/2006/relationships/hyperlink" Target="https://es.wikipedia.org/wiki/Recurso_renovable" TargetMode="External"/><Relationship Id="rId35" Type="http://schemas.openxmlformats.org/officeDocument/2006/relationships/chart" Target="charts/chart19.xml"/><Relationship Id="rId43" Type="http://schemas.openxmlformats.org/officeDocument/2006/relationships/chart" Target="charts/chart27.xml"/><Relationship Id="rId48" Type="http://schemas.openxmlformats.org/officeDocument/2006/relationships/chart" Target="charts/chart32.xml"/><Relationship Id="rId56" Type="http://schemas.openxmlformats.org/officeDocument/2006/relationships/chart" Target="charts/chart37.xml"/><Relationship Id="rId64" Type="http://schemas.openxmlformats.org/officeDocument/2006/relationships/image" Target="media/image8.emf"/><Relationship Id="rId69" Type="http://schemas.openxmlformats.org/officeDocument/2006/relationships/chart" Target="charts/chart47.xml"/><Relationship Id="rId77" Type="http://schemas.openxmlformats.org/officeDocument/2006/relationships/chart" Target="charts/chart55.xml"/><Relationship Id="rId8" Type="http://schemas.openxmlformats.org/officeDocument/2006/relationships/footnotes" Target="footnotes.xml"/><Relationship Id="rId51" Type="http://schemas.openxmlformats.org/officeDocument/2006/relationships/image" Target="media/image6.png"/><Relationship Id="rId72" Type="http://schemas.openxmlformats.org/officeDocument/2006/relationships/chart" Target="charts/chart50.xml"/><Relationship Id="rId80" Type="http://schemas.openxmlformats.org/officeDocument/2006/relationships/chart" Target="charts/chart58.xml"/><Relationship Id="rId85" Type="http://schemas.openxmlformats.org/officeDocument/2006/relationships/footer" Target="footer1.xml"/><Relationship Id="rId3" Type="http://schemas.openxmlformats.org/officeDocument/2006/relationships/numbering" Target="numbering.xml"/><Relationship Id="rId12" Type="http://schemas.openxmlformats.org/officeDocument/2006/relationships/image" Target="media/image3.jpeg"/><Relationship Id="rId17" Type="http://schemas.openxmlformats.org/officeDocument/2006/relationships/chart" Target="charts/chart4.xml"/><Relationship Id="rId25" Type="http://schemas.openxmlformats.org/officeDocument/2006/relationships/chart" Target="charts/chart12.xml"/><Relationship Id="rId33" Type="http://schemas.openxmlformats.org/officeDocument/2006/relationships/chart" Target="charts/chart17.xml"/><Relationship Id="rId38" Type="http://schemas.openxmlformats.org/officeDocument/2006/relationships/chart" Target="charts/chart22.xml"/><Relationship Id="rId46" Type="http://schemas.openxmlformats.org/officeDocument/2006/relationships/chart" Target="charts/chart30.xml"/><Relationship Id="rId59" Type="http://schemas.openxmlformats.org/officeDocument/2006/relationships/chart" Target="charts/chart40.xml"/><Relationship Id="rId67" Type="http://schemas.openxmlformats.org/officeDocument/2006/relationships/chart" Target="charts/chart45.xml"/><Relationship Id="rId20" Type="http://schemas.openxmlformats.org/officeDocument/2006/relationships/chart" Target="charts/chart7.xml"/><Relationship Id="rId41" Type="http://schemas.openxmlformats.org/officeDocument/2006/relationships/chart" Target="charts/chart25.xml"/><Relationship Id="rId54" Type="http://schemas.openxmlformats.org/officeDocument/2006/relationships/chart" Target="charts/chart35.xml"/><Relationship Id="rId62" Type="http://schemas.openxmlformats.org/officeDocument/2006/relationships/chart" Target="charts/chart43.xml"/><Relationship Id="rId70" Type="http://schemas.openxmlformats.org/officeDocument/2006/relationships/chart" Target="charts/chart48.xml"/><Relationship Id="rId75" Type="http://schemas.openxmlformats.org/officeDocument/2006/relationships/chart" Target="charts/chart53.xml"/><Relationship Id="rId83" Type="http://schemas.openxmlformats.org/officeDocument/2006/relationships/chart" Target="charts/chart61.xml"/><Relationship Id="rId88" Type="http://schemas.openxmlformats.org/officeDocument/2006/relationships/theme" Target="theme/theme1.xml"/><Relationship Id="rId91"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hart" Target="charts/chart15.xml"/><Relationship Id="rId36" Type="http://schemas.openxmlformats.org/officeDocument/2006/relationships/chart" Target="charts/chart20.xml"/><Relationship Id="rId49" Type="http://schemas.openxmlformats.org/officeDocument/2006/relationships/chart" Target="charts/chart33.xml"/><Relationship Id="rId57" Type="http://schemas.openxmlformats.org/officeDocument/2006/relationships/chart" Target="charts/chart38.xml"/><Relationship Id="rId10" Type="http://schemas.openxmlformats.org/officeDocument/2006/relationships/image" Target="media/image1.jpeg"/><Relationship Id="rId31" Type="http://schemas.openxmlformats.org/officeDocument/2006/relationships/hyperlink" Target="https://es.wikipedia.org/wiki/Ecosistema" TargetMode="External"/><Relationship Id="rId44" Type="http://schemas.openxmlformats.org/officeDocument/2006/relationships/chart" Target="charts/chart28.xml"/><Relationship Id="rId52" Type="http://schemas.openxmlformats.org/officeDocument/2006/relationships/image" Target="media/image7.png"/><Relationship Id="rId60" Type="http://schemas.openxmlformats.org/officeDocument/2006/relationships/chart" Target="charts/chart41.xml"/><Relationship Id="rId65" Type="http://schemas.openxmlformats.org/officeDocument/2006/relationships/image" Target="media/image9.png"/><Relationship Id="rId73" Type="http://schemas.openxmlformats.org/officeDocument/2006/relationships/chart" Target="charts/chart51.xml"/><Relationship Id="rId78" Type="http://schemas.openxmlformats.org/officeDocument/2006/relationships/chart" Target="charts/chart56.xml"/><Relationship Id="rId81" Type="http://schemas.openxmlformats.org/officeDocument/2006/relationships/chart" Target="charts/chart59.xml"/><Relationship Id="rId86"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Ivonne%20Cartes\Desktop\INFORME_FINAL_APL\TABULACI&#211;N_CENTROS_V1.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39.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40.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41.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42.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43.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44.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45.xml.rels><?xml version="1.0" encoding="UTF-8" standalone="yes"?>
<Relationships xmlns="http://schemas.openxmlformats.org/package/2006/relationships"><Relationship Id="rId1" Type="http://schemas.openxmlformats.org/officeDocument/2006/relationships/oleObject" Target="file:///C:\Users\Ivonne%20Cartes\Desktop\INFORME_FINAL_APL\EFICIENCIA_ENERG&#201;TICA_CENTROS_Javier.xlsx" TargetMode="External"/></Relationships>
</file>

<file path=word/charts/_rels/chart46.xml.rels><?xml version="1.0" encoding="UTF-8" standalone="yes"?>
<Relationships xmlns="http://schemas.openxmlformats.org/package/2006/relationships"><Relationship Id="rId1" Type="http://schemas.openxmlformats.org/officeDocument/2006/relationships/oleObject" Target="file:///C:\Users\Ivonne%20Cartes\Desktop\INFORME_FINAL_APL\EFICIENCIA_ENERG&#201;TICA_CENTROS_Javier.xlsx" TargetMode="External"/></Relationships>
</file>

<file path=word/charts/_rels/chart47.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48.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49.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50.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51.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52.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53.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54.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55.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56.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57.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58.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59.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60.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61.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62.xml.rels><?xml version="1.0" encoding="UTF-8" standalone="yes"?>
<Relationships xmlns="http://schemas.openxmlformats.org/package/2006/relationships"><Relationship Id="rId1" Type="http://schemas.openxmlformats.org/officeDocument/2006/relationships/oleObject" Target="file:///C:\Users\Ivonne%20Cartes\Desktop\CENTRO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Ivonne%20Cartes\Desktop\INFORME_FINAL_APL\TABULACI&#211;N_CENTROS_V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lrMapOvr bg1="lt1" tx1="dk1" bg2="lt2" tx2="dk2" accent1="accent1" accent2="accent2" accent3="accent3" accent4="accent4" accent5="accent5" accent6="accent6" hlink="hlink" folHlink="folHlink"/>
  <c:chart>
    <c:title>
      <c:tx>
        <c:rich>
          <a:bodyPr/>
          <a:lstStyle/>
          <a:p>
            <a:pPr>
              <a:defRPr sz="1000"/>
            </a:pPr>
            <a:r>
              <a:rPr lang="en-US" sz="1000"/>
              <a:t>Antigüedad promedio centros de cultivo </a:t>
            </a:r>
            <a:r>
              <a:rPr lang="en-US" sz="1000" baseline="0"/>
              <a:t>PYME y Grande </a:t>
            </a:r>
            <a:endParaRPr lang="en-US" sz="1000"/>
          </a:p>
        </c:rich>
      </c:tx>
      <c:layout>
        <c:manualLayout>
          <c:xMode val="edge"/>
          <c:yMode val="edge"/>
          <c:x val="0.11864588801399825"/>
          <c:y val="2.7777777777777776E-2"/>
        </c:manualLayout>
      </c:layout>
      <c:overlay val="0"/>
    </c:title>
    <c:autoTitleDeleted val="0"/>
    <c:plotArea>
      <c:layout/>
      <c:pieChart>
        <c:varyColors val="1"/>
        <c:ser>
          <c:idx val="0"/>
          <c:order val="0"/>
          <c:tx>
            <c:strRef>
              <c:f>Clasificación!$C$55</c:f>
              <c:strCache>
                <c:ptCount val="1"/>
                <c:pt idx="0">
                  <c:v>Antigüedad promedio</c:v>
                </c:pt>
              </c:strCache>
            </c:strRef>
          </c:tx>
          <c:dLbls>
            <c:txPr>
              <a:bodyPr/>
              <a:lstStyle/>
              <a:p>
                <a:pPr>
                  <a:defRPr sz="800"/>
                </a:pPr>
                <a:endParaRPr lang="es-CL"/>
              </a:p>
            </c:txPr>
            <c:showLegendKey val="0"/>
            <c:showVal val="1"/>
            <c:showCatName val="0"/>
            <c:showSerName val="0"/>
            <c:showPercent val="0"/>
            <c:showBubbleSize val="0"/>
            <c:showLeaderLines val="1"/>
          </c:dLbls>
          <c:cat>
            <c:strRef>
              <c:f>Clasificación!$D$54:$E$54</c:f>
              <c:strCache>
                <c:ptCount val="2"/>
                <c:pt idx="0">
                  <c:v>PYME</c:v>
                </c:pt>
                <c:pt idx="1">
                  <c:v>Grande</c:v>
                </c:pt>
              </c:strCache>
            </c:strRef>
          </c:cat>
          <c:val>
            <c:numRef>
              <c:f>Clasificación!$D$55:$E$55</c:f>
              <c:numCache>
                <c:formatCode>0.0</c:formatCode>
                <c:ptCount val="2"/>
                <c:pt idx="0" formatCode="General">
                  <c:v>17.3</c:v>
                </c:pt>
                <c:pt idx="1">
                  <c:v>14.5</c:v>
                </c:pt>
              </c:numCache>
            </c:numRef>
          </c:val>
        </c:ser>
        <c:dLbls>
          <c:showLegendKey val="0"/>
          <c:showVal val="0"/>
          <c:showCatName val="0"/>
          <c:showSerName val="0"/>
          <c:showPercent val="0"/>
          <c:showBubbleSize val="0"/>
          <c:showLeaderLines val="1"/>
        </c:dLbls>
        <c:firstSliceAng val="0"/>
      </c:pieChart>
    </c:plotArea>
    <c:legend>
      <c:legendPos val="r"/>
      <c:overlay val="0"/>
      <c:txPr>
        <a:bodyPr/>
        <a:lstStyle/>
        <a:p>
          <a:pPr>
            <a:defRPr sz="800"/>
          </a:pPr>
          <a:endParaRPr lang="es-CL"/>
        </a:p>
      </c:txPr>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 PYME:  Porcentaje de empresas que información sobre nivel de escolaridad (%)</a:t>
            </a:r>
          </a:p>
        </c:rich>
      </c:tx>
      <c:layout>
        <c:manualLayout>
          <c:xMode val="edge"/>
          <c:yMode val="edge"/>
          <c:x val="0.13647799531984542"/>
          <c:y val="1.6744183593600647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11148497727798719"/>
          <c:y val="0.38020503494524299"/>
          <c:w val="0.73411958972376057"/>
          <c:h val="0.52225631065581368"/>
        </c:manualLayout>
      </c:layout>
      <c:pie3DChart>
        <c:varyColors val="1"/>
        <c:ser>
          <c:idx val="0"/>
          <c:order val="0"/>
          <c:tx>
            <c:strRef>
              <c:f>'RRHH   (2)'!$D$67</c:f>
              <c:strCache>
                <c:ptCount val="1"/>
                <c:pt idx="0">
                  <c:v>PYME</c:v>
                </c:pt>
              </c:strCache>
            </c:strRef>
          </c:tx>
          <c:dLbls>
            <c:dLbl>
              <c:idx val="0"/>
              <c:layout>
                <c:manualLayout>
                  <c:x val="3.0312831190133099E-2"/>
                  <c:y val="-0.24193124883029529"/>
                </c:manualLayout>
              </c:layout>
              <c:showLegendKey val="0"/>
              <c:showVal val="1"/>
              <c:showCatName val="1"/>
              <c:showSerName val="0"/>
              <c:showPercent val="1"/>
              <c:showBubbleSize val="0"/>
            </c:dLbl>
            <c:dLbl>
              <c:idx val="1"/>
              <c:layout>
                <c:manualLayout>
                  <c:x val="2.6594632146642174E-2"/>
                  <c:y val="-2.9429537918917233E-2"/>
                </c:manualLayout>
              </c:layout>
              <c:showLegendKey val="0"/>
              <c:showVal val="1"/>
              <c:showCatName val="1"/>
              <c:showSerName val="0"/>
              <c:showPercent val="1"/>
              <c:showBubbleSize val="0"/>
            </c:dLbl>
            <c:txPr>
              <a:bodyPr/>
              <a:lstStyle/>
              <a:p>
                <a:pPr>
                  <a:defRPr sz="700"/>
                </a:pPr>
                <a:endParaRPr lang="es-CL"/>
              </a:p>
            </c:txPr>
            <c:showLegendKey val="0"/>
            <c:showVal val="1"/>
            <c:showCatName val="1"/>
            <c:showSerName val="0"/>
            <c:showPercent val="1"/>
            <c:showBubbleSize val="0"/>
            <c:showLeaderLines val="1"/>
          </c:dLbls>
          <c:cat>
            <c:strRef>
              <c:f>'RRHH   (2)'!$C$68:$C$69</c:f>
              <c:strCache>
                <c:ptCount val="2"/>
                <c:pt idx="0">
                  <c:v>Si</c:v>
                </c:pt>
                <c:pt idx="1">
                  <c:v>No</c:v>
                </c:pt>
              </c:strCache>
            </c:strRef>
          </c:cat>
          <c:val>
            <c:numRef>
              <c:f>'RRHH   (2)'!$D$68:$D$69</c:f>
              <c:numCache>
                <c:formatCode>General</c:formatCode>
                <c:ptCount val="2"/>
                <c:pt idx="0">
                  <c:v>13</c:v>
                </c:pt>
                <c:pt idx="1">
                  <c:v>0</c:v>
                </c:pt>
              </c:numCache>
            </c:numRef>
          </c:val>
        </c:ser>
        <c:dLbls>
          <c:showLegendKey val="0"/>
          <c:showVal val="0"/>
          <c:showCatName val="0"/>
          <c:showSerName val="0"/>
          <c:showPercent val="0"/>
          <c:showBubbleSize val="0"/>
          <c:showLeaderLines val="1"/>
        </c:dLbls>
      </c:pie3DChart>
    </c:plotArea>
    <c:plotVisOnly val="1"/>
    <c:dispBlanksAs val="gap"/>
    <c:showDLblsOverMax val="0"/>
  </c:chart>
  <c:txPr>
    <a:bodyPr/>
    <a:lstStyle/>
    <a:p>
      <a:pPr>
        <a:defRPr sz="900"/>
      </a:pPr>
      <a:endParaRPr lang="es-CL"/>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ES" sz="800"/>
              <a:t>PYME:  Porcentaje de Nivel de Educación (%)</a:t>
            </a:r>
          </a:p>
        </c:rich>
      </c:tx>
      <c:layout>
        <c:manualLayout>
          <c:xMode val="edge"/>
          <c:yMode val="edge"/>
          <c:x val="0.14771932211116892"/>
          <c:y val="5.5812876331635015E-3"/>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19027777777777777"/>
          <c:y val="0.42379187925722517"/>
          <c:w val="0.67777777777777781"/>
          <c:h val="0.54150966005722978"/>
        </c:manualLayout>
      </c:layout>
      <c:pie3DChart>
        <c:varyColors val="1"/>
        <c:ser>
          <c:idx val="0"/>
          <c:order val="0"/>
          <c:dPt>
            <c:idx val="1"/>
            <c:bubble3D val="0"/>
          </c:dPt>
          <c:dLbls>
            <c:dLbl>
              <c:idx val="0"/>
              <c:layout>
                <c:manualLayout>
                  <c:x val="0.34643606929472204"/>
                  <c:y val="-1.0724039073025887E-2"/>
                </c:manualLayout>
              </c:layout>
              <c:showLegendKey val="0"/>
              <c:showVal val="0"/>
              <c:showCatName val="1"/>
              <c:showSerName val="0"/>
              <c:showPercent val="1"/>
              <c:showBubbleSize val="0"/>
            </c:dLbl>
            <c:dLbl>
              <c:idx val="1"/>
              <c:layout>
                <c:manualLayout>
                  <c:x val="-0.17728260869565218"/>
                  <c:y val="6.7210348706411696E-2"/>
                </c:manualLayout>
              </c:layout>
              <c:showLegendKey val="0"/>
              <c:showVal val="0"/>
              <c:showCatName val="1"/>
              <c:showSerName val="0"/>
              <c:showPercent val="1"/>
              <c:showBubbleSize val="0"/>
            </c:dLbl>
            <c:dLbl>
              <c:idx val="2"/>
              <c:layout>
                <c:manualLayout>
                  <c:x val="0.22422812773403325"/>
                  <c:y val="-0.11736038203557889"/>
                </c:manualLayout>
              </c:layout>
              <c:showLegendKey val="0"/>
              <c:showVal val="0"/>
              <c:showCatName val="1"/>
              <c:showSerName val="0"/>
              <c:showPercent val="1"/>
              <c:showBubbleSize val="0"/>
            </c:dLbl>
            <c:dLbl>
              <c:idx val="3"/>
              <c:layout>
                <c:manualLayout>
                  <c:x val="-0.22290011274645496"/>
                  <c:y val="0.13364987909559595"/>
                </c:manualLayout>
              </c:layout>
              <c:showLegendKey val="0"/>
              <c:showVal val="0"/>
              <c:showCatName val="1"/>
              <c:showSerName val="0"/>
              <c:showPercent val="1"/>
              <c:showBubbleSize val="0"/>
            </c:dLbl>
            <c:dLbl>
              <c:idx val="4"/>
              <c:layout>
                <c:manualLayout>
                  <c:x val="-7.0130110151595093E-2"/>
                  <c:y val="-8.6373789675685694E-2"/>
                </c:manualLayout>
              </c:layout>
              <c:showLegendKey val="0"/>
              <c:showVal val="0"/>
              <c:showCatName val="1"/>
              <c:showSerName val="0"/>
              <c:showPercent val="1"/>
              <c:showBubbleSize val="0"/>
            </c:dLbl>
            <c:dLbl>
              <c:idx val="5"/>
              <c:layout>
                <c:manualLayout>
                  <c:x val="5.9083552055992999E-2"/>
                  <c:y val="-7.0268299795858847E-3"/>
                </c:manualLayout>
              </c:layout>
              <c:showLegendKey val="0"/>
              <c:showVal val="0"/>
              <c:showCatName val="1"/>
              <c:showSerName val="0"/>
              <c:showPercent val="1"/>
              <c:showBubbleSize val="0"/>
            </c:dLbl>
            <c:txPr>
              <a:bodyPr/>
              <a:lstStyle/>
              <a:p>
                <a:pPr>
                  <a:defRPr sz="700"/>
                </a:pPr>
                <a:endParaRPr lang="es-CL"/>
              </a:p>
            </c:txPr>
            <c:showLegendKey val="0"/>
            <c:showVal val="0"/>
            <c:showCatName val="1"/>
            <c:showSerName val="0"/>
            <c:showPercent val="1"/>
            <c:showBubbleSize val="0"/>
            <c:showLeaderLines val="1"/>
          </c:dLbls>
          <c:cat>
            <c:strRef>
              <c:f>'RRHH   (2)'!$D$89:$I$89</c:f>
              <c:strCache>
                <c:ptCount val="6"/>
                <c:pt idx="0">
                  <c:v>Sin Enseñanza</c:v>
                </c:pt>
                <c:pt idx="1">
                  <c:v>Enseñanza Básica</c:v>
                </c:pt>
                <c:pt idx="2">
                  <c:v>Enseñanza Media</c:v>
                </c:pt>
                <c:pt idx="3">
                  <c:v>Profesional Enseñanza Técnica</c:v>
                </c:pt>
                <c:pt idx="4">
                  <c:v>Profesional Enseñanza Superior</c:v>
                </c:pt>
                <c:pt idx="5">
                  <c:v>Postgrado</c:v>
                </c:pt>
              </c:strCache>
            </c:strRef>
          </c:cat>
          <c:val>
            <c:numRef>
              <c:f>'RRHH   (2)'!$D$90:$I$90</c:f>
              <c:numCache>
                <c:formatCode>0</c:formatCode>
                <c:ptCount val="6"/>
                <c:pt idx="0" formatCode="General">
                  <c:v>0</c:v>
                </c:pt>
                <c:pt idx="1">
                  <c:v>3.4545454545454546</c:v>
                </c:pt>
                <c:pt idx="2">
                  <c:v>4</c:v>
                </c:pt>
                <c:pt idx="3">
                  <c:v>0.27272727272727271</c:v>
                </c:pt>
                <c:pt idx="4">
                  <c:v>0.33333333333333331</c:v>
                </c:pt>
                <c:pt idx="5">
                  <c:v>9.0909090909090912E-2</c:v>
                </c:pt>
              </c:numCache>
            </c:numRef>
          </c:val>
        </c:ser>
        <c:dLbls>
          <c:showLegendKey val="0"/>
          <c:showVal val="0"/>
          <c:showCatName val="1"/>
          <c:showSerName val="0"/>
          <c:showPercent val="1"/>
          <c:showBubbleSize val="0"/>
          <c:showLeaderLines val="1"/>
        </c:dLbls>
      </c:pie3DChart>
    </c:plotArea>
    <c:plotVisOnly val="1"/>
    <c:dispBlanksAs val="gap"/>
    <c:showDLblsOverMax val="0"/>
  </c:chart>
  <c:txPr>
    <a:bodyPr/>
    <a:lstStyle/>
    <a:p>
      <a:pPr>
        <a:defRPr sz="900"/>
      </a:pPr>
      <a:endParaRPr lang="es-CL"/>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b="1" i="0" baseline="0">
                <a:effectLst/>
              </a:rPr>
              <a:t>Grande:  Porcentaje de empresas que información sobre nivel de escolaridad (%)</a:t>
            </a:r>
            <a:endParaRPr lang="es-CL" sz="800">
              <a:effectLst/>
            </a:endParaRPr>
          </a:p>
        </c:rich>
      </c:tx>
      <c:layout>
        <c:manualLayout>
          <c:xMode val="edge"/>
          <c:yMode val="edge"/>
          <c:x val="0.15438290553515288"/>
          <c:y val="2.2119809247125297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12287731262588521"/>
          <c:y val="0.3969490551544127"/>
          <c:w val="0.73411958972376057"/>
          <c:h val="0.52225631065581368"/>
        </c:manualLayout>
      </c:layout>
      <c:pie3DChart>
        <c:varyColors val="1"/>
        <c:ser>
          <c:idx val="0"/>
          <c:order val="0"/>
          <c:dLbls>
            <c:dLbl>
              <c:idx val="1"/>
              <c:layout>
                <c:manualLayout>
                  <c:x val="0.12220996867034455"/>
                  <c:y val="3.1243004631677299E-2"/>
                </c:manualLayout>
              </c:layout>
              <c:showLegendKey val="0"/>
              <c:showVal val="1"/>
              <c:showCatName val="1"/>
              <c:showSerName val="0"/>
              <c:showPercent val="1"/>
              <c:showBubbleSize val="0"/>
            </c:dLbl>
            <c:txPr>
              <a:bodyPr/>
              <a:lstStyle/>
              <a:p>
                <a:pPr>
                  <a:defRPr sz="750"/>
                </a:pPr>
                <a:endParaRPr lang="es-CL"/>
              </a:p>
            </c:txPr>
            <c:showLegendKey val="0"/>
            <c:showVal val="1"/>
            <c:showCatName val="1"/>
            <c:showSerName val="0"/>
            <c:showPercent val="1"/>
            <c:showBubbleSize val="0"/>
            <c:showLeaderLines val="1"/>
          </c:dLbls>
          <c:cat>
            <c:strRef>
              <c:f>'RRHH   (2)'!$L$216:$L$217</c:f>
              <c:strCache>
                <c:ptCount val="2"/>
                <c:pt idx="0">
                  <c:v>Si</c:v>
                </c:pt>
                <c:pt idx="1">
                  <c:v>No</c:v>
                </c:pt>
              </c:strCache>
            </c:strRef>
          </c:cat>
          <c:val>
            <c:numRef>
              <c:f>'RRHH   (2)'!$M$216:$M$217</c:f>
              <c:numCache>
                <c:formatCode>General</c:formatCode>
                <c:ptCount val="2"/>
                <c:pt idx="0">
                  <c:v>8</c:v>
                </c:pt>
                <c:pt idx="1">
                  <c:v>2</c:v>
                </c:pt>
              </c:numCache>
            </c:numRef>
          </c:val>
        </c:ser>
        <c:dLbls>
          <c:showLegendKey val="0"/>
          <c:showVal val="0"/>
          <c:showCatName val="0"/>
          <c:showSerName val="0"/>
          <c:showPercent val="0"/>
          <c:showBubbleSize val="0"/>
          <c:showLeaderLines val="1"/>
        </c:dLbls>
      </c:pie3DChart>
    </c:plotArea>
    <c:plotVisOnly val="1"/>
    <c:dispBlanksAs val="gap"/>
    <c:showDLblsOverMax val="0"/>
  </c:chart>
  <c:txPr>
    <a:bodyPr/>
    <a:lstStyle/>
    <a:p>
      <a:pPr>
        <a:defRPr sz="900"/>
      </a:pPr>
      <a:endParaRPr lang="es-C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ES" sz="800" b="1" i="0" baseline="0">
                <a:effectLst/>
              </a:rPr>
              <a:t>Grande:  Porcentaje de Nivel de Educación (%)</a:t>
            </a:r>
            <a:endParaRPr lang="es-CL" sz="800">
              <a:effectLst/>
            </a:endParaRPr>
          </a:p>
        </c:rich>
      </c:tx>
      <c:layout>
        <c:manualLayout>
          <c:xMode val="edge"/>
          <c:yMode val="edge"/>
          <c:x val="9.8518765033219921E-2"/>
          <c:y val="3.9243479577972647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17523082956466723"/>
          <c:y val="0.42922172954405824"/>
          <c:w val="0.68849591442579117"/>
          <c:h val="0.54644735148788948"/>
        </c:manualLayout>
      </c:layout>
      <c:pie3DChart>
        <c:varyColors val="1"/>
        <c:ser>
          <c:idx val="0"/>
          <c:order val="0"/>
          <c:dPt>
            <c:idx val="1"/>
            <c:bubble3D val="0"/>
          </c:dPt>
          <c:dLbls>
            <c:dLbl>
              <c:idx val="0"/>
              <c:layout>
                <c:manualLayout>
                  <c:x val="-9.6924901569845096E-2"/>
                  <c:y val="-7.8768463661278099E-2"/>
                </c:manualLayout>
              </c:layout>
              <c:showLegendKey val="0"/>
              <c:showVal val="0"/>
              <c:showCatName val="1"/>
              <c:showSerName val="0"/>
              <c:showPercent val="1"/>
              <c:showBubbleSize val="0"/>
            </c:dLbl>
            <c:dLbl>
              <c:idx val="2"/>
              <c:layout>
                <c:manualLayout>
                  <c:x val="0.19912552462577685"/>
                  <c:y val="6.3798417107340188E-2"/>
                </c:manualLayout>
              </c:layout>
              <c:showLegendKey val="0"/>
              <c:showVal val="0"/>
              <c:showCatName val="1"/>
              <c:showSerName val="0"/>
              <c:showPercent val="1"/>
              <c:showBubbleSize val="0"/>
            </c:dLbl>
            <c:dLbl>
              <c:idx val="3"/>
              <c:layout>
                <c:manualLayout>
                  <c:x val="-0.34860892236678287"/>
                  <c:y val="-1.4273349090031194E-2"/>
                </c:manualLayout>
              </c:layout>
              <c:showLegendKey val="0"/>
              <c:showVal val="0"/>
              <c:showCatName val="1"/>
              <c:showSerName val="0"/>
              <c:showPercent val="1"/>
              <c:showBubbleSize val="0"/>
            </c:dLbl>
            <c:dLbl>
              <c:idx val="4"/>
              <c:layout>
                <c:manualLayout>
                  <c:x val="0.23795469904621508"/>
                  <c:y val="-9.109628807020527E-2"/>
                </c:manualLayout>
              </c:layout>
              <c:showLegendKey val="0"/>
              <c:showVal val="0"/>
              <c:showCatName val="1"/>
              <c:showSerName val="0"/>
              <c:showPercent val="1"/>
              <c:showBubbleSize val="0"/>
            </c:dLbl>
            <c:dLbl>
              <c:idx val="5"/>
              <c:layout>
                <c:manualLayout>
                  <c:x val="0.27864176669646373"/>
                  <c:y val="7.5541995876327928E-2"/>
                </c:manualLayout>
              </c:layout>
              <c:showLegendKey val="0"/>
              <c:showVal val="0"/>
              <c:showCatName val="1"/>
              <c:showSerName val="0"/>
              <c:showPercent val="1"/>
              <c:showBubbleSize val="0"/>
            </c:dLbl>
            <c:txPr>
              <a:bodyPr/>
              <a:lstStyle/>
              <a:p>
                <a:pPr>
                  <a:defRPr sz="700"/>
                </a:pPr>
                <a:endParaRPr lang="es-CL"/>
              </a:p>
            </c:txPr>
            <c:showLegendKey val="0"/>
            <c:showVal val="0"/>
            <c:showCatName val="1"/>
            <c:showSerName val="0"/>
            <c:showPercent val="1"/>
            <c:showBubbleSize val="0"/>
            <c:showLeaderLines val="1"/>
          </c:dLbls>
          <c:cat>
            <c:strRef>
              <c:f>'RRHH   (2)'!$K$89:$P$89</c:f>
              <c:strCache>
                <c:ptCount val="6"/>
                <c:pt idx="0">
                  <c:v>Sin Enseñanza</c:v>
                </c:pt>
                <c:pt idx="1">
                  <c:v>Enseñanza Básica</c:v>
                </c:pt>
                <c:pt idx="2">
                  <c:v>Enseñanza Media</c:v>
                </c:pt>
                <c:pt idx="3">
                  <c:v>Profesional Enseñanza Técnica</c:v>
                </c:pt>
                <c:pt idx="4">
                  <c:v>Profesional Enseñanza Superior</c:v>
                </c:pt>
                <c:pt idx="5">
                  <c:v>Postgrado</c:v>
                </c:pt>
              </c:strCache>
            </c:strRef>
          </c:cat>
          <c:val>
            <c:numRef>
              <c:f>'RRHH   (2)'!$K$90:$P$90</c:f>
              <c:numCache>
                <c:formatCode>0</c:formatCode>
                <c:ptCount val="6"/>
                <c:pt idx="0">
                  <c:v>0</c:v>
                </c:pt>
                <c:pt idx="1">
                  <c:v>7.25</c:v>
                </c:pt>
                <c:pt idx="2">
                  <c:v>3.875</c:v>
                </c:pt>
                <c:pt idx="3">
                  <c:v>0.22222222222222221</c:v>
                </c:pt>
                <c:pt idx="4">
                  <c:v>0</c:v>
                </c:pt>
                <c:pt idx="5">
                  <c:v>0</c:v>
                </c:pt>
              </c:numCache>
            </c:numRef>
          </c:val>
        </c:ser>
        <c:dLbls>
          <c:showLegendKey val="0"/>
          <c:showVal val="0"/>
          <c:showCatName val="1"/>
          <c:showSerName val="0"/>
          <c:showPercent val="1"/>
          <c:showBubbleSize val="0"/>
          <c:showLeaderLines val="1"/>
        </c:dLbls>
      </c:pie3DChart>
    </c:plotArea>
    <c:plotVisOnly val="1"/>
    <c:dispBlanksAs val="gap"/>
    <c:showDLblsOverMax val="0"/>
  </c:chart>
  <c:txPr>
    <a:bodyPr/>
    <a:lstStyle/>
    <a:p>
      <a:pPr>
        <a:defRPr sz="900"/>
      </a:pPr>
      <a:endParaRPr lang="es-CL"/>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900"/>
            </a:pPr>
            <a:r>
              <a:rPr lang="en-US" sz="900" baseline="0"/>
              <a:t>Materia Prima  producida por trabajador  (Ton)/(N°)</a:t>
            </a:r>
            <a:endParaRPr lang="en-US" sz="90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'RRHH   (2)'!$C$243</c:f>
              <c:strCache>
                <c:ptCount val="1"/>
                <c:pt idx="0">
                  <c:v>MP (Ton)/Trabajador (N°)</c:v>
                </c:pt>
              </c:strCache>
            </c:strRef>
          </c:tx>
          <c:invertIfNegative val="0"/>
          <c:dLbls>
            <c:dLbl>
              <c:idx val="0"/>
              <c:layout>
                <c:manualLayout>
                  <c:x val="3.3333333333333333E-2"/>
                  <c:y val="-3.7037037037037035E-2"/>
                </c:manualLayout>
              </c:layout>
              <c:showLegendKey val="0"/>
              <c:showVal val="1"/>
              <c:showCatName val="0"/>
              <c:showSerName val="0"/>
              <c:showPercent val="0"/>
              <c:showBubbleSize val="0"/>
            </c:dLbl>
            <c:dLbl>
              <c:idx val="1"/>
              <c:layout>
                <c:manualLayout>
                  <c:x val="3.3333333333333333E-2"/>
                  <c:y val="-5.0925925925925923E-2"/>
                </c:manualLayout>
              </c:layout>
              <c:showLegendKey val="0"/>
              <c:showVal val="1"/>
              <c:showCatName val="0"/>
              <c:showSerName val="0"/>
              <c:showPercent val="0"/>
              <c:showBubbleSize val="0"/>
            </c:dLbl>
            <c:txPr>
              <a:bodyPr/>
              <a:lstStyle/>
              <a:p>
                <a:pPr>
                  <a:defRPr sz="900"/>
                </a:pPr>
                <a:endParaRPr lang="es-CL"/>
              </a:p>
            </c:txPr>
            <c:showLegendKey val="0"/>
            <c:showVal val="1"/>
            <c:showCatName val="0"/>
            <c:showSerName val="0"/>
            <c:showPercent val="0"/>
            <c:showBubbleSize val="0"/>
            <c:showLeaderLines val="0"/>
          </c:dLbls>
          <c:cat>
            <c:strRef>
              <c:f>'RRHH   (2)'!$D$240:$E$240</c:f>
              <c:strCache>
                <c:ptCount val="2"/>
                <c:pt idx="0">
                  <c:v>PYME</c:v>
                </c:pt>
                <c:pt idx="1">
                  <c:v>Grande</c:v>
                </c:pt>
              </c:strCache>
            </c:strRef>
          </c:cat>
          <c:val>
            <c:numRef>
              <c:f>'RRHH   (2)'!$D$243:$E$243</c:f>
              <c:numCache>
                <c:formatCode>0</c:formatCode>
                <c:ptCount val="2"/>
                <c:pt idx="0">
                  <c:v>157.04225352112675</c:v>
                </c:pt>
                <c:pt idx="1">
                  <c:v>122.37735849056604</c:v>
                </c:pt>
              </c:numCache>
            </c:numRef>
          </c:val>
        </c:ser>
        <c:dLbls>
          <c:showLegendKey val="0"/>
          <c:showVal val="1"/>
          <c:showCatName val="0"/>
          <c:showSerName val="0"/>
          <c:showPercent val="0"/>
          <c:showBubbleSize val="0"/>
        </c:dLbls>
        <c:gapWidth val="150"/>
        <c:shape val="box"/>
        <c:axId val="281312640"/>
        <c:axId val="281413888"/>
        <c:axId val="0"/>
      </c:bar3DChart>
      <c:catAx>
        <c:axId val="281312640"/>
        <c:scaling>
          <c:orientation val="minMax"/>
        </c:scaling>
        <c:delete val="0"/>
        <c:axPos val="b"/>
        <c:majorTickMark val="none"/>
        <c:minorTickMark val="none"/>
        <c:tickLblPos val="nextTo"/>
        <c:txPr>
          <a:bodyPr/>
          <a:lstStyle/>
          <a:p>
            <a:pPr>
              <a:defRPr sz="900"/>
            </a:pPr>
            <a:endParaRPr lang="es-CL"/>
          </a:p>
        </c:txPr>
        <c:crossAx val="281413888"/>
        <c:crosses val="autoZero"/>
        <c:auto val="1"/>
        <c:lblAlgn val="ctr"/>
        <c:lblOffset val="100"/>
        <c:noMultiLvlLbl val="0"/>
      </c:catAx>
      <c:valAx>
        <c:axId val="281413888"/>
        <c:scaling>
          <c:orientation val="minMax"/>
        </c:scaling>
        <c:delete val="1"/>
        <c:axPos val="l"/>
        <c:numFmt formatCode="0" sourceLinked="1"/>
        <c:majorTickMark val="out"/>
        <c:minorTickMark val="none"/>
        <c:tickLblPos val="nextTo"/>
        <c:crossAx val="281312640"/>
        <c:crosses val="autoZero"/>
        <c:crossBetween val="between"/>
      </c:valAx>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750"/>
            </a:pPr>
            <a:r>
              <a:rPr lang="en-US" sz="750" b="1" i="0" u="none" strike="noStrike" baseline="0">
                <a:effectLst/>
              </a:rPr>
              <a:t>PYME: Insumos promedio  por tonelada de materia prima (insumo/(Ton)</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'Insumos (2)'!$B$20</c:f>
              <c:strCache>
                <c:ptCount val="1"/>
                <c:pt idx="0">
                  <c:v>PYME</c:v>
                </c:pt>
              </c:strCache>
            </c:strRef>
          </c:tx>
          <c:invertIfNegative val="0"/>
          <c:dLbls>
            <c:dLbl>
              <c:idx val="0"/>
              <c:tx>
                <c:rich>
                  <a:bodyPr/>
                  <a:lstStyle/>
                  <a:p>
                    <a:r>
                      <a:rPr lang="en-US" sz="700"/>
                      <a:t>102</a:t>
                    </a:r>
                    <a:endParaRPr lang="en-US"/>
                  </a:p>
                </c:rich>
              </c:tx>
              <c:showLegendKey val="0"/>
              <c:showVal val="1"/>
              <c:showCatName val="0"/>
              <c:showSerName val="0"/>
              <c:showPercent val="0"/>
              <c:showBubbleSize val="0"/>
            </c:dLbl>
            <c:dLbl>
              <c:idx val="1"/>
              <c:layout>
                <c:manualLayout>
                  <c:x val="7.6759144310817717E-3"/>
                  <c:y val="1.0147484988509078E-16"/>
                </c:manualLayout>
              </c:layout>
              <c:showLegendKey val="0"/>
              <c:showVal val="1"/>
              <c:showCatName val="0"/>
              <c:showSerName val="0"/>
              <c:showPercent val="0"/>
              <c:showBubbleSize val="0"/>
            </c:dLbl>
            <c:dLbl>
              <c:idx val="2"/>
              <c:layout>
                <c:manualLayout>
                  <c:x val="1.7910467005857467E-2"/>
                  <c:y val="-1.0147484988509078E-16"/>
                </c:manualLayout>
              </c:layout>
              <c:showLegendKey val="0"/>
              <c:showVal val="1"/>
              <c:showCatName val="0"/>
              <c:showSerName val="0"/>
              <c:showPercent val="0"/>
              <c:showBubbleSize val="0"/>
            </c:dLbl>
            <c:dLbl>
              <c:idx val="3"/>
              <c:layout>
                <c:manualLayout>
                  <c:x val="-6.9083229879735947E-2"/>
                  <c:y val="-3.8745390268282408E-2"/>
                </c:manualLayout>
              </c:layout>
              <c:tx>
                <c:rich>
                  <a:bodyPr/>
                  <a:lstStyle/>
                  <a:p>
                    <a:r>
                      <a:rPr lang="en-US" sz="700"/>
                      <a:t>175</a:t>
                    </a:r>
                    <a:endParaRPr lang="en-US"/>
                  </a:p>
                </c:rich>
              </c:tx>
              <c:showLegendKey val="0"/>
              <c:showVal val="1"/>
              <c:showCatName val="0"/>
              <c:showSerName val="0"/>
              <c:showPercent val="0"/>
              <c:showBubbleSize val="0"/>
            </c:dLbl>
            <c:dLbl>
              <c:idx val="4"/>
              <c:layout>
                <c:manualLayout>
                  <c:x val="1.7910467005857467E-2"/>
                  <c:y val="0"/>
                </c:manualLayout>
              </c:layout>
              <c:showLegendKey val="0"/>
              <c:showVal val="1"/>
              <c:showCatName val="0"/>
              <c:showSerName val="0"/>
              <c:showPercent val="0"/>
              <c:showBubbleSize val="0"/>
            </c:dLbl>
            <c:dLbl>
              <c:idx val="5"/>
              <c:tx>
                <c:rich>
                  <a:bodyPr/>
                  <a:lstStyle/>
                  <a:p>
                    <a:r>
                      <a:rPr lang="en-US" sz="700"/>
                      <a:t>18</a:t>
                    </a:r>
                    <a:endParaRPr lang="en-US"/>
                  </a:p>
                </c:rich>
              </c:tx>
              <c:showLegendKey val="0"/>
              <c:showVal val="1"/>
              <c:showCatName val="0"/>
              <c:showSerName val="0"/>
              <c:showPercent val="0"/>
              <c:showBubbleSize val="0"/>
            </c:dLbl>
            <c:dLbl>
              <c:idx val="6"/>
              <c:layout>
                <c:manualLayout>
                  <c:x val="1.279319071846962E-2"/>
                  <c:y val="0"/>
                </c:manualLayout>
              </c:layout>
              <c:showLegendKey val="0"/>
              <c:showVal val="1"/>
              <c:showCatName val="0"/>
              <c:showSerName val="0"/>
              <c:showPercent val="0"/>
              <c:showBubbleSize val="0"/>
            </c:dLbl>
            <c:dLbl>
              <c:idx val="7"/>
              <c:layout>
                <c:manualLayout>
                  <c:x val="1.279319071846962E-2"/>
                  <c:y val="2.7675278763058865E-3"/>
                </c:manualLayout>
              </c:layout>
              <c:showLegendKey val="0"/>
              <c:showVal val="1"/>
              <c:showCatName val="0"/>
              <c:showSerName val="0"/>
              <c:showPercent val="0"/>
              <c:showBubbleSize val="0"/>
            </c:dLbl>
            <c:dLbl>
              <c:idx val="8"/>
              <c:layout>
                <c:manualLayout>
                  <c:x val="1.7910467005857467E-2"/>
                  <c:y val="0"/>
                </c:manualLayout>
              </c:layout>
              <c:showLegendKey val="0"/>
              <c:showVal val="1"/>
              <c:showCatName val="0"/>
              <c:showSerName val="0"/>
              <c:showPercent val="0"/>
              <c:showBubbleSize val="0"/>
            </c:dLbl>
            <c:dLbl>
              <c:idx val="9"/>
              <c:layout>
                <c:manualLayout>
                  <c:x val="1.5351828862163543E-2"/>
                  <c:y val="0"/>
                </c:manualLayout>
              </c:layout>
              <c:showLegendKey val="0"/>
              <c:showVal val="1"/>
              <c:showCatName val="0"/>
              <c:showSerName val="0"/>
              <c:showPercent val="0"/>
              <c:showBubbleSize val="0"/>
            </c:dLbl>
            <c:dLbl>
              <c:idx val="10"/>
              <c:layout>
                <c:manualLayout>
                  <c:x val="1.279319071846962E-2"/>
                  <c:y val="-2.5368712471272694E-17"/>
                </c:manualLayout>
              </c:layout>
              <c:showLegendKey val="0"/>
              <c:showVal val="1"/>
              <c:showCatName val="0"/>
              <c:showSerName val="0"/>
              <c:showPercent val="0"/>
              <c:showBubbleSize val="0"/>
            </c:dLbl>
            <c:dLbl>
              <c:idx val="11"/>
              <c:layout>
                <c:manualLayout>
                  <c:x val="1.0234552574775697E-2"/>
                  <c:y val="0"/>
                </c:manualLayout>
              </c:layout>
              <c:showLegendKey val="0"/>
              <c:showVal val="1"/>
              <c:showCatName val="0"/>
              <c:showSerName val="0"/>
              <c:showPercent val="0"/>
              <c:showBubbleSize val="0"/>
            </c:dLbl>
            <c:txPr>
              <a:bodyPr/>
              <a:lstStyle/>
              <a:p>
                <a:pPr>
                  <a:defRPr sz="700"/>
                </a:pPr>
                <a:endParaRPr lang="es-CL"/>
              </a:p>
            </c:txPr>
            <c:showLegendKey val="0"/>
            <c:showVal val="1"/>
            <c:showCatName val="0"/>
            <c:showSerName val="0"/>
            <c:showPercent val="0"/>
            <c:showBubbleSize val="0"/>
            <c:showLeaderLines val="0"/>
          </c:dLbls>
          <c:cat>
            <c:strRef>
              <c:f>'Insumos (2)'!$C$19:$N$19</c:f>
              <c:strCache>
                <c:ptCount val="12"/>
                <c:pt idx="0">
                  <c:v>Cabos (Mt/Ton)</c:v>
                </c:pt>
                <c:pt idx="1">
                  <c:v>Boyas (u/Ton)</c:v>
                </c:pt>
                <c:pt idx="2">
                  <c:v>Flotadores Plumavit (u/Ton)</c:v>
                </c:pt>
                <c:pt idx="3">
                  <c:v>Colector red (Mt/Ton)</c:v>
                </c:pt>
                <c:pt idx="4">
                  <c:v>Cabo Mussels (Mt/Ton)</c:v>
                </c:pt>
                <c:pt idx="5">
                  <c:v>Mallas cosecha (u/Ton)</c:v>
                </c:pt>
                <c:pt idx="6">
                  <c:v>Saco papero (u/Ton)</c:v>
                </c:pt>
                <c:pt idx="7">
                  <c:v>Guantes (u/Ton)</c:v>
                </c:pt>
                <c:pt idx="8">
                  <c:v>Trajes de agua (u/Ton)</c:v>
                </c:pt>
                <c:pt idx="9">
                  <c:v>Chalecos salvavidas (u/Ton)</c:v>
                </c:pt>
                <c:pt idx="10">
                  <c:v>Botas (u/Ton)</c:v>
                </c:pt>
                <c:pt idx="11">
                  <c:v>Semilla (Ton/Ton)</c:v>
                </c:pt>
              </c:strCache>
            </c:strRef>
          </c:cat>
          <c:val>
            <c:numRef>
              <c:f>'Insumos (2)'!$C$20:$N$20</c:f>
              <c:numCache>
                <c:formatCode>#,##0.00</c:formatCode>
                <c:ptCount val="12"/>
                <c:pt idx="0">
                  <c:v>102.42152466367712</c:v>
                </c:pt>
                <c:pt idx="1">
                  <c:v>2.0543497757847531</c:v>
                </c:pt>
                <c:pt idx="2">
                  <c:v>0.12286995515695066</c:v>
                </c:pt>
                <c:pt idx="3">
                  <c:v>175.44376681614347</c:v>
                </c:pt>
                <c:pt idx="4">
                  <c:v>0</c:v>
                </c:pt>
                <c:pt idx="5">
                  <c:v>18.969775784753363</c:v>
                </c:pt>
                <c:pt idx="6">
                  <c:v>1.5336322869955157</c:v>
                </c:pt>
                <c:pt idx="7">
                  <c:v>0.3871748878923767</c:v>
                </c:pt>
                <c:pt idx="8">
                  <c:v>9.6860986547085207E-3</c:v>
                </c:pt>
                <c:pt idx="9">
                  <c:v>7.5336322869955152E-3</c:v>
                </c:pt>
                <c:pt idx="10">
                  <c:v>6.9955156950672641E-3</c:v>
                </c:pt>
                <c:pt idx="11">
                  <c:v>8.9942344650864828E-2</c:v>
                </c:pt>
              </c:numCache>
            </c:numRef>
          </c:val>
        </c:ser>
        <c:dLbls>
          <c:showLegendKey val="0"/>
          <c:showVal val="1"/>
          <c:showCatName val="0"/>
          <c:showSerName val="0"/>
          <c:showPercent val="0"/>
          <c:showBubbleSize val="0"/>
        </c:dLbls>
        <c:gapWidth val="150"/>
        <c:shape val="box"/>
        <c:axId val="281425408"/>
        <c:axId val="281428352"/>
        <c:axId val="0"/>
      </c:bar3DChart>
      <c:catAx>
        <c:axId val="281425408"/>
        <c:scaling>
          <c:orientation val="minMax"/>
        </c:scaling>
        <c:delete val="0"/>
        <c:axPos val="l"/>
        <c:majorTickMark val="none"/>
        <c:minorTickMark val="none"/>
        <c:tickLblPos val="nextTo"/>
        <c:txPr>
          <a:bodyPr/>
          <a:lstStyle/>
          <a:p>
            <a:pPr>
              <a:defRPr sz="700"/>
            </a:pPr>
            <a:endParaRPr lang="es-CL"/>
          </a:p>
        </c:txPr>
        <c:crossAx val="281428352"/>
        <c:crosses val="autoZero"/>
        <c:auto val="1"/>
        <c:lblAlgn val="ctr"/>
        <c:lblOffset val="100"/>
        <c:noMultiLvlLbl val="0"/>
      </c:catAx>
      <c:valAx>
        <c:axId val="281428352"/>
        <c:scaling>
          <c:orientation val="minMax"/>
        </c:scaling>
        <c:delete val="1"/>
        <c:axPos val="b"/>
        <c:numFmt formatCode="#,##0.00" sourceLinked="1"/>
        <c:majorTickMark val="out"/>
        <c:minorTickMark val="none"/>
        <c:tickLblPos val="nextTo"/>
        <c:crossAx val="281425408"/>
        <c:crosses val="autoZero"/>
        <c:crossBetween val="between"/>
      </c:valAx>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750"/>
            </a:pPr>
            <a:r>
              <a:rPr lang="en-US" sz="750" b="1" i="0" u="none" strike="noStrike" baseline="0">
                <a:effectLst/>
              </a:rPr>
              <a:t>Grande: Insumos promedio  por tonelada de materia prima (insumo/(Ton)</a:t>
            </a:r>
            <a:endParaRPr lang="en-US" sz="750"/>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'Insumos (2)'!$B$21</c:f>
              <c:strCache>
                <c:ptCount val="1"/>
                <c:pt idx="0">
                  <c:v>Grande</c:v>
                </c:pt>
              </c:strCache>
            </c:strRef>
          </c:tx>
          <c:invertIfNegative val="0"/>
          <c:dLbls>
            <c:dLbl>
              <c:idx val="0"/>
              <c:tx>
                <c:rich>
                  <a:bodyPr/>
                  <a:lstStyle/>
                  <a:p>
                    <a:r>
                      <a:rPr lang="en-US" sz="700"/>
                      <a:t>55</a:t>
                    </a:r>
                    <a:endParaRPr lang="en-US"/>
                  </a:p>
                </c:rich>
              </c:tx>
              <c:showLegendKey val="0"/>
              <c:showVal val="1"/>
              <c:showCatName val="0"/>
              <c:showSerName val="0"/>
              <c:showPercent val="0"/>
              <c:showBubbleSize val="0"/>
            </c:dLbl>
            <c:dLbl>
              <c:idx val="2"/>
              <c:layout>
                <c:manualLayout>
                  <c:x val="7.6433243686433519E-3"/>
                  <c:y val="0"/>
                </c:manualLayout>
              </c:layout>
              <c:showLegendKey val="0"/>
              <c:showVal val="1"/>
              <c:showCatName val="0"/>
              <c:showSerName val="0"/>
              <c:showPercent val="0"/>
              <c:showBubbleSize val="0"/>
            </c:dLbl>
            <c:dLbl>
              <c:idx val="3"/>
              <c:layout>
                <c:manualLayout>
                  <c:x val="-7.1337694107337951E-2"/>
                  <c:y val="-3.597787023211501E-2"/>
                </c:manualLayout>
              </c:layout>
              <c:tx>
                <c:rich>
                  <a:bodyPr/>
                  <a:lstStyle/>
                  <a:p>
                    <a:r>
                      <a:rPr lang="en-US" sz="700"/>
                      <a:t>92</a:t>
                    </a:r>
                    <a:endParaRPr lang="en-US"/>
                  </a:p>
                </c:rich>
              </c:tx>
              <c:showLegendKey val="0"/>
              <c:showVal val="1"/>
              <c:showCatName val="0"/>
              <c:showSerName val="0"/>
              <c:showPercent val="0"/>
              <c:showBubbleSize val="0"/>
            </c:dLbl>
            <c:dLbl>
              <c:idx val="6"/>
              <c:layout>
                <c:manualLayout>
                  <c:x val="7.6433243686433519E-3"/>
                  <c:y val="0"/>
                </c:manualLayout>
              </c:layout>
              <c:showLegendKey val="0"/>
              <c:showVal val="1"/>
              <c:showCatName val="0"/>
              <c:showSerName val="0"/>
              <c:showPercent val="0"/>
              <c:showBubbleSize val="0"/>
            </c:dLbl>
            <c:dLbl>
              <c:idx val="7"/>
              <c:layout>
                <c:manualLayout>
                  <c:x val="7.6433243686433519E-3"/>
                  <c:y val="0"/>
                </c:manualLayout>
              </c:layout>
              <c:showLegendKey val="0"/>
              <c:showVal val="1"/>
              <c:showCatName val="0"/>
              <c:showSerName val="0"/>
              <c:showPercent val="0"/>
              <c:showBubbleSize val="0"/>
            </c:dLbl>
            <c:dLbl>
              <c:idx val="8"/>
              <c:layout>
                <c:manualLayout>
                  <c:x val="1.273887394773892E-2"/>
                  <c:y val="0"/>
                </c:manualLayout>
              </c:layout>
              <c:showLegendKey val="0"/>
              <c:showVal val="1"/>
              <c:showCatName val="0"/>
              <c:showSerName val="0"/>
              <c:showPercent val="0"/>
              <c:showBubbleSize val="0"/>
            </c:dLbl>
            <c:dLbl>
              <c:idx val="9"/>
              <c:layout>
                <c:manualLayout>
                  <c:x val="1.273887394773892E-2"/>
                  <c:y val="0"/>
                </c:manualLayout>
              </c:layout>
              <c:showLegendKey val="0"/>
              <c:showVal val="1"/>
              <c:showCatName val="0"/>
              <c:showSerName val="0"/>
              <c:showPercent val="0"/>
              <c:showBubbleSize val="0"/>
            </c:dLbl>
            <c:dLbl>
              <c:idx val="10"/>
              <c:layout>
                <c:manualLayout>
                  <c:x val="1.273887394773892E-2"/>
                  <c:y val="0"/>
                </c:manualLayout>
              </c:layout>
              <c:showLegendKey val="0"/>
              <c:showVal val="1"/>
              <c:showCatName val="0"/>
              <c:showSerName val="0"/>
              <c:showPercent val="0"/>
              <c:showBubbleSize val="0"/>
            </c:dLbl>
            <c:dLbl>
              <c:idx val="11"/>
              <c:layout>
                <c:manualLayout>
                  <c:x val="7.6433243686433519E-3"/>
                  <c:y val="2.7675284793934624E-3"/>
                </c:manualLayout>
              </c:layout>
              <c:showLegendKey val="0"/>
              <c:showVal val="1"/>
              <c:showCatName val="0"/>
              <c:showSerName val="0"/>
              <c:showPercent val="0"/>
              <c:showBubbleSize val="0"/>
            </c:dLbl>
            <c:txPr>
              <a:bodyPr/>
              <a:lstStyle/>
              <a:p>
                <a:pPr>
                  <a:defRPr sz="700"/>
                </a:pPr>
                <a:endParaRPr lang="es-CL"/>
              </a:p>
            </c:txPr>
            <c:showLegendKey val="0"/>
            <c:showVal val="1"/>
            <c:showCatName val="0"/>
            <c:showSerName val="0"/>
            <c:showPercent val="0"/>
            <c:showBubbleSize val="0"/>
            <c:showLeaderLines val="0"/>
          </c:dLbls>
          <c:cat>
            <c:strRef>
              <c:f>'Insumos (2)'!$C$19:$N$19</c:f>
              <c:strCache>
                <c:ptCount val="12"/>
                <c:pt idx="0">
                  <c:v>Cabos (Mt/Ton)</c:v>
                </c:pt>
                <c:pt idx="1">
                  <c:v>Boyas (u/Ton)</c:v>
                </c:pt>
                <c:pt idx="2">
                  <c:v>Flotadores Plumavit (u/Ton)</c:v>
                </c:pt>
                <c:pt idx="3">
                  <c:v>Colector red (Mt/Ton)</c:v>
                </c:pt>
                <c:pt idx="4">
                  <c:v>Cabo Mussels (Mt/Ton)</c:v>
                </c:pt>
                <c:pt idx="5">
                  <c:v>Mallas cosecha (u/Ton)</c:v>
                </c:pt>
                <c:pt idx="6">
                  <c:v>Saco papero (u/Ton)</c:v>
                </c:pt>
                <c:pt idx="7">
                  <c:v>Guantes (u/Ton)</c:v>
                </c:pt>
                <c:pt idx="8">
                  <c:v>Trajes de agua (u/Ton)</c:v>
                </c:pt>
                <c:pt idx="9">
                  <c:v>Chalecos salvavidas (u/Ton)</c:v>
                </c:pt>
                <c:pt idx="10">
                  <c:v>Botas (u/Ton)</c:v>
                </c:pt>
                <c:pt idx="11">
                  <c:v>Semilla (Ton/Ton)</c:v>
                </c:pt>
              </c:strCache>
            </c:strRef>
          </c:cat>
          <c:val>
            <c:numRef>
              <c:f>'Insumos (2)'!$C$21:$N$21</c:f>
              <c:numCache>
                <c:formatCode>#,##0.00</c:formatCode>
                <c:ptCount val="12"/>
                <c:pt idx="0">
                  <c:v>55.832115504061683</c:v>
                </c:pt>
                <c:pt idx="1">
                  <c:v>1.3585973115186794</c:v>
                </c:pt>
                <c:pt idx="2">
                  <c:v>3.4819117043247548E-2</c:v>
                </c:pt>
                <c:pt idx="3">
                  <c:v>92.960066533669888</c:v>
                </c:pt>
                <c:pt idx="4">
                  <c:v>7.8719019151169096</c:v>
                </c:pt>
                <c:pt idx="5">
                  <c:v>5.4925002863182781</c:v>
                </c:pt>
                <c:pt idx="6">
                  <c:v>0.78055454851935357</c:v>
                </c:pt>
                <c:pt idx="7">
                  <c:v>0.45335251995751535</c:v>
                </c:pt>
                <c:pt idx="8">
                  <c:v>7.2330527670233704E-3</c:v>
                </c:pt>
                <c:pt idx="9">
                  <c:v>1.081151045176125E-2</c:v>
                </c:pt>
                <c:pt idx="10">
                  <c:v>1.6331471773963293E-2</c:v>
                </c:pt>
                <c:pt idx="11">
                  <c:v>9.6870387501284821E-2</c:v>
                </c:pt>
              </c:numCache>
            </c:numRef>
          </c:val>
        </c:ser>
        <c:dLbls>
          <c:showLegendKey val="0"/>
          <c:showVal val="1"/>
          <c:showCatName val="0"/>
          <c:showSerName val="0"/>
          <c:showPercent val="0"/>
          <c:showBubbleSize val="0"/>
        </c:dLbls>
        <c:gapWidth val="150"/>
        <c:shape val="box"/>
        <c:axId val="281468288"/>
        <c:axId val="282085632"/>
        <c:axId val="0"/>
      </c:bar3DChart>
      <c:catAx>
        <c:axId val="281468288"/>
        <c:scaling>
          <c:orientation val="minMax"/>
        </c:scaling>
        <c:delete val="0"/>
        <c:axPos val="l"/>
        <c:majorTickMark val="none"/>
        <c:minorTickMark val="none"/>
        <c:tickLblPos val="nextTo"/>
        <c:txPr>
          <a:bodyPr/>
          <a:lstStyle/>
          <a:p>
            <a:pPr>
              <a:defRPr sz="700"/>
            </a:pPr>
            <a:endParaRPr lang="es-CL"/>
          </a:p>
        </c:txPr>
        <c:crossAx val="282085632"/>
        <c:crosses val="autoZero"/>
        <c:auto val="1"/>
        <c:lblAlgn val="ctr"/>
        <c:lblOffset val="100"/>
        <c:noMultiLvlLbl val="0"/>
      </c:catAx>
      <c:valAx>
        <c:axId val="282085632"/>
        <c:scaling>
          <c:orientation val="minMax"/>
        </c:scaling>
        <c:delete val="1"/>
        <c:axPos val="b"/>
        <c:numFmt formatCode="#,##0.00" sourceLinked="1"/>
        <c:majorTickMark val="out"/>
        <c:minorTickMark val="none"/>
        <c:tickLblPos val="nextTo"/>
        <c:crossAx val="281468288"/>
        <c:crosses val="autoZero"/>
        <c:crossBetween val="between"/>
      </c:valAx>
    </c:plotArea>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750"/>
            </a:pPr>
            <a:r>
              <a:rPr lang="en-US" sz="750"/>
              <a:t>Consumo promedio de agua</a:t>
            </a:r>
            <a:r>
              <a:rPr lang="en-US" sz="750" baseline="0"/>
              <a:t> de la muestra  (M</a:t>
            </a:r>
            <a:r>
              <a:rPr lang="en-US" sz="750" baseline="30000"/>
              <a:t>3</a:t>
            </a:r>
            <a:r>
              <a:rPr lang="en-US" sz="750" baseline="0"/>
              <a:t>) </a:t>
            </a:r>
            <a:endParaRPr lang="en-US" sz="75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'Insumos (2)'!$L$24</c:f>
              <c:strCache>
                <c:ptCount val="1"/>
                <c:pt idx="0">
                  <c:v>Industria</c:v>
                </c:pt>
              </c:strCache>
            </c:strRef>
          </c:tx>
          <c:invertIfNegative val="0"/>
          <c:dLbls>
            <c:dLbl>
              <c:idx val="0"/>
              <c:layout>
                <c:manualLayout>
                  <c:x val="6.5872635139718055E-2"/>
                  <c:y val="-4.5471929126578096E-2"/>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'Insumos (2)'!$M$23</c:f>
              <c:strCache>
                <c:ptCount val="1"/>
                <c:pt idx="0">
                  <c:v>Agua (M3)</c:v>
                </c:pt>
              </c:strCache>
            </c:strRef>
          </c:cat>
          <c:val>
            <c:numRef>
              <c:f>'Insumos (2)'!$M$24</c:f>
              <c:numCache>
                <c:formatCode>#,##0</c:formatCode>
                <c:ptCount val="1"/>
                <c:pt idx="0">
                  <c:v>202.85285714285715</c:v>
                </c:pt>
              </c:numCache>
            </c:numRef>
          </c:val>
        </c:ser>
        <c:dLbls>
          <c:showLegendKey val="0"/>
          <c:showVal val="1"/>
          <c:showCatName val="0"/>
          <c:showSerName val="0"/>
          <c:showPercent val="0"/>
          <c:showBubbleSize val="0"/>
        </c:dLbls>
        <c:gapWidth val="150"/>
        <c:shape val="box"/>
        <c:axId val="282105344"/>
        <c:axId val="282112384"/>
        <c:axId val="0"/>
      </c:bar3DChart>
      <c:catAx>
        <c:axId val="282105344"/>
        <c:scaling>
          <c:orientation val="minMax"/>
        </c:scaling>
        <c:delete val="0"/>
        <c:axPos val="b"/>
        <c:majorTickMark val="none"/>
        <c:minorTickMark val="none"/>
        <c:tickLblPos val="nextTo"/>
        <c:txPr>
          <a:bodyPr/>
          <a:lstStyle/>
          <a:p>
            <a:pPr>
              <a:defRPr sz="750"/>
            </a:pPr>
            <a:endParaRPr lang="es-CL"/>
          </a:p>
        </c:txPr>
        <c:crossAx val="282112384"/>
        <c:crosses val="autoZero"/>
        <c:auto val="1"/>
        <c:lblAlgn val="ctr"/>
        <c:lblOffset val="100"/>
        <c:noMultiLvlLbl val="0"/>
      </c:catAx>
      <c:valAx>
        <c:axId val="282112384"/>
        <c:scaling>
          <c:orientation val="minMax"/>
        </c:scaling>
        <c:delete val="1"/>
        <c:axPos val="l"/>
        <c:numFmt formatCode="#,##0" sourceLinked="1"/>
        <c:majorTickMark val="out"/>
        <c:minorTickMark val="none"/>
        <c:tickLblPos val="nextTo"/>
        <c:crossAx val="282105344"/>
        <c:crosses val="autoZero"/>
        <c:crossBetween val="between"/>
      </c:valAx>
    </c:plotArea>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750"/>
            </a:pPr>
            <a:r>
              <a:rPr lang="en-US" sz="750"/>
              <a:t>Consumo promedio de agua (M</a:t>
            </a:r>
            <a:r>
              <a:rPr lang="en-US" sz="750" baseline="30000"/>
              <a:t>3</a:t>
            </a:r>
            <a:r>
              <a:rPr lang="en-US" sz="750"/>
              <a:t>)</a:t>
            </a:r>
          </a:p>
        </c:rich>
      </c:tx>
      <c:layout>
        <c:manualLayout>
          <c:xMode val="edge"/>
          <c:yMode val="edge"/>
          <c:x val="0.17293470377417466"/>
          <c:y val="2.0414296522543222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'Insumos (2)'!$B$20</c:f>
              <c:strCache>
                <c:ptCount val="1"/>
                <c:pt idx="0">
                  <c:v>PYME</c:v>
                </c:pt>
              </c:strCache>
            </c:strRef>
          </c:tx>
          <c:invertIfNegative val="0"/>
          <c:dLbls>
            <c:dLbl>
              <c:idx val="0"/>
              <c:layout>
                <c:manualLayout>
                  <c:x val="2.454594284569795E-2"/>
                  <c:y val="-3.4476556679150054E-2"/>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'Insumos (2)'!$P$19</c:f>
              <c:strCache>
                <c:ptCount val="1"/>
                <c:pt idx="0">
                  <c:v>Agua (M3)</c:v>
                </c:pt>
              </c:strCache>
            </c:strRef>
          </c:cat>
          <c:val>
            <c:numRef>
              <c:f>'Insumos (2)'!$P$21</c:f>
              <c:numCache>
                <c:formatCode>#,##0</c:formatCode>
                <c:ptCount val="1"/>
                <c:pt idx="0">
                  <c:v>77.142857142857139</c:v>
                </c:pt>
              </c:numCache>
            </c:numRef>
          </c:val>
        </c:ser>
        <c:ser>
          <c:idx val="1"/>
          <c:order val="1"/>
          <c:tx>
            <c:strRef>
              <c:f>'Insumos (2)'!$B$21</c:f>
              <c:strCache>
                <c:ptCount val="1"/>
                <c:pt idx="0">
                  <c:v>Grande</c:v>
                </c:pt>
              </c:strCache>
            </c:strRef>
          </c:tx>
          <c:invertIfNegative val="0"/>
          <c:dLbls>
            <c:dLbl>
              <c:idx val="0"/>
              <c:layout>
                <c:manualLayout>
                  <c:x val="5.6456336164647118E-2"/>
                  <c:y val="-3.001527724743977E-2"/>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'Insumos (2)'!$P$19</c:f>
              <c:strCache>
                <c:ptCount val="1"/>
                <c:pt idx="0">
                  <c:v>Agua (M3)</c:v>
                </c:pt>
              </c:strCache>
            </c:strRef>
          </c:cat>
          <c:val>
            <c:numRef>
              <c:f>'Insumos (2)'!$P$22</c:f>
              <c:numCache>
                <c:formatCode>#,##0</c:formatCode>
                <c:ptCount val="1"/>
                <c:pt idx="0">
                  <c:v>125.71</c:v>
                </c:pt>
              </c:numCache>
            </c:numRef>
          </c:val>
        </c:ser>
        <c:dLbls>
          <c:showLegendKey val="0"/>
          <c:showVal val="1"/>
          <c:showCatName val="0"/>
          <c:showSerName val="0"/>
          <c:showPercent val="0"/>
          <c:showBubbleSize val="0"/>
        </c:dLbls>
        <c:gapWidth val="150"/>
        <c:shape val="box"/>
        <c:axId val="282126208"/>
        <c:axId val="282127744"/>
        <c:axId val="0"/>
      </c:bar3DChart>
      <c:catAx>
        <c:axId val="282126208"/>
        <c:scaling>
          <c:orientation val="minMax"/>
        </c:scaling>
        <c:delete val="0"/>
        <c:axPos val="b"/>
        <c:majorTickMark val="none"/>
        <c:minorTickMark val="none"/>
        <c:tickLblPos val="nextTo"/>
        <c:txPr>
          <a:bodyPr/>
          <a:lstStyle/>
          <a:p>
            <a:pPr>
              <a:defRPr sz="750"/>
            </a:pPr>
            <a:endParaRPr lang="es-CL"/>
          </a:p>
        </c:txPr>
        <c:crossAx val="282127744"/>
        <c:crosses val="autoZero"/>
        <c:auto val="1"/>
        <c:lblAlgn val="ctr"/>
        <c:lblOffset val="100"/>
        <c:noMultiLvlLbl val="0"/>
      </c:catAx>
      <c:valAx>
        <c:axId val="282127744"/>
        <c:scaling>
          <c:orientation val="minMax"/>
        </c:scaling>
        <c:delete val="1"/>
        <c:axPos val="l"/>
        <c:numFmt formatCode="#,##0" sourceLinked="1"/>
        <c:majorTickMark val="out"/>
        <c:minorTickMark val="none"/>
        <c:tickLblPos val="nextTo"/>
        <c:crossAx val="282126208"/>
        <c:crosses val="autoZero"/>
        <c:crossBetween val="between"/>
      </c:valAx>
    </c:plotArea>
    <c:legend>
      <c:legendPos val="t"/>
      <c:layout>
        <c:manualLayout>
          <c:xMode val="edge"/>
          <c:yMode val="edge"/>
          <c:x val="0.1756780131642435"/>
          <c:y val="0.19147168436685627"/>
          <c:w val="0.67413004621748007"/>
          <c:h val="6.0324154218825317E-2"/>
        </c:manualLayout>
      </c:layout>
      <c:overlay val="0"/>
      <c:txPr>
        <a:bodyPr/>
        <a:lstStyle/>
        <a:p>
          <a:pPr>
            <a:defRPr sz="700"/>
          </a:pPr>
          <a:endParaRPr lang="es-CL"/>
        </a:p>
      </c:txPr>
    </c:legend>
    <c:plotVisOnly val="1"/>
    <c:dispBlanksAs val="gap"/>
    <c:showDLblsOverMax val="0"/>
  </c:chart>
  <c:txPr>
    <a:bodyPr/>
    <a:lstStyle/>
    <a:p>
      <a:pPr>
        <a:defRPr sz="1100"/>
      </a:pPr>
      <a:endParaRPr lang="es-CL"/>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750"/>
            </a:pPr>
            <a:r>
              <a:rPr lang="en-US" sz="750"/>
              <a:t>Consumo promedio de  agua por tonelada de materia prima  (M</a:t>
            </a:r>
            <a:r>
              <a:rPr lang="en-US" sz="750" baseline="30000"/>
              <a:t>3</a:t>
            </a:r>
            <a:r>
              <a:rPr lang="en-US" sz="750"/>
              <a:t>/(Ton)</a:t>
            </a:r>
          </a:p>
        </c:rich>
      </c:tx>
      <c:layout>
        <c:manualLayout>
          <c:xMode val="edge"/>
          <c:yMode val="edge"/>
          <c:x val="0.10999152029073289"/>
          <c:y val="3.8473854289516663E-3"/>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'Insumos (2)'!$B$20</c:f>
              <c:strCache>
                <c:ptCount val="1"/>
                <c:pt idx="0">
                  <c:v>PYME</c:v>
                </c:pt>
              </c:strCache>
            </c:strRef>
          </c:tx>
          <c:invertIfNegative val="0"/>
          <c:dLbls>
            <c:dLbl>
              <c:idx val="0"/>
              <c:layout>
                <c:manualLayout>
                  <c:x val="5.4591436604923889E-2"/>
                  <c:y val="-3.0096198566617542E-2"/>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'Insumos (2)'!$U$19</c:f>
              <c:strCache>
                <c:ptCount val="1"/>
                <c:pt idx="0">
                  <c:v>Agua  (M3/Ton)</c:v>
                </c:pt>
              </c:strCache>
            </c:strRef>
          </c:cat>
          <c:val>
            <c:numRef>
              <c:f>'Insumos (2)'!$U$20</c:f>
              <c:numCache>
                <c:formatCode>0.00</c:formatCode>
                <c:ptCount val="1"/>
                <c:pt idx="0">
                  <c:v>8.9942344650864828E-2</c:v>
                </c:pt>
              </c:numCache>
            </c:numRef>
          </c:val>
        </c:ser>
        <c:ser>
          <c:idx val="1"/>
          <c:order val="1"/>
          <c:tx>
            <c:strRef>
              <c:f>'Insumos (2)'!$B$21</c:f>
              <c:strCache>
                <c:ptCount val="1"/>
                <c:pt idx="0">
                  <c:v>Grande</c:v>
                </c:pt>
              </c:strCache>
            </c:strRef>
          </c:tx>
          <c:invertIfNegative val="0"/>
          <c:dLbls>
            <c:dLbl>
              <c:idx val="0"/>
              <c:layout>
                <c:manualLayout>
                  <c:x val="5.6456258598112818E-2"/>
                  <c:y val="-2.5648398231526568E-2"/>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'Insumos (2)'!$U$19</c:f>
              <c:strCache>
                <c:ptCount val="1"/>
                <c:pt idx="0">
                  <c:v>Agua  (M3/Ton)</c:v>
                </c:pt>
              </c:strCache>
            </c:strRef>
          </c:cat>
          <c:val>
            <c:numRef>
              <c:f>'Insumos (2)'!$U$21</c:f>
              <c:numCache>
                <c:formatCode>#,##0.00</c:formatCode>
                <c:ptCount val="1"/>
                <c:pt idx="0">
                  <c:v>4.3070545105697744E-2</c:v>
                </c:pt>
              </c:numCache>
            </c:numRef>
          </c:val>
        </c:ser>
        <c:dLbls>
          <c:showLegendKey val="0"/>
          <c:showVal val="1"/>
          <c:showCatName val="0"/>
          <c:showSerName val="0"/>
          <c:showPercent val="0"/>
          <c:showBubbleSize val="0"/>
        </c:dLbls>
        <c:gapWidth val="150"/>
        <c:shape val="box"/>
        <c:axId val="282805760"/>
        <c:axId val="282807296"/>
        <c:axId val="0"/>
      </c:bar3DChart>
      <c:catAx>
        <c:axId val="282805760"/>
        <c:scaling>
          <c:orientation val="minMax"/>
        </c:scaling>
        <c:delete val="0"/>
        <c:axPos val="b"/>
        <c:majorTickMark val="none"/>
        <c:minorTickMark val="none"/>
        <c:tickLblPos val="nextTo"/>
        <c:txPr>
          <a:bodyPr/>
          <a:lstStyle/>
          <a:p>
            <a:pPr>
              <a:defRPr sz="750"/>
            </a:pPr>
            <a:endParaRPr lang="es-CL"/>
          </a:p>
        </c:txPr>
        <c:crossAx val="282807296"/>
        <c:crosses val="autoZero"/>
        <c:auto val="1"/>
        <c:lblAlgn val="ctr"/>
        <c:lblOffset val="100"/>
        <c:noMultiLvlLbl val="0"/>
      </c:catAx>
      <c:valAx>
        <c:axId val="282807296"/>
        <c:scaling>
          <c:orientation val="minMax"/>
        </c:scaling>
        <c:delete val="1"/>
        <c:axPos val="l"/>
        <c:numFmt formatCode="0.00" sourceLinked="1"/>
        <c:majorTickMark val="out"/>
        <c:minorTickMark val="none"/>
        <c:tickLblPos val="nextTo"/>
        <c:crossAx val="282805760"/>
        <c:crosses val="autoZero"/>
        <c:crossBetween val="between"/>
      </c:valAx>
    </c:plotArea>
    <c:legend>
      <c:legendPos val="t"/>
      <c:layout>
        <c:manualLayout>
          <c:xMode val="edge"/>
          <c:yMode val="edge"/>
          <c:x val="0.17276070542673255"/>
          <c:y val="0.18470726159230097"/>
          <c:w val="0.65942415688604961"/>
          <c:h val="7.4237876873366193E-2"/>
        </c:manualLayout>
      </c:layout>
      <c:overlay val="0"/>
      <c:txPr>
        <a:bodyPr/>
        <a:lstStyle/>
        <a:p>
          <a:pPr>
            <a:defRPr sz="700"/>
          </a:pPr>
          <a:endParaRPr lang="es-CL"/>
        </a:p>
      </c:txPr>
    </c:legend>
    <c:plotVisOnly val="1"/>
    <c:dispBlanksAs val="gap"/>
    <c:showDLblsOverMax val="0"/>
  </c:chart>
  <c:txPr>
    <a:bodyPr/>
    <a:lstStyle/>
    <a:p>
      <a:pPr>
        <a:defRPr sz="1100"/>
      </a:pPr>
      <a:endParaRPr lang="es-C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Volumen de producción total</a:t>
            </a:r>
            <a:r>
              <a:rPr lang="en-US" sz="800" baseline="0"/>
              <a:t> </a:t>
            </a:r>
            <a:r>
              <a:rPr lang="en-US" sz="800"/>
              <a:t>de Materia Prima coseha de las</a:t>
            </a:r>
            <a:r>
              <a:rPr lang="en-US" sz="800" baseline="0"/>
              <a:t> industria y </a:t>
            </a:r>
            <a:r>
              <a:rPr lang="en-US" sz="800"/>
              <a:t>empresas  diagnosticadas (Ton)</a:t>
            </a:r>
          </a:p>
        </c:rich>
      </c:tx>
      <c:overlay val="0"/>
    </c:title>
    <c:autoTitleDeleted val="0"/>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2.6541615631379412E-2"/>
                  <c:y val="-4.6898683119155557E-3"/>
                </c:manualLayout>
              </c:layout>
              <c:showLegendKey val="0"/>
              <c:showVal val="1"/>
              <c:showCatName val="0"/>
              <c:showSerName val="0"/>
              <c:showPercent val="0"/>
              <c:showBubbleSize val="0"/>
            </c:dLbl>
            <c:dLbl>
              <c:idx val="1"/>
              <c:layout>
                <c:manualLayout>
                  <c:x val="4.7717701953922428E-2"/>
                  <c:y val="3.4268443717262614E-3"/>
                </c:manualLayout>
              </c:layout>
              <c:showLegendKey val="0"/>
              <c:showVal val="1"/>
              <c:showCatName val="0"/>
              <c:showSerName val="0"/>
              <c:showPercent val="0"/>
              <c:showBubbleSize val="0"/>
            </c:dLbl>
            <c:txPr>
              <a:bodyPr/>
              <a:lstStyle/>
              <a:p>
                <a:pPr>
                  <a:defRPr sz="800"/>
                </a:pPr>
                <a:endParaRPr lang="es-CL"/>
              </a:p>
            </c:txPr>
            <c:showLegendKey val="0"/>
            <c:showVal val="1"/>
            <c:showCatName val="0"/>
            <c:showSerName val="0"/>
            <c:showPercent val="0"/>
            <c:showBubbleSize val="0"/>
            <c:showLeaderLines val="0"/>
          </c:dLbls>
          <c:cat>
            <c:strRef>
              <c:f>Producción!$I$173:$I$174</c:f>
              <c:strCache>
                <c:ptCount val="2"/>
                <c:pt idx="0">
                  <c:v>Industria</c:v>
                </c:pt>
                <c:pt idx="1">
                  <c:v>Muestra</c:v>
                </c:pt>
              </c:strCache>
            </c:strRef>
          </c:cat>
          <c:val>
            <c:numRef>
              <c:f>Producción!$J$173:$J$174</c:f>
              <c:numCache>
                <c:formatCode>#,##0</c:formatCode>
                <c:ptCount val="2"/>
                <c:pt idx="0">
                  <c:v>286000</c:v>
                </c:pt>
                <c:pt idx="1">
                  <c:v>177773</c:v>
                </c:pt>
              </c:numCache>
            </c:numRef>
          </c:val>
        </c:ser>
        <c:dLbls>
          <c:showLegendKey val="0"/>
          <c:showVal val="1"/>
          <c:showCatName val="0"/>
          <c:showSerName val="0"/>
          <c:showPercent val="0"/>
          <c:showBubbleSize val="0"/>
        </c:dLbls>
        <c:gapWidth val="150"/>
        <c:shape val="box"/>
        <c:axId val="324651264"/>
        <c:axId val="324727936"/>
        <c:axId val="0"/>
      </c:bar3DChart>
      <c:catAx>
        <c:axId val="324651264"/>
        <c:scaling>
          <c:orientation val="minMax"/>
        </c:scaling>
        <c:delete val="0"/>
        <c:axPos val="b"/>
        <c:numFmt formatCode="General" sourceLinked="1"/>
        <c:majorTickMark val="none"/>
        <c:minorTickMark val="none"/>
        <c:tickLblPos val="nextTo"/>
        <c:txPr>
          <a:bodyPr/>
          <a:lstStyle/>
          <a:p>
            <a:pPr>
              <a:defRPr sz="800"/>
            </a:pPr>
            <a:endParaRPr lang="es-CL"/>
          </a:p>
        </c:txPr>
        <c:crossAx val="324727936"/>
        <c:crosses val="autoZero"/>
        <c:auto val="1"/>
        <c:lblAlgn val="ctr"/>
        <c:lblOffset val="100"/>
        <c:noMultiLvlLbl val="0"/>
      </c:catAx>
      <c:valAx>
        <c:axId val="324727936"/>
        <c:scaling>
          <c:orientation val="minMax"/>
        </c:scaling>
        <c:delete val="1"/>
        <c:axPos val="l"/>
        <c:numFmt formatCode="#,##0" sourceLinked="1"/>
        <c:majorTickMark val="none"/>
        <c:minorTickMark val="none"/>
        <c:tickLblPos val="nextTo"/>
        <c:crossAx val="324651264"/>
        <c:crosses val="autoZero"/>
        <c:crossBetween val="between"/>
      </c:valAx>
    </c:plotArea>
    <c:plotVisOnly val="1"/>
    <c:dispBlanksAs val="gap"/>
    <c:showDLblsOverMax val="0"/>
  </c:chart>
  <c:txPr>
    <a:bodyPr/>
    <a:lstStyle/>
    <a:p>
      <a:pPr>
        <a:defRPr sz="1000"/>
      </a:pPr>
      <a:endParaRPr lang="es-CL"/>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Consumo de</a:t>
            </a:r>
            <a:r>
              <a:rPr lang="en-US" sz="800" baseline="0"/>
              <a:t> energía  eléctrica y combustibles utilizados por centros de cultivo categoría PYME y Grande</a:t>
            </a:r>
            <a:endParaRPr lang="en-US" sz="800"/>
          </a:p>
        </c:rich>
      </c:tx>
      <c:layout>
        <c:manualLayout>
          <c:xMode val="edge"/>
          <c:yMode val="edge"/>
          <c:x val="0.10999152029073289"/>
          <c:y val="3.8473854289516663E-3"/>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'Insumos (2)'!$B$20</c:f>
              <c:strCache>
                <c:ptCount val="1"/>
                <c:pt idx="0">
                  <c:v>PYME</c:v>
                </c:pt>
              </c:strCache>
            </c:strRef>
          </c:tx>
          <c:invertIfNegative val="0"/>
          <c:dLbls>
            <c:dLbl>
              <c:idx val="0"/>
              <c:layout>
                <c:manualLayout>
                  <c:x val="-1.3569746267391266E-2"/>
                  <c:y val="1.0544399928749755E-2"/>
                </c:manualLayout>
              </c:layout>
              <c:showLegendKey val="0"/>
              <c:showVal val="1"/>
              <c:showCatName val="0"/>
              <c:showSerName val="0"/>
              <c:showPercent val="0"/>
              <c:showBubbleSize val="0"/>
            </c:dLbl>
            <c:dLbl>
              <c:idx val="2"/>
              <c:layout>
                <c:manualLayout>
                  <c:x val="-2.3822368416116377E-2"/>
                  <c:y val="1.3465447872812659E-2"/>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'Insumos (2)'!$BP$19:$BS$19</c:f>
              <c:strCache>
                <c:ptCount val="4"/>
                <c:pt idx="0">
                  <c:v>Energía Eléctrica (kWh)</c:v>
                </c:pt>
                <c:pt idx="1">
                  <c:v>Petróleo (L)</c:v>
                </c:pt>
                <c:pt idx="2">
                  <c:v>Bencina (L)</c:v>
                </c:pt>
                <c:pt idx="3">
                  <c:v>Gas (Kg)</c:v>
                </c:pt>
              </c:strCache>
            </c:strRef>
          </c:cat>
          <c:val>
            <c:numRef>
              <c:f>'Insumos (2)'!$BP$20:$BS$20</c:f>
              <c:numCache>
                <c:formatCode>_-* #,##0\ _€_-;\-* #,##0\ _€_-;_-* "-"??\ _€_-;_-@_-</c:formatCode>
                <c:ptCount val="4"/>
                <c:pt idx="0">
                  <c:v>8764</c:v>
                </c:pt>
                <c:pt idx="1">
                  <c:v>22739</c:v>
                </c:pt>
                <c:pt idx="2">
                  <c:v>49484</c:v>
                </c:pt>
                <c:pt idx="3">
                  <c:v>780</c:v>
                </c:pt>
              </c:numCache>
            </c:numRef>
          </c:val>
        </c:ser>
        <c:ser>
          <c:idx val="1"/>
          <c:order val="1"/>
          <c:tx>
            <c:strRef>
              <c:f>'Insumos (2)'!$B$21</c:f>
              <c:strCache>
                <c:ptCount val="1"/>
                <c:pt idx="0">
                  <c:v>Grande</c:v>
                </c:pt>
              </c:strCache>
            </c:strRef>
          </c:tx>
          <c:invertIfNegative val="0"/>
          <c:dLbls>
            <c:dLbl>
              <c:idx val="0"/>
              <c:layout>
                <c:manualLayout>
                  <c:x val="2.310507127577599E-2"/>
                  <c:y val="-1.6386495816875565E-2"/>
                </c:manualLayout>
              </c:layout>
              <c:showLegendKey val="0"/>
              <c:showVal val="1"/>
              <c:showCatName val="0"/>
              <c:showSerName val="0"/>
              <c:showPercent val="0"/>
              <c:showBubbleSize val="0"/>
            </c:dLbl>
            <c:dLbl>
              <c:idx val="2"/>
              <c:layout>
                <c:manualLayout>
                  <c:x val="2.8586842099339652E-2"/>
                  <c:y val="0"/>
                </c:manualLayout>
              </c:layout>
              <c:showLegendKey val="0"/>
              <c:showVal val="1"/>
              <c:showCatName val="0"/>
              <c:showSerName val="0"/>
              <c:showPercent val="0"/>
              <c:showBubbleSize val="0"/>
            </c:dLbl>
            <c:dLbl>
              <c:idx val="3"/>
              <c:layout>
                <c:manualLayout>
                  <c:x val="3.3351315782563014E-2"/>
                  <c:y val="8.9769652485418554E-3"/>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'Insumos (2)'!$BP$19:$BS$19</c:f>
              <c:strCache>
                <c:ptCount val="4"/>
                <c:pt idx="0">
                  <c:v>Energía Eléctrica (kWh)</c:v>
                </c:pt>
                <c:pt idx="1">
                  <c:v>Petróleo (L)</c:v>
                </c:pt>
                <c:pt idx="2">
                  <c:v>Bencina (L)</c:v>
                </c:pt>
                <c:pt idx="3">
                  <c:v>Gas (Kg)</c:v>
                </c:pt>
              </c:strCache>
            </c:strRef>
          </c:cat>
          <c:val>
            <c:numRef>
              <c:f>'Insumos (2)'!$BP$21:$BS$21</c:f>
              <c:numCache>
                <c:formatCode>_-* #,##0\ _€_-;\-* #,##0\ _€_-;_-* "-"??\ _€_-;_-@_-</c:formatCode>
                <c:ptCount val="4"/>
                <c:pt idx="0">
                  <c:v>25164</c:v>
                </c:pt>
                <c:pt idx="1">
                  <c:v>373200</c:v>
                </c:pt>
                <c:pt idx="2">
                  <c:v>59874</c:v>
                </c:pt>
                <c:pt idx="3">
                  <c:v>75077</c:v>
                </c:pt>
              </c:numCache>
            </c:numRef>
          </c:val>
        </c:ser>
        <c:dLbls>
          <c:showLegendKey val="0"/>
          <c:showVal val="1"/>
          <c:showCatName val="0"/>
          <c:showSerName val="0"/>
          <c:showPercent val="0"/>
          <c:showBubbleSize val="0"/>
        </c:dLbls>
        <c:gapWidth val="150"/>
        <c:shape val="box"/>
        <c:axId val="282846336"/>
        <c:axId val="282847872"/>
        <c:axId val="0"/>
      </c:bar3DChart>
      <c:catAx>
        <c:axId val="282846336"/>
        <c:scaling>
          <c:orientation val="minMax"/>
        </c:scaling>
        <c:delete val="0"/>
        <c:axPos val="b"/>
        <c:majorTickMark val="none"/>
        <c:minorTickMark val="none"/>
        <c:tickLblPos val="nextTo"/>
        <c:txPr>
          <a:bodyPr/>
          <a:lstStyle/>
          <a:p>
            <a:pPr>
              <a:defRPr sz="800"/>
            </a:pPr>
            <a:endParaRPr lang="es-CL"/>
          </a:p>
        </c:txPr>
        <c:crossAx val="282847872"/>
        <c:crosses val="autoZero"/>
        <c:auto val="1"/>
        <c:lblAlgn val="ctr"/>
        <c:lblOffset val="100"/>
        <c:noMultiLvlLbl val="0"/>
      </c:catAx>
      <c:valAx>
        <c:axId val="282847872"/>
        <c:scaling>
          <c:orientation val="minMax"/>
        </c:scaling>
        <c:delete val="1"/>
        <c:axPos val="l"/>
        <c:numFmt formatCode="_-* #,##0\ _€_-;\-* #,##0\ _€_-;_-* &quot;-&quot;??\ _€_-;_-@_-" sourceLinked="1"/>
        <c:majorTickMark val="out"/>
        <c:minorTickMark val="none"/>
        <c:tickLblPos val="nextTo"/>
        <c:crossAx val="282846336"/>
        <c:crosses val="autoZero"/>
        <c:crossBetween val="between"/>
      </c:valAx>
    </c:plotArea>
    <c:legend>
      <c:legendPos val="t"/>
      <c:layout>
        <c:manualLayout>
          <c:xMode val="edge"/>
          <c:yMode val="edge"/>
          <c:x val="0.30907853578344829"/>
          <c:y val="0.16768256215164115"/>
          <c:w val="0.34081701325795816"/>
          <c:h val="7.4237876873366193E-2"/>
        </c:manualLayout>
      </c:layout>
      <c:overlay val="0"/>
      <c:txPr>
        <a:bodyPr/>
        <a:lstStyle/>
        <a:p>
          <a:pPr>
            <a:defRPr sz="750"/>
          </a:pPr>
          <a:endParaRPr lang="es-CL"/>
        </a:p>
      </c:txPr>
    </c:legend>
    <c:plotVisOnly val="1"/>
    <c:dispBlanksAs val="gap"/>
    <c:showDLblsOverMax val="0"/>
  </c:chart>
  <c:txPr>
    <a:bodyPr/>
    <a:lstStyle/>
    <a:p>
      <a:pPr>
        <a:defRPr sz="1100"/>
      </a:pPr>
      <a:endParaRPr lang="es-CL"/>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b="1" i="0" baseline="0">
                <a:effectLst/>
              </a:rPr>
              <a:t>Consumo promedio de energía  eléctrica y combustibles utilizados por centros de cultivo categoría PYME y Grande</a:t>
            </a:r>
            <a:endParaRPr lang="es-CL" sz="800">
              <a:effectLst/>
            </a:endParaRPr>
          </a:p>
        </c:rich>
      </c:tx>
      <c:layout>
        <c:manualLayout>
          <c:xMode val="edge"/>
          <c:yMode val="edge"/>
          <c:x val="0.10999152029073289"/>
          <c:y val="3.8473854289516663E-3"/>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'Insumos (2)'!$B$20</c:f>
              <c:strCache>
                <c:ptCount val="1"/>
                <c:pt idx="0">
                  <c:v>PYME</c:v>
                </c:pt>
              </c:strCache>
            </c:strRef>
          </c:tx>
          <c:invertIfNegative val="0"/>
          <c:dLbls>
            <c:dLbl>
              <c:idx val="0"/>
              <c:layout>
                <c:manualLayout>
                  <c:x val="-1.3569741176629478E-2"/>
                  <c:y val="1.5674346802079827E-3"/>
                </c:manualLayout>
              </c:layout>
              <c:showLegendKey val="0"/>
              <c:showVal val="1"/>
              <c:showCatName val="0"/>
              <c:showSerName val="0"/>
              <c:showPercent val="0"/>
              <c:showBubbleSize val="0"/>
            </c:dLbl>
            <c:dLbl>
              <c:idx val="1"/>
              <c:layout>
                <c:manualLayout>
                  <c:x val="-9.5289437916117534E-3"/>
                  <c:y val="8.9769652485417739E-3"/>
                </c:manualLayout>
              </c:layout>
              <c:showLegendKey val="0"/>
              <c:showVal val="1"/>
              <c:showCatName val="0"/>
              <c:showSerName val="0"/>
              <c:showPercent val="0"/>
              <c:showBubbleSize val="0"/>
            </c:dLbl>
            <c:dLbl>
              <c:idx val="2"/>
              <c:layout>
                <c:manualLayout>
                  <c:x val="-9.5289437916117534E-3"/>
                  <c:y val="1.3465447872812659E-2"/>
                </c:manualLayout>
              </c:layout>
              <c:showLegendKey val="0"/>
              <c:showVal val="1"/>
              <c:showCatName val="0"/>
              <c:showSerName val="0"/>
              <c:showPercent val="0"/>
              <c:showBubbleSize val="0"/>
            </c:dLbl>
            <c:dLbl>
              <c:idx val="3"/>
              <c:layout>
                <c:manualLayout>
                  <c:x val="9.5289437916117534E-3"/>
                  <c:y val="0"/>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'Insumos (2)'!$BV$19:$BY$19</c:f>
              <c:strCache>
                <c:ptCount val="4"/>
                <c:pt idx="0">
                  <c:v>Energía Eléctrica (kWh)</c:v>
                </c:pt>
                <c:pt idx="1">
                  <c:v>Petróleo (L)</c:v>
                </c:pt>
                <c:pt idx="2">
                  <c:v>Bencina (L)</c:v>
                </c:pt>
                <c:pt idx="3">
                  <c:v>Gas (Kg)</c:v>
                </c:pt>
              </c:strCache>
            </c:strRef>
          </c:cat>
          <c:val>
            <c:numRef>
              <c:f>'Insumos (2)'!$BV$20:$BY$20</c:f>
              <c:numCache>
                <c:formatCode>_-* #,##0\ _€_-;\-* #,##0\ _€_-;_-* "-"??\ _€_-;_-@_-</c:formatCode>
                <c:ptCount val="4"/>
                <c:pt idx="0">
                  <c:v>796.72727272727275</c:v>
                </c:pt>
                <c:pt idx="1">
                  <c:v>1749.1538461538462</c:v>
                </c:pt>
                <c:pt idx="2">
                  <c:v>3806.4615384615386</c:v>
                </c:pt>
                <c:pt idx="3">
                  <c:v>65</c:v>
                </c:pt>
              </c:numCache>
            </c:numRef>
          </c:val>
        </c:ser>
        <c:ser>
          <c:idx val="1"/>
          <c:order val="1"/>
          <c:tx>
            <c:strRef>
              <c:f>'Insumos (2)'!$B$21</c:f>
              <c:strCache>
                <c:ptCount val="1"/>
                <c:pt idx="0">
                  <c:v>Grande</c:v>
                </c:pt>
              </c:strCache>
            </c:strRef>
          </c:tx>
          <c:invertIfNegative val="0"/>
          <c:dLbls>
            <c:dLbl>
              <c:idx val="0"/>
              <c:layout>
                <c:manualLayout>
                  <c:x val="2.3105062607786799E-2"/>
                  <c:y val="1.5674346802079827E-3"/>
                </c:manualLayout>
              </c:layout>
              <c:showLegendKey val="0"/>
              <c:showVal val="1"/>
              <c:showCatName val="0"/>
              <c:showSerName val="0"/>
              <c:showPercent val="0"/>
              <c:showBubbleSize val="0"/>
            </c:dLbl>
            <c:dLbl>
              <c:idx val="1"/>
              <c:layout>
                <c:manualLayout>
                  <c:x val="1.9057887583223507E-2"/>
                  <c:y val="-4.1143948757409468E-17"/>
                </c:manualLayout>
              </c:layout>
              <c:showLegendKey val="0"/>
              <c:showVal val="1"/>
              <c:showCatName val="0"/>
              <c:showSerName val="0"/>
              <c:showPercent val="0"/>
              <c:showBubbleSize val="0"/>
            </c:dLbl>
            <c:dLbl>
              <c:idx val="2"/>
              <c:layout>
                <c:manualLayout>
                  <c:x val="1.9057887583223507E-2"/>
                  <c:y val="-8.2287897514818935E-17"/>
                </c:manualLayout>
              </c:layout>
              <c:showLegendKey val="0"/>
              <c:showVal val="1"/>
              <c:showCatName val="0"/>
              <c:showSerName val="0"/>
              <c:showPercent val="0"/>
              <c:showBubbleSize val="0"/>
            </c:dLbl>
            <c:dLbl>
              <c:idx val="3"/>
              <c:layout>
                <c:manualLayout>
                  <c:x val="1.429341568741763E-2"/>
                  <c:y val="8.9769652485416906E-3"/>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'Insumos (2)'!$BV$19:$BY$19</c:f>
              <c:strCache>
                <c:ptCount val="4"/>
                <c:pt idx="0">
                  <c:v>Energía Eléctrica (kWh)</c:v>
                </c:pt>
                <c:pt idx="1">
                  <c:v>Petróleo (L)</c:v>
                </c:pt>
                <c:pt idx="2">
                  <c:v>Bencina (L)</c:v>
                </c:pt>
                <c:pt idx="3">
                  <c:v>Gas (Kg)</c:v>
                </c:pt>
              </c:strCache>
            </c:strRef>
          </c:cat>
          <c:val>
            <c:numRef>
              <c:f>'Insumos (2)'!$BV$21:$BY$21</c:f>
              <c:numCache>
                <c:formatCode>_-* #,##0\ _€_-;\-* #,##0\ _€_-;_-* "-"??\ _€_-;_-@_-</c:formatCode>
                <c:ptCount val="4"/>
                <c:pt idx="0">
                  <c:v>4194</c:v>
                </c:pt>
                <c:pt idx="1">
                  <c:v>41466.666666666664</c:v>
                </c:pt>
                <c:pt idx="2">
                  <c:v>7484.25</c:v>
                </c:pt>
                <c:pt idx="3">
                  <c:v>15015.4</c:v>
                </c:pt>
              </c:numCache>
            </c:numRef>
          </c:val>
        </c:ser>
        <c:dLbls>
          <c:showLegendKey val="0"/>
          <c:showVal val="1"/>
          <c:showCatName val="0"/>
          <c:showSerName val="0"/>
          <c:showPercent val="0"/>
          <c:showBubbleSize val="0"/>
        </c:dLbls>
        <c:gapWidth val="150"/>
        <c:shape val="box"/>
        <c:axId val="283062656"/>
        <c:axId val="283064192"/>
        <c:axId val="0"/>
      </c:bar3DChart>
      <c:catAx>
        <c:axId val="283062656"/>
        <c:scaling>
          <c:orientation val="minMax"/>
        </c:scaling>
        <c:delete val="0"/>
        <c:axPos val="b"/>
        <c:majorTickMark val="none"/>
        <c:minorTickMark val="none"/>
        <c:tickLblPos val="nextTo"/>
        <c:txPr>
          <a:bodyPr/>
          <a:lstStyle/>
          <a:p>
            <a:pPr>
              <a:defRPr sz="800"/>
            </a:pPr>
            <a:endParaRPr lang="es-CL"/>
          </a:p>
        </c:txPr>
        <c:crossAx val="283064192"/>
        <c:crosses val="autoZero"/>
        <c:auto val="1"/>
        <c:lblAlgn val="ctr"/>
        <c:lblOffset val="100"/>
        <c:noMultiLvlLbl val="0"/>
      </c:catAx>
      <c:valAx>
        <c:axId val="283064192"/>
        <c:scaling>
          <c:orientation val="minMax"/>
        </c:scaling>
        <c:delete val="1"/>
        <c:axPos val="l"/>
        <c:numFmt formatCode="_-* #,##0\ _€_-;\-* #,##0\ _€_-;_-* &quot;-&quot;??\ _€_-;_-@_-" sourceLinked="1"/>
        <c:majorTickMark val="out"/>
        <c:minorTickMark val="none"/>
        <c:tickLblPos val="nextTo"/>
        <c:crossAx val="283062656"/>
        <c:crosses val="autoZero"/>
        <c:crossBetween val="between"/>
      </c:valAx>
    </c:plotArea>
    <c:legend>
      <c:legendPos val="t"/>
      <c:layout>
        <c:manualLayout>
          <c:xMode val="edge"/>
          <c:yMode val="edge"/>
          <c:x val="0.1852025256953222"/>
          <c:y val="0.16768256215164115"/>
          <c:w val="0.53616027833519597"/>
          <c:h val="7.4237876873366193E-2"/>
        </c:manualLayout>
      </c:layout>
      <c:overlay val="0"/>
      <c:txPr>
        <a:bodyPr/>
        <a:lstStyle/>
        <a:p>
          <a:pPr>
            <a:defRPr sz="750"/>
          </a:pPr>
          <a:endParaRPr lang="es-CL"/>
        </a:p>
      </c:txPr>
    </c:legend>
    <c:plotVisOnly val="1"/>
    <c:dispBlanksAs val="gap"/>
    <c:showDLblsOverMax val="0"/>
  </c:chart>
  <c:txPr>
    <a:bodyPr/>
    <a:lstStyle/>
    <a:p>
      <a:pPr>
        <a:defRPr sz="1100"/>
      </a:pPr>
      <a:endParaRPr lang="es-CL"/>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Consumo promedio Energía</a:t>
            </a:r>
            <a:r>
              <a:rPr lang="en-US" sz="800" baseline="0"/>
              <a:t> eléctrica (KwH)</a:t>
            </a:r>
            <a:endParaRPr lang="en-US" sz="80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'Insumos (2)'!$BL$19</c:f>
              <c:strCache>
                <c:ptCount val="1"/>
                <c:pt idx="0">
                  <c:v>Electricidad (KwH)</c:v>
                </c:pt>
              </c:strCache>
            </c:strRef>
          </c:tx>
          <c:invertIfNegative val="0"/>
          <c:dLbls>
            <c:dLbl>
              <c:idx val="0"/>
              <c:layout>
                <c:manualLayout>
                  <c:x val="2.8198184396029325E-2"/>
                  <c:y val="-2.8097889063117925E-2"/>
                </c:manualLayout>
              </c:layout>
              <c:showLegendKey val="0"/>
              <c:showVal val="1"/>
              <c:showCatName val="0"/>
              <c:showSerName val="0"/>
              <c:showPercent val="0"/>
              <c:showBubbleSize val="0"/>
            </c:dLbl>
            <c:dLbl>
              <c:idx val="1"/>
              <c:layout>
                <c:manualLayout>
                  <c:x val="2.8198431101463285E-2"/>
                  <c:y val="-2.1073416797338443E-2"/>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'Insumos (2)'!$B$20:$B$21</c:f>
              <c:strCache>
                <c:ptCount val="2"/>
                <c:pt idx="0">
                  <c:v>PYME</c:v>
                </c:pt>
                <c:pt idx="1">
                  <c:v>Grande</c:v>
                </c:pt>
              </c:strCache>
            </c:strRef>
          </c:cat>
          <c:val>
            <c:numRef>
              <c:f>'Insumos (2)'!$BL$20:$BL$21</c:f>
              <c:numCache>
                <c:formatCode>_-* #,##0\ _€_-;\-* #,##0\ _€_-;_-* "-"??\ _€_-;_-@_-</c:formatCode>
                <c:ptCount val="2"/>
                <c:pt idx="0">
                  <c:v>796.72727272727275</c:v>
                </c:pt>
                <c:pt idx="1">
                  <c:v>4194</c:v>
                </c:pt>
              </c:numCache>
            </c:numRef>
          </c:val>
        </c:ser>
        <c:dLbls>
          <c:showLegendKey val="0"/>
          <c:showVal val="1"/>
          <c:showCatName val="0"/>
          <c:showSerName val="0"/>
          <c:showPercent val="0"/>
          <c:showBubbleSize val="0"/>
        </c:dLbls>
        <c:gapWidth val="150"/>
        <c:shape val="box"/>
        <c:axId val="283104768"/>
        <c:axId val="283111808"/>
        <c:axId val="0"/>
      </c:bar3DChart>
      <c:catAx>
        <c:axId val="283104768"/>
        <c:scaling>
          <c:orientation val="minMax"/>
        </c:scaling>
        <c:delete val="0"/>
        <c:axPos val="b"/>
        <c:majorTickMark val="none"/>
        <c:minorTickMark val="none"/>
        <c:tickLblPos val="nextTo"/>
        <c:txPr>
          <a:bodyPr/>
          <a:lstStyle/>
          <a:p>
            <a:pPr>
              <a:defRPr sz="800"/>
            </a:pPr>
            <a:endParaRPr lang="es-CL"/>
          </a:p>
        </c:txPr>
        <c:crossAx val="283111808"/>
        <c:crosses val="autoZero"/>
        <c:auto val="1"/>
        <c:lblAlgn val="ctr"/>
        <c:lblOffset val="100"/>
        <c:noMultiLvlLbl val="0"/>
      </c:catAx>
      <c:valAx>
        <c:axId val="283111808"/>
        <c:scaling>
          <c:orientation val="minMax"/>
        </c:scaling>
        <c:delete val="1"/>
        <c:axPos val="l"/>
        <c:numFmt formatCode="_-* #,##0\ _€_-;\-* #,##0\ _€_-;_-* &quot;-&quot;??\ _€_-;_-@_-" sourceLinked="1"/>
        <c:majorTickMark val="out"/>
        <c:minorTickMark val="none"/>
        <c:tickLblPos val="nextTo"/>
        <c:crossAx val="283104768"/>
        <c:crosses val="autoZero"/>
        <c:crossBetween val="between"/>
      </c:valAx>
    </c:plotArea>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Consumo promedio Energía</a:t>
            </a:r>
            <a:r>
              <a:rPr lang="en-US" sz="800" baseline="0"/>
              <a:t> eléctrica por tonelada de Materia Prima cosechada (KwH/Ton)</a:t>
            </a:r>
            <a:endParaRPr lang="en-US" sz="80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'Insumos (2)'!$BM$19</c:f>
              <c:strCache>
                <c:ptCount val="1"/>
                <c:pt idx="0">
                  <c:v>Electricidad (KwH)/MP (Ton)</c:v>
                </c:pt>
              </c:strCache>
            </c:strRef>
          </c:tx>
          <c:invertIfNegative val="0"/>
          <c:dLbls>
            <c:dLbl>
              <c:idx val="0"/>
              <c:layout>
                <c:manualLayout>
                  <c:x val="2.8198184396029325E-2"/>
                  <c:y val="-2.8097889063117925E-2"/>
                </c:manualLayout>
              </c:layout>
              <c:showLegendKey val="0"/>
              <c:showVal val="1"/>
              <c:showCatName val="0"/>
              <c:showSerName val="0"/>
              <c:showPercent val="0"/>
              <c:showBubbleSize val="0"/>
            </c:dLbl>
            <c:dLbl>
              <c:idx val="1"/>
              <c:layout>
                <c:manualLayout>
                  <c:x val="2.8198431101463285E-2"/>
                  <c:y val="-2.1073416797338443E-2"/>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'Insumos (2)'!$B$20:$B$21</c:f>
              <c:strCache>
                <c:ptCount val="2"/>
                <c:pt idx="0">
                  <c:v>PYME</c:v>
                </c:pt>
                <c:pt idx="1">
                  <c:v>Grande</c:v>
                </c:pt>
              </c:strCache>
            </c:strRef>
          </c:cat>
          <c:val>
            <c:numRef>
              <c:f>'Insumos (2)'!$BM$20:$BM$21</c:f>
              <c:numCache>
                <c:formatCode>_-* #,##0.0\ _€_-;\-* #,##0.0\ _€_-;_-* "-"??\ _€_-;_-@_-</c:formatCode>
                <c:ptCount val="2"/>
                <c:pt idx="0">
                  <c:v>0.92891969017529552</c:v>
                </c:pt>
                <c:pt idx="1">
                  <c:v>1.4369411039161271</c:v>
                </c:pt>
              </c:numCache>
            </c:numRef>
          </c:val>
        </c:ser>
        <c:dLbls>
          <c:showLegendKey val="0"/>
          <c:showVal val="1"/>
          <c:showCatName val="0"/>
          <c:showSerName val="0"/>
          <c:showPercent val="0"/>
          <c:showBubbleSize val="0"/>
        </c:dLbls>
        <c:gapWidth val="150"/>
        <c:shape val="box"/>
        <c:axId val="283131264"/>
        <c:axId val="283150592"/>
        <c:axId val="0"/>
      </c:bar3DChart>
      <c:catAx>
        <c:axId val="283131264"/>
        <c:scaling>
          <c:orientation val="minMax"/>
        </c:scaling>
        <c:delete val="0"/>
        <c:axPos val="b"/>
        <c:majorTickMark val="none"/>
        <c:minorTickMark val="none"/>
        <c:tickLblPos val="nextTo"/>
        <c:txPr>
          <a:bodyPr/>
          <a:lstStyle/>
          <a:p>
            <a:pPr>
              <a:defRPr sz="800"/>
            </a:pPr>
            <a:endParaRPr lang="es-CL"/>
          </a:p>
        </c:txPr>
        <c:crossAx val="283150592"/>
        <c:crosses val="autoZero"/>
        <c:auto val="1"/>
        <c:lblAlgn val="ctr"/>
        <c:lblOffset val="100"/>
        <c:noMultiLvlLbl val="0"/>
      </c:catAx>
      <c:valAx>
        <c:axId val="283150592"/>
        <c:scaling>
          <c:orientation val="minMax"/>
        </c:scaling>
        <c:delete val="1"/>
        <c:axPos val="l"/>
        <c:numFmt formatCode="_-* #,##0.0\ _€_-;\-* #,##0.0\ _€_-;_-* &quot;-&quot;??\ _€_-;_-@_-" sourceLinked="1"/>
        <c:majorTickMark val="out"/>
        <c:minorTickMark val="none"/>
        <c:tickLblPos val="nextTo"/>
        <c:crossAx val="283131264"/>
        <c:crosses val="autoZero"/>
        <c:crossBetween val="between"/>
      </c:valAx>
    </c:plotArea>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lgn="just">
              <a:defRPr sz="800"/>
            </a:pPr>
            <a:r>
              <a:rPr lang="en-US" sz="800"/>
              <a:t>Consumo</a:t>
            </a:r>
            <a:r>
              <a:rPr lang="en-US" sz="800" baseline="0"/>
              <a:t> promedio de combustible de los  centros de  cultivo MYPE y Grande</a:t>
            </a:r>
            <a:endParaRPr lang="en-US" sz="800"/>
          </a:p>
        </c:rich>
      </c:tx>
      <c:layout>
        <c:manualLayout>
          <c:xMode val="edge"/>
          <c:yMode val="edge"/>
          <c:x val="9.2482633961249464E-2"/>
          <c:y val="0"/>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'Insumos (2)'!$CJ$27</c:f>
              <c:strCache>
                <c:ptCount val="1"/>
                <c:pt idx="0">
                  <c:v>Total </c:v>
                </c:pt>
              </c:strCache>
            </c:strRef>
          </c:tx>
          <c:invertIfNegative val="0"/>
          <c:dLbls>
            <c:dLbl>
              <c:idx val="0"/>
              <c:layout>
                <c:manualLayout>
                  <c:x val="3.7399501053166223E-2"/>
                  <c:y val="1.3592601152729426E-2"/>
                </c:manualLayout>
              </c:layout>
              <c:spPr/>
              <c:txPr>
                <a:bodyPr/>
                <a:lstStyle/>
                <a:p>
                  <a:pPr>
                    <a:defRPr sz="700"/>
                  </a:pPr>
                  <a:endParaRPr lang="es-CL"/>
                </a:p>
              </c:txPr>
              <c:showLegendKey val="0"/>
              <c:showVal val="1"/>
              <c:showCatName val="0"/>
              <c:showSerName val="0"/>
              <c:showPercent val="0"/>
              <c:showBubbleSize val="0"/>
            </c:dLbl>
            <c:dLbl>
              <c:idx val="1"/>
              <c:layout>
                <c:manualLayout>
                  <c:x val="2.4999925307360213E-2"/>
                  <c:y val="4.3700434801450302E-3"/>
                </c:manualLayout>
              </c:layout>
              <c:spPr/>
              <c:txPr>
                <a:bodyPr/>
                <a:lstStyle/>
                <a:p>
                  <a:pPr>
                    <a:defRPr sz="700"/>
                  </a:pPr>
                  <a:endParaRPr lang="es-CL"/>
                </a:p>
              </c:txPr>
              <c:showLegendKey val="0"/>
              <c:showVal val="1"/>
              <c:showCatName val="0"/>
              <c:showSerName val="0"/>
              <c:showPercent val="0"/>
              <c:showBubbleSize val="0"/>
            </c:dLbl>
            <c:dLbl>
              <c:idx val="2"/>
              <c:layout>
                <c:manualLayout>
                  <c:x val="2.7777893966328557E-2"/>
                  <c:y val="4.4133791728660785E-3"/>
                </c:manualLayout>
              </c:layout>
              <c:spPr/>
              <c:txPr>
                <a:bodyPr/>
                <a:lstStyle/>
                <a:p>
                  <a:pPr>
                    <a:defRPr sz="700"/>
                  </a:pPr>
                  <a:endParaRPr lang="es-CL"/>
                </a:p>
              </c:txPr>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'Insumos (2)'!$CK$24:$CM$24</c:f>
              <c:strCache>
                <c:ptCount val="3"/>
                <c:pt idx="0">
                  <c:v>Diesel (L)</c:v>
                </c:pt>
                <c:pt idx="1">
                  <c:v>Total  Bencina (L)</c:v>
                </c:pt>
                <c:pt idx="2">
                  <c:v>Gas (Kg)</c:v>
                </c:pt>
              </c:strCache>
            </c:strRef>
          </c:cat>
          <c:val>
            <c:numRef>
              <c:f>'Insumos (2)'!$CK$27:$CM$27</c:f>
              <c:numCache>
                <c:formatCode>_-* #,##0\ _€_-;\-* #,##0\ _€_-;_-* "-"??\ _€_-;_-@_-</c:formatCode>
                <c:ptCount val="3"/>
                <c:pt idx="0">
                  <c:v>43215.820512820508</c:v>
                </c:pt>
                <c:pt idx="1">
                  <c:v>11290.711538461539</c:v>
                </c:pt>
                <c:pt idx="2">
                  <c:v>15080.4</c:v>
                </c:pt>
              </c:numCache>
            </c:numRef>
          </c:val>
        </c:ser>
        <c:dLbls>
          <c:showLegendKey val="0"/>
          <c:showVal val="1"/>
          <c:showCatName val="0"/>
          <c:showSerName val="0"/>
          <c:showPercent val="0"/>
          <c:showBubbleSize val="0"/>
        </c:dLbls>
        <c:gapWidth val="150"/>
        <c:shape val="box"/>
        <c:axId val="283185152"/>
        <c:axId val="283186688"/>
        <c:axId val="0"/>
      </c:bar3DChart>
      <c:catAx>
        <c:axId val="283185152"/>
        <c:scaling>
          <c:orientation val="minMax"/>
        </c:scaling>
        <c:delete val="0"/>
        <c:axPos val="b"/>
        <c:majorTickMark val="none"/>
        <c:minorTickMark val="none"/>
        <c:tickLblPos val="nextTo"/>
        <c:txPr>
          <a:bodyPr/>
          <a:lstStyle/>
          <a:p>
            <a:pPr>
              <a:defRPr sz="800"/>
            </a:pPr>
            <a:endParaRPr lang="es-CL"/>
          </a:p>
        </c:txPr>
        <c:crossAx val="283186688"/>
        <c:crosses val="autoZero"/>
        <c:auto val="1"/>
        <c:lblAlgn val="ctr"/>
        <c:lblOffset val="100"/>
        <c:noMultiLvlLbl val="0"/>
      </c:catAx>
      <c:valAx>
        <c:axId val="283186688"/>
        <c:scaling>
          <c:orientation val="minMax"/>
        </c:scaling>
        <c:delete val="1"/>
        <c:axPos val="l"/>
        <c:numFmt formatCode="_-* #,##0\ _€_-;\-* #,##0\ _€_-;_-* &quot;-&quot;??\ _€_-;_-@_-" sourceLinked="1"/>
        <c:majorTickMark val="out"/>
        <c:minorTickMark val="none"/>
        <c:tickLblPos val="nextTo"/>
        <c:crossAx val="283185152"/>
        <c:crosses val="autoZero"/>
        <c:crossBetween val="between"/>
      </c:valAx>
    </c:plotArea>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lgn="just">
              <a:defRPr sz="800"/>
            </a:pPr>
            <a:r>
              <a:rPr lang="en-US" sz="800" b="1" i="0" baseline="0">
                <a:effectLst/>
              </a:rPr>
              <a:t>Consumo promedio de combustibles utilizados por centros de cultivo categoría PYME y Grande</a:t>
            </a:r>
            <a:endParaRPr lang="es-CL" sz="800">
              <a:effectLst/>
            </a:endParaRPr>
          </a:p>
        </c:rich>
      </c:tx>
      <c:layout>
        <c:manualLayout>
          <c:xMode val="edge"/>
          <c:yMode val="edge"/>
          <c:x val="0.10999152029073289"/>
          <c:y val="3.8473854289516663E-3"/>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'Insumos (2)'!$B$20</c:f>
              <c:strCache>
                <c:ptCount val="1"/>
                <c:pt idx="0">
                  <c:v>PYME</c:v>
                </c:pt>
              </c:strCache>
            </c:strRef>
          </c:tx>
          <c:invertIfNegative val="0"/>
          <c:dLbls>
            <c:dLbl>
              <c:idx val="0"/>
              <c:layout>
                <c:manualLayout>
                  <c:x val="6.717267575962276E-4"/>
                  <c:y val="1.6370708912573511E-2"/>
                </c:manualLayout>
              </c:layout>
              <c:showLegendKey val="0"/>
              <c:showVal val="1"/>
              <c:showCatName val="0"/>
              <c:showSerName val="0"/>
              <c:showPercent val="0"/>
              <c:showBubbleSize val="0"/>
            </c:dLbl>
            <c:dLbl>
              <c:idx val="1"/>
              <c:layout>
                <c:manualLayout>
                  <c:x val="0"/>
                  <c:y val="1.8288479158153945E-2"/>
                </c:manualLayout>
              </c:layout>
              <c:showLegendKey val="0"/>
              <c:showVal val="1"/>
              <c:showCatName val="0"/>
              <c:showSerName val="0"/>
              <c:showPercent val="0"/>
              <c:showBubbleSize val="0"/>
            </c:dLbl>
            <c:txPr>
              <a:bodyPr/>
              <a:lstStyle/>
              <a:p>
                <a:pPr>
                  <a:defRPr sz="650"/>
                </a:pPr>
                <a:endParaRPr lang="es-CL"/>
              </a:p>
            </c:txPr>
            <c:showLegendKey val="0"/>
            <c:showVal val="1"/>
            <c:showCatName val="0"/>
            <c:showSerName val="0"/>
            <c:showPercent val="0"/>
            <c:showBubbleSize val="0"/>
            <c:showLeaderLines val="0"/>
          </c:dLbls>
          <c:cat>
            <c:strRef>
              <c:f>'Insumos (2)'!$BW$19:$BY$19</c:f>
              <c:strCache>
                <c:ptCount val="3"/>
                <c:pt idx="0">
                  <c:v>Petróleo (L)</c:v>
                </c:pt>
                <c:pt idx="1">
                  <c:v>Bencina (L)</c:v>
                </c:pt>
                <c:pt idx="2">
                  <c:v>Gas (Kg)</c:v>
                </c:pt>
              </c:strCache>
            </c:strRef>
          </c:cat>
          <c:val>
            <c:numRef>
              <c:f>'Insumos (2)'!$BW$20:$BY$20</c:f>
              <c:numCache>
                <c:formatCode>_-* #,##0\ _€_-;\-* #,##0\ _€_-;_-* "-"??\ _€_-;_-@_-</c:formatCode>
                <c:ptCount val="3"/>
                <c:pt idx="0">
                  <c:v>1749.1538461538462</c:v>
                </c:pt>
                <c:pt idx="1">
                  <c:v>3806.4615384615386</c:v>
                </c:pt>
                <c:pt idx="2">
                  <c:v>65</c:v>
                </c:pt>
              </c:numCache>
            </c:numRef>
          </c:val>
        </c:ser>
        <c:ser>
          <c:idx val="1"/>
          <c:order val="1"/>
          <c:tx>
            <c:strRef>
              <c:f>'Insumos (2)'!$B$21</c:f>
              <c:strCache>
                <c:ptCount val="1"/>
                <c:pt idx="0">
                  <c:v>Grande</c:v>
                </c:pt>
              </c:strCache>
            </c:strRef>
          </c:tx>
          <c:invertIfNegative val="0"/>
          <c:dLbls>
            <c:dLbl>
              <c:idx val="0"/>
              <c:layout>
                <c:manualLayout>
                  <c:x val="2.4624550485090737E-2"/>
                  <c:y val="7.2268293429287849E-3"/>
                </c:manualLayout>
              </c:layout>
              <c:showLegendKey val="0"/>
              <c:showVal val="1"/>
              <c:showCatName val="0"/>
              <c:showSerName val="0"/>
              <c:showPercent val="0"/>
              <c:showBubbleSize val="0"/>
            </c:dLbl>
            <c:txPr>
              <a:bodyPr/>
              <a:lstStyle/>
              <a:p>
                <a:pPr>
                  <a:defRPr sz="650"/>
                </a:pPr>
                <a:endParaRPr lang="es-CL"/>
              </a:p>
            </c:txPr>
            <c:showLegendKey val="0"/>
            <c:showVal val="1"/>
            <c:showCatName val="0"/>
            <c:showSerName val="0"/>
            <c:showPercent val="0"/>
            <c:showBubbleSize val="0"/>
            <c:showLeaderLines val="0"/>
          </c:dLbls>
          <c:cat>
            <c:strRef>
              <c:f>'Insumos (2)'!$BW$19:$BY$19</c:f>
              <c:strCache>
                <c:ptCount val="3"/>
                <c:pt idx="0">
                  <c:v>Petróleo (L)</c:v>
                </c:pt>
                <c:pt idx="1">
                  <c:v>Bencina (L)</c:v>
                </c:pt>
                <c:pt idx="2">
                  <c:v>Gas (Kg)</c:v>
                </c:pt>
              </c:strCache>
            </c:strRef>
          </c:cat>
          <c:val>
            <c:numRef>
              <c:f>'Insumos (2)'!$BW$21:$BY$21</c:f>
              <c:numCache>
                <c:formatCode>_-* #,##0\ _€_-;\-* #,##0\ _€_-;_-* "-"??\ _€_-;_-@_-</c:formatCode>
                <c:ptCount val="3"/>
                <c:pt idx="0">
                  <c:v>41466.666666666664</c:v>
                </c:pt>
                <c:pt idx="1">
                  <c:v>7484.25</c:v>
                </c:pt>
                <c:pt idx="2">
                  <c:v>15015.4</c:v>
                </c:pt>
              </c:numCache>
            </c:numRef>
          </c:val>
        </c:ser>
        <c:dLbls>
          <c:showLegendKey val="0"/>
          <c:showVal val="1"/>
          <c:showCatName val="0"/>
          <c:showSerName val="0"/>
          <c:showPercent val="0"/>
          <c:showBubbleSize val="0"/>
        </c:dLbls>
        <c:gapWidth val="150"/>
        <c:shape val="box"/>
        <c:axId val="283220992"/>
        <c:axId val="283222784"/>
        <c:axId val="0"/>
      </c:bar3DChart>
      <c:catAx>
        <c:axId val="283220992"/>
        <c:scaling>
          <c:orientation val="minMax"/>
        </c:scaling>
        <c:delete val="0"/>
        <c:axPos val="b"/>
        <c:majorTickMark val="none"/>
        <c:minorTickMark val="none"/>
        <c:tickLblPos val="nextTo"/>
        <c:txPr>
          <a:bodyPr/>
          <a:lstStyle/>
          <a:p>
            <a:pPr>
              <a:defRPr sz="800"/>
            </a:pPr>
            <a:endParaRPr lang="es-CL"/>
          </a:p>
        </c:txPr>
        <c:crossAx val="283222784"/>
        <c:crosses val="autoZero"/>
        <c:auto val="1"/>
        <c:lblAlgn val="ctr"/>
        <c:lblOffset val="100"/>
        <c:noMultiLvlLbl val="0"/>
      </c:catAx>
      <c:valAx>
        <c:axId val="283222784"/>
        <c:scaling>
          <c:orientation val="minMax"/>
        </c:scaling>
        <c:delete val="1"/>
        <c:axPos val="l"/>
        <c:numFmt formatCode="_-* #,##0\ _€_-;\-* #,##0\ _€_-;_-* &quot;-&quot;??\ _€_-;_-@_-" sourceLinked="1"/>
        <c:majorTickMark val="out"/>
        <c:minorTickMark val="none"/>
        <c:tickLblPos val="nextTo"/>
        <c:crossAx val="283220992"/>
        <c:crosses val="autoZero"/>
        <c:crossBetween val="between"/>
      </c:valAx>
    </c:plotArea>
    <c:legend>
      <c:legendPos val="t"/>
      <c:layout>
        <c:manualLayout>
          <c:xMode val="edge"/>
          <c:yMode val="edge"/>
          <c:x val="0.1976675040275408"/>
          <c:y val="0.20068640641175003"/>
          <c:w val="0.61934522933014668"/>
          <c:h val="7.4237876873366193E-2"/>
        </c:manualLayout>
      </c:layout>
      <c:overlay val="0"/>
      <c:txPr>
        <a:bodyPr/>
        <a:lstStyle/>
        <a:p>
          <a:pPr>
            <a:defRPr sz="700"/>
          </a:pPr>
          <a:endParaRPr lang="es-CL"/>
        </a:p>
      </c:txPr>
    </c:legend>
    <c:plotVisOnly val="1"/>
    <c:dispBlanksAs val="gap"/>
    <c:showDLblsOverMax val="0"/>
  </c:chart>
  <c:txPr>
    <a:bodyPr/>
    <a:lstStyle/>
    <a:p>
      <a:pPr>
        <a:defRPr sz="1100"/>
      </a:pPr>
      <a:endParaRPr lang="es-CL"/>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lgn="just">
              <a:defRPr sz="800"/>
            </a:pPr>
            <a:r>
              <a:rPr lang="en-US" sz="800" b="1" i="0" baseline="0">
                <a:effectLst/>
              </a:rPr>
              <a:t>Consumo de combustibles por tonelada de Materia Pirma cosechada de centros de cultivo categoría PYME y Grande</a:t>
            </a:r>
            <a:endParaRPr lang="es-CL" sz="800">
              <a:effectLst/>
            </a:endParaRPr>
          </a:p>
        </c:rich>
      </c:tx>
      <c:layout>
        <c:manualLayout>
          <c:xMode val="edge"/>
          <c:yMode val="edge"/>
          <c:x val="0.10999152029073289"/>
          <c:y val="3.8473854289516663E-3"/>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'Insumos (2)'!$B$20</c:f>
              <c:strCache>
                <c:ptCount val="1"/>
                <c:pt idx="0">
                  <c:v>PYME</c:v>
                </c:pt>
              </c:strCache>
            </c:strRef>
          </c:tx>
          <c:invertIfNegative val="0"/>
          <c:dLbls>
            <c:dLbl>
              <c:idx val="0"/>
              <c:layout>
                <c:manualLayout>
                  <c:x val="6.7235336837756737E-4"/>
                  <c:y val="1.6371068922005756E-2"/>
                </c:manualLayout>
              </c:layout>
              <c:showLegendKey val="0"/>
              <c:showVal val="1"/>
              <c:showCatName val="0"/>
              <c:showSerName val="0"/>
              <c:showPercent val="0"/>
              <c:showBubbleSize val="0"/>
            </c:dLbl>
            <c:dLbl>
              <c:idx val="1"/>
              <c:layout>
                <c:manualLayout>
                  <c:x val="1.5915913846030451E-2"/>
                  <c:y val="1.3716359368615458E-2"/>
                </c:manualLayout>
              </c:layout>
              <c:showLegendKey val="0"/>
              <c:showVal val="1"/>
              <c:showCatName val="0"/>
              <c:showSerName val="0"/>
              <c:showPercent val="0"/>
              <c:showBubbleSize val="0"/>
            </c:dLbl>
            <c:txPr>
              <a:bodyPr/>
              <a:lstStyle/>
              <a:p>
                <a:pPr>
                  <a:defRPr sz="700"/>
                </a:pPr>
                <a:endParaRPr lang="es-CL"/>
              </a:p>
            </c:txPr>
            <c:showLegendKey val="0"/>
            <c:showVal val="1"/>
            <c:showCatName val="0"/>
            <c:showSerName val="0"/>
            <c:showPercent val="0"/>
            <c:showBubbleSize val="0"/>
            <c:showLeaderLines val="0"/>
          </c:dLbls>
          <c:cat>
            <c:strRef>
              <c:f>'Insumos (2)'!$CC$19:$CE$19</c:f>
              <c:strCache>
                <c:ptCount val="3"/>
                <c:pt idx="0">
                  <c:v>Petróleo (L/ Ton)</c:v>
                </c:pt>
                <c:pt idx="1">
                  <c:v>Bencina (L/ Ton)</c:v>
                </c:pt>
                <c:pt idx="2">
                  <c:v>Gas (Kg/Ton)</c:v>
                </c:pt>
              </c:strCache>
            </c:strRef>
          </c:cat>
          <c:val>
            <c:numRef>
              <c:f>'Insumos (2)'!$CC$20:$CE$20</c:f>
              <c:numCache>
                <c:formatCode>_-* #,##0.0\ _€_-;\-* #,##0.0\ _€_-;_-* "-"??\ _€_-;_-@_-</c:formatCode>
                <c:ptCount val="3"/>
                <c:pt idx="0">
                  <c:v>2.039372197309417</c:v>
                </c:pt>
                <c:pt idx="1">
                  <c:v>4.438026905829596</c:v>
                </c:pt>
                <c:pt idx="2">
                  <c:v>7.5784753363228693E-2</c:v>
                </c:pt>
              </c:numCache>
            </c:numRef>
          </c:val>
        </c:ser>
        <c:ser>
          <c:idx val="1"/>
          <c:order val="1"/>
          <c:tx>
            <c:strRef>
              <c:f>'Insumos (2)'!$B$21</c:f>
              <c:strCache>
                <c:ptCount val="1"/>
                <c:pt idx="0">
                  <c:v>Grande</c:v>
                </c:pt>
              </c:strCache>
            </c:strRef>
          </c:tx>
          <c:invertIfNegative val="0"/>
          <c:dLbls>
            <c:dLbl>
              <c:idx val="0"/>
              <c:layout>
                <c:manualLayout>
                  <c:x val="2.4624550485090737E-2"/>
                  <c:y val="2.6547095533902988E-3"/>
                </c:manualLayout>
              </c:layout>
              <c:showLegendKey val="0"/>
              <c:showVal val="1"/>
              <c:showCatName val="0"/>
              <c:showSerName val="0"/>
              <c:showPercent val="0"/>
              <c:showBubbleSize val="0"/>
            </c:dLbl>
            <c:dLbl>
              <c:idx val="1"/>
              <c:layout>
                <c:manualLayout>
                  <c:x val="3.1831827692060902E-2"/>
                  <c:y val="1.3716359368615458E-2"/>
                </c:manualLayout>
              </c:layout>
              <c:showLegendKey val="0"/>
              <c:showVal val="1"/>
              <c:showCatName val="0"/>
              <c:showSerName val="0"/>
              <c:showPercent val="0"/>
              <c:showBubbleSize val="0"/>
            </c:dLbl>
            <c:dLbl>
              <c:idx val="2"/>
              <c:layout>
                <c:manualLayout>
                  <c:x val="2.387387076904568E-2"/>
                  <c:y val="9.1442395790768873E-3"/>
                </c:manualLayout>
              </c:layout>
              <c:showLegendKey val="0"/>
              <c:showVal val="1"/>
              <c:showCatName val="0"/>
              <c:showSerName val="0"/>
              <c:showPercent val="0"/>
              <c:showBubbleSize val="0"/>
            </c:dLbl>
            <c:txPr>
              <a:bodyPr/>
              <a:lstStyle/>
              <a:p>
                <a:pPr>
                  <a:defRPr sz="700"/>
                </a:pPr>
                <a:endParaRPr lang="es-CL"/>
              </a:p>
            </c:txPr>
            <c:showLegendKey val="0"/>
            <c:showVal val="1"/>
            <c:showCatName val="0"/>
            <c:showSerName val="0"/>
            <c:showPercent val="0"/>
            <c:showBubbleSize val="0"/>
            <c:showLeaderLines val="0"/>
          </c:dLbls>
          <c:cat>
            <c:strRef>
              <c:f>'Insumos (2)'!$CC$19:$CE$19</c:f>
              <c:strCache>
                <c:ptCount val="3"/>
                <c:pt idx="0">
                  <c:v>Petróleo (L/ Ton)</c:v>
                </c:pt>
                <c:pt idx="1">
                  <c:v>Bencina (L/ Ton)</c:v>
                </c:pt>
                <c:pt idx="2">
                  <c:v>Gas (Kg/Ton)</c:v>
                </c:pt>
              </c:strCache>
            </c:strRef>
          </c:cat>
          <c:val>
            <c:numRef>
              <c:f>'Insumos (2)'!$CC$21:$CE$21</c:f>
              <c:numCache>
                <c:formatCode>_-* #,##0.0\ _€_-;\-* #,##0.0\ _€_-;_-* "-"??\ _€_-;_-@_-</c:formatCode>
                <c:ptCount val="3"/>
                <c:pt idx="0">
                  <c:v>14.207238382384851</c:v>
                </c:pt>
                <c:pt idx="1">
                  <c:v>2.5642409291807997</c:v>
                </c:pt>
                <c:pt idx="2">
                  <c:v>5.1445506561140233</c:v>
                </c:pt>
              </c:numCache>
            </c:numRef>
          </c:val>
        </c:ser>
        <c:dLbls>
          <c:showLegendKey val="0"/>
          <c:showVal val="1"/>
          <c:showCatName val="0"/>
          <c:showSerName val="0"/>
          <c:showPercent val="0"/>
          <c:showBubbleSize val="0"/>
        </c:dLbls>
        <c:gapWidth val="150"/>
        <c:shape val="box"/>
        <c:axId val="283241088"/>
        <c:axId val="283255168"/>
        <c:axId val="0"/>
      </c:bar3DChart>
      <c:catAx>
        <c:axId val="283241088"/>
        <c:scaling>
          <c:orientation val="minMax"/>
        </c:scaling>
        <c:delete val="0"/>
        <c:axPos val="b"/>
        <c:majorTickMark val="none"/>
        <c:minorTickMark val="none"/>
        <c:tickLblPos val="nextTo"/>
        <c:txPr>
          <a:bodyPr/>
          <a:lstStyle/>
          <a:p>
            <a:pPr>
              <a:defRPr sz="800"/>
            </a:pPr>
            <a:endParaRPr lang="es-CL"/>
          </a:p>
        </c:txPr>
        <c:crossAx val="283255168"/>
        <c:crosses val="autoZero"/>
        <c:auto val="1"/>
        <c:lblAlgn val="ctr"/>
        <c:lblOffset val="100"/>
        <c:noMultiLvlLbl val="0"/>
      </c:catAx>
      <c:valAx>
        <c:axId val="283255168"/>
        <c:scaling>
          <c:orientation val="minMax"/>
        </c:scaling>
        <c:delete val="1"/>
        <c:axPos val="l"/>
        <c:numFmt formatCode="_-* #,##0.0\ _€_-;\-* #,##0.0\ _€_-;_-* &quot;-&quot;??\ _€_-;_-@_-" sourceLinked="1"/>
        <c:majorTickMark val="out"/>
        <c:minorTickMark val="none"/>
        <c:tickLblPos val="nextTo"/>
        <c:crossAx val="283241088"/>
        <c:crosses val="autoZero"/>
        <c:crossBetween val="between"/>
      </c:valAx>
    </c:plotArea>
    <c:legend>
      <c:legendPos val="t"/>
      <c:layout>
        <c:manualLayout>
          <c:xMode val="edge"/>
          <c:yMode val="edge"/>
          <c:x val="0.27724707325769304"/>
          <c:y val="0.20984811048870833"/>
          <c:w val="0.57955544471507059"/>
          <c:h val="7.4237876873366193E-2"/>
        </c:manualLayout>
      </c:layout>
      <c:overlay val="0"/>
      <c:txPr>
        <a:bodyPr/>
        <a:lstStyle/>
        <a:p>
          <a:pPr>
            <a:defRPr sz="700"/>
          </a:pPr>
          <a:endParaRPr lang="es-CL"/>
        </a:p>
      </c:txPr>
    </c:legend>
    <c:plotVisOnly val="1"/>
    <c:dispBlanksAs val="gap"/>
    <c:showDLblsOverMax val="0"/>
  </c:chart>
  <c:txPr>
    <a:bodyPr/>
    <a:lstStyle/>
    <a:p>
      <a:pPr>
        <a:defRPr sz="1100"/>
      </a:pPr>
      <a:endParaRPr lang="es-CL"/>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ES" sz="800" b="1" i="0" baseline="0">
                <a:effectLst/>
              </a:rPr>
              <a:t>PYME: Bodegas o sitios de almacenaiento (%)</a:t>
            </a:r>
            <a:endParaRPr lang="es-CL" sz="800">
              <a:effectLst/>
            </a:endParaRPr>
          </a:p>
        </c:rich>
      </c:tx>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bodegas!$F$16</c:f>
              <c:strCache>
                <c:ptCount val="1"/>
                <c:pt idx="0">
                  <c:v>SI</c:v>
                </c:pt>
              </c:strCache>
            </c:strRef>
          </c:tx>
          <c:invertIfNegative val="0"/>
          <c:dLbls>
            <c:dLbl>
              <c:idx val="2"/>
              <c:delete val="1"/>
            </c:dLbl>
            <c:dLbl>
              <c:idx val="5"/>
              <c:delete val="1"/>
            </c:dLbl>
            <c:txPr>
              <a:bodyPr/>
              <a:lstStyle/>
              <a:p>
                <a:pPr>
                  <a:defRPr sz="700"/>
                </a:pPr>
                <a:endParaRPr lang="es-CL"/>
              </a:p>
            </c:txPr>
            <c:showLegendKey val="0"/>
            <c:showVal val="1"/>
            <c:showCatName val="0"/>
            <c:showSerName val="0"/>
            <c:showPercent val="0"/>
            <c:showBubbleSize val="0"/>
            <c:showLeaderLines val="0"/>
          </c:dLbls>
          <c:cat>
            <c:strRef>
              <c:f>bodegas!$A$17:$A$22</c:f>
              <c:strCache>
                <c:ptCount val="6"/>
                <c:pt idx="0">
                  <c:v>Posee Bodega insumos</c:v>
                </c:pt>
                <c:pt idx="1">
                  <c:v>Posee Bodega de combustibles</c:v>
                </c:pt>
                <c:pt idx="2">
                  <c:v>Bodega de combustibles cuenta con autorización </c:v>
                </c:pt>
                <c:pt idx="3">
                  <c:v>Posee Patio de acopio de residuos industriales no peligrosos</c:v>
                </c:pt>
                <c:pt idx="4">
                  <c:v>Posee Bodega de residuos  peligrosos</c:v>
                </c:pt>
                <c:pt idx="5">
                  <c:v>Bodega de residuos peligrosos cuenta con autorización </c:v>
                </c:pt>
              </c:strCache>
            </c:strRef>
          </c:cat>
          <c:val>
            <c:numRef>
              <c:f>bodegas!$F$17:$F$22</c:f>
              <c:numCache>
                <c:formatCode>0%</c:formatCode>
                <c:ptCount val="6"/>
                <c:pt idx="0">
                  <c:v>0.84615384615384615</c:v>
                </c:pt>
                <c:pt idx="1">
                  <c:v>0.53846153846153844</c:v>
                </c:pt>
                <c:pt idx="2">
                  <c:v>0</c:v>
                </c:pt>
                <c:pt idx="3">
                  <c:v>0.69230769230769229</c:v>
                </c:pt>
                <c:pt idx="4">
                  <c:v>0.15384615384615385</c:v>
                </c:pt>
                <c:pt idx="5">
                  <c:v>0</c:v>
                </c:pt>
              </c:numCache>
            </c:numRef>
          </c:val>
        </c:ser>
        <c:ser>
          <c:idx val="1"/>
          <c:order val="1"/>
          <c:tx>
            <c:strRef>
              <c:f>bodegas!$G$16</c:f>
              <c:strCache>
                <c:ptCount val="1"/>
                <c:pt idx="0">
                  <c:v>NO</c:v>
                </c:pt>
              </c:strCache>
            </c:strRef>
          </c:tx>
          <c:invertIfNegative val="0"/>
          <c:dLbls>
            <c:txPr>
              <a:bodyPr/>
              <a:lstStyle/>
              <a:p>
                <a:pPr>
                  <a:defRPr sz="700"/>
                </a:pPr>
                <a:endParaRPr lang="es-CL"/>
              </a:p>
            </c:txPr>
            <c:showLegendKey val="0"/>
            <c:showVal val="1"/>
            <c:showCatName val="0"/>
            <c:showSerName val="0"/>
            <c:showPercent val="0"/>
            <c:showBubbleSize val="0"/>
            <c:showLeaderLines val="0"/>
          </c:dLbls>
          <c:cat>
            <c:strRef>
              <c:f>bodegas!$A$17:$A$22</c:f>
              <c:strCache>
                <c:ptCount val="6"/>
                <c:pt idx="0">
                  <c:v>Posee Bodega insumos</c:v>
                </c:pt>
                <c:pt idx="1">
                  <c:v>Posee Bodega de combustibles</c:v>
                </c:pt>
                <c:pt idx="2">
                  <c:v>Bodega de combustibles cuenta con autorización </c:v>
                </c:pt>
                <c:pt idx="3">
                  <c:v>Posee Patio de acopio de residuos industriales no peligrosos</c:v>
                </c:pt>
                <c:pt idx="4">
                  <c:v>Posee Bodega de residuos  peligrosos</c:v>
                </c:pt>
                <c:pt idx="5">
                  <c:v>Bodega de residuos peligrosos cuenta con autorización </c:v>
                </c:pt>
              </c:strCache>
            </c:strRef>
          </c:cat>
          <c:val>
            <c:numRef>
              <c:f>bodegas!$G$17:$G$22</c:f>
              <c:numCache>
                <c:formatCode>0%</c:formatCode>
                <c:ptCount val="6"/>
                <c:pt idx="0">
                  <c:v>0.15384615384615385</c:v>
                </c:pt>
                <c:pt idx="1">
                  <c:v>0.46153846153846156</c:v>
                </c:pt>
                <c:pt idx="2">
                  <c:v>0.92307692307692313</c:v>
                </c:pt>
                <c:pt idx="3">
                  <c:v>0.30769230769230771</c:v>
                </c:pt>
                <c:pt idx="4">
                  <c:v>0.84615384615384615</c:v>
                </c:pt>
                <c:pt idx="5">
                  <c:v>1</c:v>
                </c:pt>
              </c:numCache>
            </c:numRef>
          </c:val>
        </c:ser>
        <c:ser>
          <c:idx val="2"/>
          <c:order val="2"/>
          <c:tx>
            <c:strRef>
              <c:f>bodegas!$H$16</c:f>
              <c:strCache>
                <c:ptCount val="1"/>
                <c:pt idx="0">
                  <c:v>NO INFORMA</c:v>
                </c:pt>
              </c:strCache>
            </c:strRef>
          </c:tx>
          <c:invertIfNegative val="0"/>
          <c:dLbls>
            <c:delete val="1"/>
          </c:dLbls>
          <c:cat>
            <c:strRef>
              <c:f>bodegas!$A$17:$A$22</c:f>
              <c:strCache>
                <c:ptCount val="6"/>
                <c:pt idx="0">
                  <c:v>Posee Bodega insumos</c:v>
                </c:pt>
                <c:pt idx="1">
                  <c:v>Posee Bodega de combustibles</c:v>
                </c:pt>
                <c:pt idx="2">
                  <c:v>Bodega de combustibles cuenta con autorización </c:v>
                </c:pt>
                <c:pt idx="3">
                  <c:v>Posee Patio de acopio de residuos industriales no peligrosos</c:v>
                </c:pt>
                <c:pt idx="4">
                  <c:v>Posee Bodega de residuos  peligrosos</c:v>
                </c:pt>
                <c:pt idx="5">
                  <c:v>Bodega de residuos peligrosos cuenta con autorización </c:v>
                </c:pt>
              </c:strCache>
            </c:strRef>
          </c:cat>
          <c:val>
            <c:numRef>
              <c:f>bodegas!$H$17:$H$22</c:f>
              <c:numCache>
                <c:formatCode>0%</c:formatCode>
                <c:ptCount val="6"/>
                <c:pt idx="0">
                  <c:v>0</c:v>
                </c:pt>
                <c:pt idx="1">
                  <c:v>0</c:v>
                </c:pt>
                <c:pt idx="2">
                  <c:v>0</c:v>
                </c:pt>
                <c:pt idx="3">
                  <c:v>0</c:v>
                </c:pt>
                <c:pt idx="4">
                  <c:v>0</c:v>
                </c:pt>
                <c:pt idx="5">
                  <c:v>0</c:v>
                </c:pt>
              </c:numCache>
            </c:numRef>
          </c:val>
        </c:ser>
        <c:ser>
          <c:idx val="3"/>
          <c:order val="3"/>
          <c:tx>
            <c:strRef>
              <c:f>bodegas!$I$16</c:f>
              <c:strCache>
                <c:ptCount val="1"/>
                <c:pt idx="0">
                  <c:v>NO SABE</c:v>
                </c:pt>
              </c:strCache>
            </c:strRef>
          </c:tx>
          <c:invertIfNegative val="0"/>
          <c:dLbls>
            <c:dLbl>
              <c:idx val="0"/>
              <c:delete val="1"/>
            </c:dLbl>
            <c:dLbl>
              <c:idx val="1"/>
              <c:delete val="1"/>
            </c:dLbl>
            <c:dLbl>
              <c:idx val="3"/>
              <c:delete val="1"/>
            </c:dLbl>
            <c:dLbl>
              <c:idx val="4"/>
              <c:delete val="1"/>
            </c:dLbl>
            <c:dLbl>
              <c:idx val="5"/>
              <c:delete val="1"/>
            </c:dLbl>
            <c:txPr>
              <a:bodyPr/>
              <a:lstStyle/>
              <a:p>
                <a:pPr>
                  <a:defRPr sz="700"/>
                </a:pPr>
                <a:endParaRPr lang="es-CL"/>
              </a:p>
            </c:txPr>
            <c:showLegendKey val="0"/>
            <c:showVal val="1"/>
            <c:showCatName val="0"/>
            <c:showSerName val="0"/>
            <c:showPercent val="0"/>
            <c:showBubbleSize val="0"/>
            <c:showLeaderLines val="0"/>
          </c:dLbls>
          <c:cat>
            <c:strRef>
              <c:f>bodegas!$A$17:$A$22</c:f>
              <c:strCache>
                <c:ptCount val="6"/>
                <c:pt idx="0">
                  <c:v>Posee Bodega insumos</c:v>
                </c:pt>
                <c:pt idx="1">
                  <c:v>Posee Bodega de combustibles</c:v>
                </c:pt>
                <c:pt idx="2">
                  <c:v>Bodega de combustibles cuenta con autorización </c:v>
                </c:pt>
                <c:pt idx="3">
                  <c:v>Posee Patio de acopio de residuos industriales no peligrosos</c:v>
                </c:pt>
                <c:pt idx="4">
                  <c:v>Posee Bodega de residuos  peligrosos</c:v>
                </c:pt>
                <c:pt idx="5">
                  <c:v>Bodega de residuos peligrosos cuenta con autorización </c:v>
                </c:pt>
              </c:strCache>
            </c:strRef>
          </c:cat>
          <c:val>
            <c:numRef>
              <c:f>bodegas!$I$17:$I$22</c:f>
              <c:numCache>
                <c:formatCode>0%</c:formatCode>
                <c:ptCount val="6"/>
                <c:pt idx="0">
                  <c:v>0</c:v>
                </c:pt>
                <c:pt idx="1">
                  <c:v>0</c:v>
                </c:pt>
                <c:pt idx="2">
                  <c:v>7.6923076923076927E-2</c:v>
                </c:pt>
                <c:pt idx="3">
                  <c:v>0</c:v>
                </c:pt>
                <c:pt idx="4">
                  <c:v>0</c:v>
                </c:pt>
                <c:pt idx="5">
                  <c:v>0</c:v>
                </c:pt>
              </c:numCache>
            </c:numRef>
          </c:val>
        </c:ser>
        <c:dLbls>
          <c:showLegendKey val="0"/>
          <c:showVal val="1"/>
          <c:showCatName val="0"/>
          <c:showSerName val="0"/>
          <c:showPercent val="0"/>
          <c:showBubbleSize val="0"/>
        </c:dLbls>
        <c:gapWidth val="150"/>
        <c:shape val="box"/>
        <c:axId val="283304320"/>
        <c:axId val="283305856"/>
        <c:axId val="0"/>
      </c:bar3DChart>
      <c:catAx>
        <c:axId val="283304320"/>
        <c:scaling>
          <c:orientation val="minMax"/>
        </c:scaling>
        <c:delete val="0"/>
        <c:axPos val="l"/>
        <c:majorTickMark val="none"/>
        <c:minorTickMark val="none"/>
        <c:tickLblPos val="nextTo"/>
        <c:txPr>
          <a:bodyPr/>
          <a:lstStyle/>
          <a:p>
            <a:pPr>
              <a:defRPr sz="750"/>
            </a:pPr>
            <a:endParaRPr lang="es-CL"/>
          </a:p>
        </c:txPr>
        <c:crossAx val="283305856"/>
        <c:crosses val="autoZero"/>
        <c:auto val="1"/>
        <c:lblAlgn val="ctr"/>
        <c:lblOffset val="100"/>
        <c:noMultiLvlLbl val="0"/>
      </c:catAx>
      <c:valAx>
        <c:axId val="283305856"/>
        <c:scaling>
          <c:orientation val="minMax"/>
        </c:scaling>
        <c:delete val="1"/>
        <c:axPos val="b"/>
        <c:numFmt formatCode="0%" sourceLinked="1"/>
        <c:majorTickMark val="out"/>
        <c:minorTickMark val="none"/>
        <c:tickLblPos val="nextTo"/>
        <c:crossAx val="283304320"/>
        <c:crosses val="autoZero"/>
        <c:crossBetween val="between"/>
      </c:valAx>
    </c:plotArea>
    <c:legend>
      <c:legendPos val="t"/>
      <c:layout>
        <c:manualLayout>
          <c:xMode val="edge"/>
          <c:yMode val="edge"/>
          <c:x val="0.16265220489658852"/>
          <c:y val="9.9183668549340839E-2"/>
          <c:w val="0.67469518345937085"/>
          <c:h val="4.9162877750461347E-2"/>
        </c:manualLayout>
      </c:layout>
      <c:overlay val="0"/>
      <c:txPr>
        <a:bodyPr/>
        <a:lstStyle/>
        <a:p>
          <a:pPr>
            <a:defRPr sz="700"/>
          </a:pPr>
          <a:endParaRPr lang="es-CL"/>
        </a:p>
      </c:txPr>
    </c:legend>
    <c:plotVisOnly val="1"/>
    <c:dispBlanksAs val="gap"/>
    <c:showDLblsOverMax val="0"/>
  </c:chart>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ES" sz="800" b="1" i="0" baseline="0">
                <a:effectLst/>
              </a:rPr>
              <a:t>Grande: Bodegas o sitios de almacenaiento (%)</a:t>
            </a:r>
            <a:endParaRPr lang="es-CL" sz="800">
              <a:effectLst/>
            </a:endParaRPr>
          </a:p>
        </c:rich>
      </c:tx>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bodegas!$T$16</c:f>
              <c:strCache>
                <c:ptCount val="1"/>
                <c:pt idx="0">
                  <c:v>SI</c:v>
                </c:pt>
              </c:strCache>
            </c:strRef>
          </c:tx>
          <c:invertIfNegative val="0"/>
          <c:dLbls>
            <c:txPr>
              <a:bodyPr/>
              <a:lstStyle/>
              <a:p>
                <a:pPr>
                  <a:defRPr sz="700"/>
                </a:pPr>
                <a:endParaRPr lang="es-CL"/>
              </a:p>
            </c:txPr>
            <c:showLegendKey val="0"/>
            <c:showVal val="1"/>
            <c:showCatName val="0"/>
            <c:showSerName val="0"/>
            <c:showPercent val="0"/>
            <c:showBubbleSize val="0"/>
            <c:showLeaderLines val="0"/>
          </c:dLbls>
          <c:cat>
            <c:strRef>
              <c:f>bodegas!$A$17:$A$22</c:f>
              <c:strCache>
                <c:ptCount val="6"/>
                <c:pt idx="0">
                  <c:v>Posee Bodega insumos</c:v>
                </c:pt>
                <c:pt idx="1">
                  <c:v>Posee Bodega de combustibles</c:v>
                </c:pt>
                <c:pt idx="2">
                  <c:v>Bodega de combustibles cuenta con autorización </c:v>
                </c:pt>
                <c:pt idx="3">
                  <c:v>Posee Patio de acopio de residuos industriales no peligrosos</c:v>
                </c:pt>
                <c:pt idx="4">
                  <c:v>Posee Bodega de residuos  peligrosos</c:v>
                </c:pt>
                <c:pt idx="5">
                  <c:v>Bodega de residuos peligrosos cuenta con autorización </c:v>
                </c:pt>
              </c:strCache>
            </c:strRef>
          </c:cat>
          <c:val>
            <c:numRef>
              <c:f>bodegas!$T$17:$T$22</c:f>
              <c:numCache>
                <c:formatCode>0%</c:formatCode>
                <c:ptCount val="6"/>
                <c:pt idx="0">
                  <c:v>0.9</c:v>
                </c:pt>
                <c:pt idx="1">
                  <c:v>0.9</c:v>
                </c:pt>
                <c:pt idx="2">
                  <c:v>0.3</c:v>
                </c:pt>
                <c:pt idx="3">
                  <c:v>0.5</c:v>
                </c:pt>
                <c:pt idx="4">
                  <c:v>0.6</c:v>
                </c:pt>
                <c:pt idx="5">
                  <c:v>0.4</c:v>
                </c:pt>
              </c:numCache>
            </c:numRef>
          </c:val>
        </c:ser>
        <c:ser>
          <c:idx val="1"/>
          <c:order val="1"/>
          <c:tx>
            <c:strRef>
              <c:f>bodegas!$U$16</c:f>
              <c:strCache>
                <c:ptCount val="1"/>
                <c:pt idx="0">
                  <c:v>NO</c:v>
                </c:pt>
              </c:strCache>
            </c:strRef>
          </c:tx>
          <c:invertIfNegative val="0"/>
          <c:dLbls>
            <c:dLbl>
              <c:idx val="0"/>
              <c:delete val="1"/>
            </c:dLbl>
            <c:txPr>
              <a:bodyPr/>
              <a:lstStyle/>
              <a:p>
                <a:pPr>
                  <a:defRPr sz="700"/>
                </a:pPr>
                <a:endParaRPr lang="es-CL"/>
              </a:p>
            </c:txPr>
            <c:showLegendKey val="0"/>
            <c:showVal val="1"/>
            <c:showCatName val="0"/>
            <c:showSerName val="0"/>
            <c:showPercent val="0"/>
            <c:showBubbleSize val="0"/>
            <c:showLeaderLines val="0"/>
          </c:dLbls>
          <c:cat>
            <c:strRef>
              <c:f>bodegas!$A$17:$A$22</c:f>
              <c:strCache>
                <c:ptCount val="6"/>
                <c:pt idx="0">
                  <c:v>Posee Bodega insumos</c:v>
                </c:pt>
                <c:pt idx="1">
                  <c:v>Posee Bodega de combustibles</c:v>
                </c:pt>
                <c:pt idx="2">
                  <c:v>Bodega de combustibles cuenta con autorización </c:v>
                </c:pt>
                <c:pt idx="3">
                  <c:v>Posee Patio de acopio de residuos industriales no peligrosos</c:v>
                </c:pt>
                <c:pt idx="4">
                  <c:v>Posee Bodega de residuos  peligrosos</c:v>
                </c:pt>
                <c:pt idx="5">
                  <c:v>Bodega de residuos peligrosos cuenta con autorización </c:v>
                </c:pt>
              </c:strCache>
            </c:strRef>
          </c:cat>
          <c:val>
            <c:numRef>
              <c:f>bodegas!$U$17:$U$22</c:f>
              <c:numCache>
                <c:formatCode>0%</c:formatCode>
                <c:ptCount val="6"/>
                <c:pt idx="0">
                  <c:v>0</c:v>
                </c:pt>
                <c:pt idx="1">
                  <c:v>0.1</c:v>
                </c:pt>
                <c:pt idx="2">
                  <c:v>0.5</c:v>
                </c:pt>
                <c:pt idx="3">
                  <c:v>0.5</c:v>
                </c:pt>
                <c:pt idx="4">
                  <c:v>0.4</c:v>
                </c:pt>
                <c:pt idx="5">
                  <c:v>0.2</c:v>
                </c:pt>
              </c:numCache>
            </c:numRef>
          </c:val>
        </c:ser>
        <c:ser>
          <c:idx val="2"/>
          <c:order val="2"/>
          <c:tx>
            <c:strRef>
              <c:f>bodegas!$V$16</c:f>
              <c:strCache>
                <c:ptCount val="1"/>
                <c:pt idx="0">
                  <c:v>NO INFORMA</c:v>
                </c:pt>
              </c:strCache>
            </c:strRef>
          </c:tx>
          <c:invertIfNegative val="0"/>
          <c:dLbls>
            <c:dLbl>
              <c:idx val="1"/>
              <c:delete val="1"/>
            </c:dLbl>
            <c:dLbl>
              <c:idx val="3"/>
              <c:delete val="1"/>
            </c:dLbl>
            <c:dLbl>
              <c:idx val="4"/>
              <c:delete val="1"/>
            </c:dLbl>
            <c:txPr>
              <a:bodyPr/>
              <a:lstStyle/>
              <a:p>
                <a:pPr>
                  <a:defRPr sz="700"/>
                </a:pPr>
                <a:endParaRPr lang="es-CL"/>
              </a:p>
            </c:txPr>
            <c:showLegendKey val="0"/>
            <c:showVal val="1"/>
            <c:showCatName val="0"/>
            <c:showSerName val="0"/>
            <c:showPercent val="0"/>
            <c:showBubbleSize val="0"/>
            <c:showLeaderLines val="0"/>
          </c:dLbls>
          <c:cat>
            <c:strRef>
              <c:f>bodegas!$A$17:$A$22</c:f>
              <c:strCache>
                <c:ptCount val="6"/>
                <c:pt idx="0">
                  <c:v>Posee Bodega insumos</c:v>
                </c:pt>
                <c:pt idx="1">
                  <c:v>Posee Bodega de combustibles</c:v>
                </c:pt>
                <c:pt idx="2">
                  <c:v>Bodega de combustibles cuenta con autorización </c:v>
                </c:pt>
                <c:pt idx="3">
                  <c:v>Posee Patio de acopio de residuos industriales no peligrosos</c:v>
                </c:pt>
                <c:pt idx="4">
                  <c:v>Posee Bodega de residuos  peligrosos</c:v>
                </c:pt>
                <c:pt idx="5">
                  <c:v>Bodega de residuos peligrosos cuenta con autorización </c:v>
                </c:pt>
              </c:strCache>
            </c:strRef>
          </c:cat>
          <c:val>
            <c:numRef>
              <c:f>bodegas!$V$17:$V$22</c:f>
              <c:numCache>
                <c:formatCode>0%</c:formatCode>
                <c:ptCount val="6"/>
                <c:pt idx="0">
                  <c:v>0.1</c:v>
                </c:pt>
                <c:pt idx="1">
                  <c:v>0</c:v>
                </c:pt>
                <c:pt idx="2">
                  <c:v>0.2</c:v>
                </c:pt>
                <c:pt idx="3">
                  <c:v>0</c:v>
                </c:pt>
                <c:pt idx="4">
                  <c:v>0</c:v>
                </c:pt>
                <c:pt idx="5">
                  <c:v>0.3</c:v>
                </c:pt>
              </c:numCache>
            </c:numRef>
          </c:val>
        </c:ser>
        <c:ser>
          <c:idx val="3"/>
          <c:order val="3"/>
          <c:tx>
            <c:strRef>
              <c:f>bodegas!$W$16</c:f>
              <c:strCache>
                <c:ptCount val="1"/>
                <c:pt idx="0">
                  <c:v>NO SABE</c:v>
                </c:pt>
              </c:strCache>
            </c:strRef>
          </c:tx>
          <c:invertIfNegative val="0"/>
          <c:dLbls>
            <c:dLbl>
              <c:idx val="5"/>
              <c:showLegendKey val="0"/>
              <c:showVal val="1"/>
              <c:showCatName val="0"/>
              <c:showSerName val="0"/>
              <c:showPercent val="0"/>
              <c:showBubbleSize val="0"/>
            </c:dLbl>
            <c:txPr>
              <a:bodyPr/>
              <a:lstStyle/>
              <a:p>
                <a:pPr>
                  <a:defRPr sz="700"/>
                </a:pPr>
                <a:endParaRPr lang="es-CL"/>
              </a:p>
            </c:txPr>
            <c:showLegendKey val="0"/>
            <c:showVal val="0"/>
            <c:showCatName val="0"/>
            <c:showSerName val="0"/>
            <c:showPercent val="0"/>
            <c:showBubbleSize val="0"/>
          </c:dLbls>
          <c:cat>
            <c:strRef>
              <c:f>bodegas!$A$17:$A$22</c:f>
              <c:strCache>
                <c:ptCount val="6"/>
                <c:pt idx="0">
                  <c:v>Posee Bodega insumos</c:v>
                </c:pt>
                <c:pt idx="1">
                  <c:v>Posee Bodega de combustibles</c:v>
                </c:pt>
                <c:pt idx="2">
                  <c:v>Bodega de combustibles cuenta con autorización </c:v>
                </c:pt>
                <c:pt idx="3">
                  <c:v>Posee Patio de acopio de residuos industriales no peligrosos</c:v>
                </c:pt>
                <c:pt idx="4">
                  <c:v>Posee Bodega de residuos  peligrosos</c:v>
                </c:pt>
                <c:pt idx="5">
                  <c:v>Bodega de residuos peligrosos cuenta con autorización </c:v>
                </c:pt>
              </c:strCache>
            </c:strRef>
          </c:cat>
          <c:val>
            <c:numRef>
              <c:f>bodegas!$W$17:$W$22</c:f>
              <c:numCache>
                <c:formatCode>0%</c:formatCode>
                <c:ptCount val="6"/>
                <c:pt idx="0">
                  <c:v>0</c:v>
                </c:pt>
                <c:pt idx="1">
                  <c:v>0</c:v>
                </c:pt>
                <c:pt idx="2">
                  <c:v>0</c:v>
                </c:pt>
                <c:pt idx="3">
                  <c:v>0</c:v>
                </c:pt>
                <c:pt idx="4">
                  <c:v>0</c:v>
                </c:pt>
                <c:pt idx="5">
                  <c:v>0.1</c:v>
                </c:pt>
              </c:numCache>
            </c:numRef>
          </c:val>
        </c:ser>
        <c:dLbls>
          <c:showLegendKey val="0"/>
          <c:showVal val="1"/>
          <c:showCatName val="0"/>
          <c:showSerName val="0"/>
          <c:showPercent val="0"/>
          <c:showBubbleSize val="0"/>
        </c:dLbls>
        <c:gapWidth val="150"/>
        <c:shape val="box"/>
        <c:axId val="283339392"/>
        <c:axId val="283382144"/>
        <c:axId val="0"/>
      </c:bar3DChart>
      <c:catAx>
        <c:axId val="283339392"/>
        <c:scaling>
          <c:orientation val="minMax"/>
        </c:scaling>
        <c:delete val="0"/>
        <c:axPos val="l"/>
        <c:majorTickMark val="none"/>
        <c:minorTickMark val="none"/>
        <c:tickLblPos val="nextTo"/>
        <c:txPr>
          <a:bodyPr/>
          <a:lstStyle/>
          <a:p>
            <a:pPr>
              <a:defRPr sz="750"/>
            </a:pPr>
            <a:endParaRPr lang="es-CL"/>
          </a:p>
        </c:txPr>
        <c:crossAx val="283382144"/>
        <c:crosses val="autoZero"/>
        <c:auto val="1"/>
        <c:lblAlgn val="ctr"/>
        <c:lblOffset val="100"/>
        <c:noMultiLvlLbl val="0"/>
      </c:catAx>
      <c:valAx>
        <c:axId val="283382144"/>
        <c:scaling>
          <c:orientation val="minMax"/>
        </c:scaling>
        <c:delete val="1"/>
        <c:axPos val="b"/>
        <c:numFmt formatCode="0%" sourceLinked="1"/>
        <c:majorTickMark val="out"/>
        <c:minorTickMark val="none"/>
        <c:tickLblPos val="nextTo"/>
        <c:crossAx val="283339392"/>
        <c:crosses val="autoZero"/>
        <c:crossBetween val="between"/>
      </c:valAx>
    </c:plotArea>
    <c:legend>
      <c:legendPos val="t"/>
      <c:layout>
        <c:manualLayout>
          <c:xMode val="edge"/>
          <c:yMode val="edge"/>
          <c:x val="0.16265254548553221"/>
          <c:y val="0.10264449086721303"/>
          <c:w val="0.67469490902893559"/>
          <c:h val="4.9162877750461347E-2"/>
        </c:manualLayout>
      </c:layout>
      <c:overlay val="0"/>
      <c:txPr>
        <a:bodyPr/>
        <a:lstStyle/>
        <a:p>
          <a:pPr>
            <a:defRPr sz="700"/>
          </a:pPr>
          <a:endParaRPr lang="es-CL"/>
        </a:p>
      </c:txPr>
    </c:legend>
    <c:plotVisOnly val="1"/>
    <c:dispBlanksAs val="gap"/>
    <c:showDLblsOverMax val="0"/>
  </c:chart>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Volumen promedio de residuos de la muestra (Ton)</a:t>
            </a:r>
            <a:r>
              <a:rPr lang="es-CL" sz="800" baseline="0"/>
              <a:t> </a:t>
            </a:r>
            <a:endParaRPr lang="es-CL" sz="800"/>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'Residuos '!$C$147</c:f>
              <c:strCache>
                <c:ptCount val="1"/>
                <c:pt idx="0">
                  <c:v>MYPE</c:v>
                </c:pt>
              </c:strCache>
            </c:strRef>
          </c:tx>
          <c:invertIfNegative val="0"/>
          <c:dLbls>
            <c:txPr>
              <a:bodyPr/>
              <a:lstStyle/>
              <a:p>
                <a:pPr>
                  <a:defRPr sz="800"/>
                </a:pPr>
                <a:endParaRPr lang="es-CL"/>
              </a:p>
            </c:txPr>
            <c:showLegendKey val="0"/>
            <c:showVal val="1"/>
            <c:showCatName val="0"/>
            <c:showSerName val="0"/>
            <c:showPercent val="0"/>
            <c:showBubbleSize val="0"/>
            <c:showLeaderLines val="0"/>
          </c:dLbls>
          <c:cat>
            <c:strRef>
              <c:f>'Residuos '!$D$146:$E$146</c:f>
              <c:strCache>
                <c:ptCount val="2"/>
                <c:pt idx="0">
                  <c:v>Residuos Solidos (Ton) </c:v>
                </c:pt>
                <c:pt idx="1">
                  <c:v>Residuos Peligrosos (Ton)</c:v>
                </c:pt>
              </c:strCache>
            </c:strRef>
          </c:cat>
          <c:val>
            <c:numRef>
              <c:f>'Residuos '!$D$147:$E$147</c:f>
              <c:numCache>
                <c:formatCode>0.0</c:formatCode>
                <c:ptCount val="2"/>
                <c:pt idx="0">
                  <c:v>0.91399999999999992</c:v>
                </c:pt>
                <c:pt idx="1">
                  <c:v>0.71262499999999995</c:v>
                </c:pt>
              </c:numCache>
            </c:numRef>
          </c:val>
        </c:ser>
        <c:ser>
          <c:idx val="1"/>
          <c:order val="1"/>
          <c:tx>
            <c:strRef>
              <c:f>'Residuos '!$C$148</c:f>
              <c:strCache>
                <c:ptCount val="1"/>
                <c:pt idx="0">
                  <c:v>Grande</c:v>
                </c:pt>
              </c:strCache>
            </c:strRef>
          </c:tx>
          <c:invertIfNegative val="0"/>
          <c:dLbls>
            <c:txPr>
              <a:bodyPr/>
              <a:lstStyle/>
              <a:p>
                <a:pPr>
                  <a:defRPr sz="800"/>
                </a:pPr>
                <a:endParaRPr lang="es-CL"/>
              </a:p>
            </c:txPr>
            <c:showLegendKey val="0"/>
            <c:showVal val="1"/>
            <c:showCatName val="0"/>
            <c:showSerName val="0"/>
            <c:showPercent val="0"/>
            <c:showBubbleSize val="0"/>
            <c:showLeaderLines val="0"/>
          </c:dLbls>
          <c:cat>
            <c:strRef>
              <c:f>'Residuos '!$D$146:$E$146</c:f>
              <c:strCache>
                <c:ptCount val="2"/>
                <c:pt idx="0">
                  <c:v>Residuos Solidos (Ton) </c:v>
                </c:pt>
                <c:pt idx="1">
                  <c:v>Residuos Peligrosos (Ton)</c:v>
                </c:pt>
              </c:strCache>
            </c:strRef>
          </c:cat>
          <c:val>
            <c:numRef>
              <c:f>'Residuos '!$D$148:$E$148</c:f>
              <c:numCache>
                <c:formatCode>0.0</c:formatCode>
                <c:ptCount val="2"/>
                <c:pt idx="0">
                  <c:v>55.48571428571428</c:v>
                </c:pt>
                <c:pt idx="1">
                  <c:v>2.3624999999999998</c:v>
                </c:pt>
              </c:numCache>
            </c:numRef>
          </c:val>
        </c:ser>
        <c:dLbls>
          <c:showLegendKey val="0"/>
          <c:showVal val="1"/>
          <c:showCatName val="0"/>
          <c:showSerName val="0"/>
          <c:showPercent val="0"/>
          <c:showBubbleSize val="0"/>
        </c:dLbls>
        <c:gapWidth val="150"/>
        <c:shape val="box"/>
        <c:axId val="283404544"/>
        <c:axId val="283406336"/>
        <c:axId val="0"/>
      </c:bar3DChart>
      <c:catAx>
        <c:axId val="283404544"/>
        <c:scaling>
          <c:orientation val="minMax"/>
        </c:scaling>
        <c:delete val="0"/>
        <c:axPos val="l"/>
        <c:majorTickMark val="none"/>
        <c:minorTickMark val="none"/>
        <c:tickLblPos val="nextTo"/>
        <c:txPr>
          <a:bodyPr/>
          <a:lstStyle/>
          <a:p>
            <a:pPr>
              <a:defRPr sz="800"/>
            </a:pPr>
            <a:endParaRPr lang="es-CL"/>
          </a:p>
        </c:txPr>
        <c:crossAx val="283406336"/>
        <c:crosses val="autoZero"/>
        <c:auto val="1"/>
        <c:lblAlgn val="ctr"/>
        <c:lblOffset val="100"/>
        <c:noMultiLvlLbl val="0"/>
      </c:catAx>
      <c:valAx>
        <c:axId val="283406336"/>
        <c:scaling>
          <c:orientation val="minMax"/>
        </c:scaling>
        <c:delete val="1"/>
        <c:axPos val="b"/>
        <c:numFmt formatCode="0.0" sourceLinked="1"/>
        <c:majorTickMark val="out"/>
        <c:minorTickMark val="none"/>
        <c:tickLblPos val="nextTo"/>
        <c:crossAx val="283404544"/>
        <c:crosses val="autoZero"/>
        <c:crossBetween val="between"/>
      </c:valAx>
    </c:plotArea>
    <c:legend>
      <c:legendPos val="t"/>
      <c:overlay val="0"/>
      <c:txPr>
        <a:bodyPr/>
        <a:lstStyle/>
        <a:p>
          <a:pPr>
            <a:defRPr sz="750"/>
          </a:pPr>
          <a:endParaRPr lang="es-CL"/>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Volumen de producción total</a:t>
            </a:r>
            <a:r>
              <a:rPr lang="en-US" sz="800" baseline="0"/>
              <a:t> </a:t>
            </a:r>
            <a:r>
              <a:rPr lang="en-US" sz="800"/>
              <a:t>de Materia Prima  por categoría  de</a:t>
            </a:r>
            <a:r>
              <a:rPr lang="en-US" sz="800" baseline="0"/>
              <a:t> empresas </a:t>
            </a:r>
            <a:r>
              <a:rPr lang="en-US" sz="800"/>
              <a:t>(Ton)</a:t>
            </a:r>
          </a:p>
        </c:rich>
      </c:tx>
      <c:overlay val="0"/>
    </c:title>
    <c:autoTitleDeleted val="0"/>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4.4319502197056826E-2"/>
                  <c:y val="-2.7777777777777776E-2"/>
                </c:manualLayout>
              </c:layout>
              <c:showLegendKey val="0"/>
              <c:showVal val="1"/>
              <c:showCatName val="0"/>
              <c:showSerName val="0"/>
              <c:showPercent val="0"/>
              <c:showBubbleSize val="0"/>
            </c:dLbl>
            <c:dLbl>
              <c:idx val="1"/>
              <c:layout>
                <c:manualLayout>
                  <c:x val="4.1791559762894809E-2"/>
                  <c:y val="-1.3888888888888888E-2"/>
                </c:manualLayout>
              </c:layout>
              <c:showLegendKey val="0"/>
              <c:showVal val="1"/>
              <c:showCatName val="0"/>
              <c:showSerName val="0"/>
              <c:showPercent val="0"/>
              <c:showBubbleSize val="0"/>
            </c:dLbl>
            <c:txPr>
              <a:bodyPr/>
              <a:lstStyle/>
              <a:p>
                <a:pPr>
                  <a:defRPr sz="800"/>
                </a:pPr>
                <a:endParaRPr lang="es-CL"/>
              </a:p>
            </c:txPr>
            <c:showLegendKey val="0"/>
            <c:showVal val="1"/>
            <c:showCatName val="0"/>
            <c:showSerName val="0"/>
            <c:showPercent val="0"/>
            <c:showBubbleSize val="0"/>
            <c:showLeaderLines val="0"/>
          </c:dLbls>
          <c:cat>
            <c:strRef>
              <c:f>Producción!$L$173:$L$174</c:f>
              <c:strCache>
                <c:ptCount val="2"/>
                <c:pt idx="0">
                  <c:v> PYME </c:v>
                </c:pt>
                <c:pt idx="1">
                  <c:v>Grande </c:v>
                </c:pt>
              </c:strCache>
            </c:strRef>
          </c:cat>
          <c:val>
            <c:numRef>
              <c:f>Producción!$M$173:$M$174</c:f>
              <c:numCache>
                <c:formatCode>#,##0</c:formatCode>
                <c:ptCount val="2"/>
                <c:pt idx="0">
                  <c:v>18050</c:v>
                </c:pt>
                <c:pt idx="1">
                  <c:v>159723</c:v>
                </c:pt>
              </c:numCache>
            </c:numRef>
          </c:val>
        </c:ser>
        <c:dLbls>
          <c:showLegendKey val="0"/>
          <c:showVal val="1"/>
          <c:showCatName val="0"/>
          <c:showSerName val="0"/>
          <c:showPercent val="0"/>
          <c:showBubbleSize val="0"/>
        </c:dLbls>
        <c:gapWidth val="150"/>
        <c:shape val="box"/>
        <c:axId val="139146752"/>
        <c:axId val="139148288"/>
        <c:axId val="0"/>
      </c:bar3DChart>
      <c:catAx>
        <c:axId val="139146752"/>
        <c:scaling>
          <c:orientation val="minMax"/>
        </c:scaling>
        <c:delete val="0"/>
        <c:axPos val="b"/>
        <c:numFmt formatCode="General" sourceLinked="1"/>
        <c:majorTickMark val="none"/>
        <c:minorTickMark val="none"/>
        <c:tickLblPos val="nextTo"/>
        <c:txPr>
          <a:bodyPr/>
          <a:lstStyle/>
          <a:p>
            <a:pPr>
              <a:defRPr sz="800"/>
            </a:pPr>
            <a:endParaRPr lang="es-CL"/>
          </a:p>
        </c:txPr>
        <c:crossAx val="139148288"/>
        <c:crosses val="autoZero"/>
        <c:auto val="1"/>
        <c:lblAlgn val="ctr"/>
        <c:lblOffset val="100"/>
        <c:noMultiLvlLbl val="0"/>
      </c:catAx>
      <c:valAx>
        <c:axId val="139148288"/>
        <c:scaling>
          <c:orientation val="minMax"/>
        </c:scaling>
        <c:delete val="1"/>
        <c:axPos val="l"/>
        <c:numFmt formatCode="#,##0" sourceLinked="1"/>
        <c:majorTickMark val="none"/>
        <c:minorTickMark val="none"/>
        <c:tickLblPos val="nextTo"/>
        <c:crossAx val="139146752"/>
        <c:crosses val="autoZero"/>
        <c:crossBetween val="between"/>
      </c:valAx>
    </c:plotArea>
    <c:plotVisOnly val="1"/>
    <c:dispBlanksAs val="gap"/>
    <c:showDLblsOverMax val="0"/>
  </c:chart>
  <c:txPr>
    <a:bodyPr/>
    <a:lstStyle/>
    <a:p>
      <a:pPr>
        <a:defRPr sz="1000"/>
      </a:pPr>
      <a:endParaRPr lang="es-CL"/>
    </a:p>
  </c:tx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Residuos</a:t>
            </a:r>
            <a:r>
              <a:rPr lang="es-CL" sz="800" baseline="0"/>
              <a:t> por tonelada de producción (Ton/Ton)</a:t>
            </a:r>
            <a:endParaRPr lang="es-CL" sz="800"/>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'Residuos '!$C$147</c:f>
              <c:strCache>
                <c:ptCount val="1"/>
                <c:pt idx="0">
                  <c:v>MYPE</c:v>
                </c:pt>
              </c:strCache>
            </c:strRef>
          </c:tx>
          <c:invertIfNegative val="0"/>
          <c:dLbls>
            <c:txPr>
              <a:bodyPr/>
              <a:lstStyle/>
              <a:p>
                <a:pPr>
                  <a:defRPr sz="800"/>
                </a:pPr>
                <a:endParaRPr lang="es-CL"/>
              </a:p>
            </c:txPr>
            <c:showLegendKey val="0"/>
            <c:showVal val="1"/>
            <c:showCatName val="0"/>
            <c:showSerName val="0"/>
            <c:showPercent val="0"/>
            <c:showBubbleSize val="0"/>
            <c:showLeaderLines val="0"/>
          </c:dLbls>
          <c:cat>
            <c:strRef>
              <c:f>'Residuos '!$G$146:$H$146</c:f>
              <c:strCache>
                <c:ptCount val="2"/>
                <c:pt idx="0">
                  <c:v>Residuos Sólidos (Ton /Ton)</c:v>
                </c:pt>
                <c:pt idx="1">
                  <c:v>Residuos Peligrosos (Ton/ Ton )</c:v>
                </c:pt>
              </c:strCache>
            </c:strRef>
          </c:cat>
          <c:val>
            <c:numRef>
              <c:f>'Residuos '!$G$147:$H$147</c:f>
              <c:numCache>
                <c:formatCode>0.000</c:formatCode>
                <c:ptCount val="2"/>
                <c:pt idx="0">
                  <c:v>1.0656502242152464E-3</c:v>
                </c:pt>
                <c:pt idx="1">
                  <c:v>8.3086322869955142E-4</c:v>
                </c:pt>
              </c:numCache>
            </c:numRef>
          </c:val>
        </c:ser>
        <c:ser>
          <c:idx val="1"/>
          <c:order val="1"/>
          <c:tx>
            <c:strRef>
              <c:f>'Residuos '!$C$148</c:f>
              <c:strCache>
                <c:ptCount val="1"/>
                <c:pt idx="0">
                  <c:v>Grande</c:v>
                </c:pt>
              </c:strCache>
            </c:strRef>
          </c:tx>
          <c:invertIfNegative val="0"/>
          <c:dLbls>
            <c:txPr>
              <a:bodyPr/>
              <a:lstStyle/>
              <a:p>
                <a:pPr>
                  <a:defRPr sz="800"/>
                </a:pPr>
                <a:endParaRPr lang="es-CL"/>
              </a:p>
            </c:txPr>
            <c:showLegendKey val="0"/>
            <c:showVal val="1"/>
            <c:showCatName val="0"/>
            <c:showSerName val="0"/>
            <c:showPercent val="0"/>
            <c:showBubbleSize val="0"/>
            <c:showLeaderLines val="0"/>
          </c:dLbls>
          <c:cat>
            <c:strRef>
              <c:f>'Residuos '!$G$146:$H$146</c:f>
              <c:strCache>
                <c:ptCount val="2"/>
                <c:pt idx="0">
                  <c:v>Residuos Sólidos (Ton /Ton)</c:v>
                </c:pt>
                <c:pt idx="1">
                  <c:v>Residuos Peligrosos (Ton/ Ton )</c:v>
                </c:pt>
              </c:strCache>
            </c:strRef>
          </c:cat>
          <c:val>
            <c:numRef>
              <c:f>'Residuos '!$G$148:$H$148</c:f>
              <c:numCache>
                <c:formatCode>0.000</c:formatCode>
                <c:ptCount val="2"/>
                <c:pt idx="0">
                  <c:v>2.2812504588637796E-2</c:v>
                </c:pt>
                <c:pt idx="1">
                  <c:v>9.7132284921369095E-4</c:v>
                </c:pt>
              </c:numCache>
            </c:numRef>
          </c:val>
        </c:ser>
        <c:dLbls>
          <c:showLegendKey val="0"/>
          <c:showVal val="1"/>
          <c:showCatName val="0"/>
          <c:showSerName val="0"/>
          <c:showPercent val="0"/>
          <c:showBubbleSize val="0"/>
        </c:dLbls>
        <c:gapWidth val="150"/>
        <c:shape val="box"/>
        <c:axId val="283432832"/>
        <c:axId val="283434368"/>
        <c:axId val="0"/>
      </c:bar3DChart>
      <c:catAx>
        <c:axId val="283432832"/>
        <c:scaling>
          <c:orientation val="minMax"/>
        </c:scaling>
        <c:delete val="0"/>
        <c:axPos val="l"/>
        <c:majorTickMark val="none"/>
        <c:minorTickMark val="none"/>
        <c:tickLblPos val="nextTo"/>
        <c:txPr>
          <a:bodyPr/>
          <a:lstStyle/>
          <a:p>
            <a:pPr>
              <a:defRPr sz="800"/>
            </a:pPr>
            <a:endParaRPr lang="es-CL"/>
          </a:p>
        </c:txPr>
        <c:crossAx val="283434368"/>
        <c:crosses val="autoZero"/>
        <c:auto val="1"/>
        <c:lblAlgn val="ctr"/>
        <c:lblOffset val="100"/>
        <c:noMultiLvlLbl val="0"/>
      </c:catAx>
      <c:valAx>
        <c:axId val="283434368"/>
        <c:scaling>
          <c:orientation val="minMax"/>
        </c:scaling>
        <c:delete val="1"/>
        <c:axPos val="b"/>
        <c:numFmt formatCode="0.000" sourceLinked="1"/>
        <c:majorTickMark val="out"/>
        <c:minorTickMark val="none"/>
        <c:tickLblPos val="nextTo"/>
        <c:crossAx val="283432832"/>
        <c:crosses val="autoZero"/>
        <c:crossBetween val="between"/>
      </c:valAx>
    </c:plotArea>
    <c:legend>
      <c:legendPos val="t"/>
      <c:overlay val="0"/>
      <c:txPr>
        <a:bodyPr/>
        <a:lstStyle/>
        <a:p>
          <a:pPr>
            <a:defRPr sz="750"/>
          </a:pPr>
          <a:endParaRPr lang="es-CL"/>
        </a:p>
      </c:txPr>
    </c:legend>
    <c:plotVisOnly val="1"/>
    <c:dispBlanksAs val="gap"/>
    <c:showDLblsOverMax val="0"/>
  </c:chart>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Total Residuos sólidos de la muestra (Ton)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'Residuos '!$C$118</c:f>
              <c:strCache>
                <c:ptCount val="1"/>
                <c:pt idx="0">
                  <c:v>Total Residuos sólidos (Ton)</c:v>
                </c:pt>
              </c:strCache>
            </c:strRef>
          </c:tx>
          <c:invertIfNegative val="0"/>
          <c:dLbls>
            <c:dLbl>
              <c:idx val="0"/>
              <c:layout>
                <c:manualLayout>
                  <c:x val="4.9348208601742473E-2"/>
                  <c:y val="-3.0459762533772562E-2"/>
                </c:manualLayout>
              </c:layout>
              <c:spPr/>
              <c:txPr>
                <a:bodyPr/>
                <a:lstStyle/>
                <a:p>
                  <a:pPr>
                    <a:defRPr sz="750"/>
                  </a:pPr>
                  <a:endParaRPr lang="es-CL"/>
                </a:p>
              </c:txPr>
              <c:showLegendKey val="0"/>
              <c:showVal val="1"/>
              <c:showCatName val="0"/>
              <c:showSerName val="0"/>
              <c:showPercent val="0"/>
              <c:showBubbleSize val="0"/>
            </c:dLbl>
            <c:txPr>
              <a:bodyPr/>
              <a:lstStyle/>
              <a:p>
                <a:pPr>
                  <a:defRPr sz="700"/>
                </a:pPr>
                <a:endParaRPr lang="es-CL"/>
              </a:p>
            </c:txPr>
            <c:showLegendKey val="0"/>
            <c:showVal val="1"/>
            <c:showCatName val="0"/>
            <c:showSerName val="0"/>
            <c:showPercent val="0"/>
            <c:showBubbleSize val="0"/>
            <c:showLeaderLines val="0"/>
          </c:dLbls>
          <c:val>
            <c:numRef>
              <c:f>'Residuos '!$C$119</c:f>
              <c:numCache>
                <c:formatCode>0.0</c:formatCode>
                <c:ptCount val="1"/>
                <c:pt idx="0">
                  <c:v>392.97</c:v>
                </c:pt>
              </c:numCache>
            </c:numRef>
          </c:val>
        </c:ser>
        <c:dLbls>
          <c:showLegendKey val="0"/>
          <c:showVal val="1"/>
          <c:showCatName val="0"/>
          <c:showSerName val="0"/>
          <c:showPercent val="0"/>
          <c:showBubbleSize val="0"/>
        </c:dLbls>
        <c:gapWidth val="150"/>
        <c:shape val="box"/>
        <c:axId val="283538176"/>
        <c:axId val="283539712"/>
        <c:axId val="0"/>
      </c:bar3DChart>
      <c:catAx>
        <c:axId val="283538176"/>
        <c:scaling>
          <c:orientation val="minMax"/>
        </c:scaling>
        <c:delete val="1"/>
        <c:axPos val="b"/>
        <c:majorTickMark val="none"/>
        <c:minorTickMark val="none"/>
        <c:tickLblPos val="nextTo"/>
        <c:crossAx val="283539712"/>
        <c:crosses val="autoZero"/>
        <c:auto val="1"/>
        <c:lblAlgn val="ctr"/>
        <c:lblOffset val="100"/>
        <c:noMultiLvlLbl val="0"/>
      </c:catAx>
      <c:valAx>
        <c:axId val="283539712"/>
        <c:scaling>
          <c:orientation val="minMax"/>
        </c:scaling>
        <c:delete val="1"/>
        <c:axPos val="l"/>
        <c:numFmt formatCode="0.0" sourceLinked="1"/>
        <c:majorTickMark val="out"/>
        <c:minorTickMark val="none"/>
        <c:tickLblPos val="nextTo"/>
        <c:crossAx val="283538176"/>
        <c:crosses val="autoZero"/>
        <c:crossBetween val="between"/>
      </c:valAx>
    </c:plotArea>
    <c:plotVisOnly val="1"/>
    <c:dispBlanksAs val="gap"/>
    <c:showDLblsOverMax val="0"/>
  </c:chart>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Promedio residuos  sólidos (Ton) </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'Residuos '!$E$118</c:f>
              <c:strCache>
                <c:ptCount val="1"/>
                <c:pt idx="0">
                  <c:v>Residuos Solidos (Ton) </c:v>
                </c:pt>
              </c:strCache>
            </c:strRef>
          </c:tx>
          <c:invertIfNegative val="0"/>
          <c:dLbls>
            <c:txPr>
              <a:bodyPr/>
              <a:lstStyle/>
              <a:p>
                <a:pPr>
                  <a:defRPr sz="750"/>
                </a:pPr>
                <a:endParaRPr lang="es-CL"/>
              </a:p>
            </c:txPr>
            <c:showLegendKey val="0"/>
            <c:showVal val="1"/>
            <c:showCatName val="0"/>
            <c:showSerName val="0"/>
            <c:showPercent val="0"/>
            <c:showBubbleSize val="0"/>
            <c:showLeaderLines val="0"/>
          </c:dLbls>
          <c:cat>
            <c:strRef>
              <c:f>'Residuos '!$D$119:$D$120</c:f>
              <c:strCache>
                <c:ptCount val="2"/>
                <c:pt idx="0">
                  <c:v>MYPE</c:v>
                </c:pt>
                <c:pt idx="1">
                  <c:v>Grande</c:v>
                </c:pt>
              </c:strCache>
            </c:strRef>
          </c:cat>
          <c:val>
            <c:numRef>
              <c:f>'Residuos '!$E$119:$E$120</c:f>
              <c:numCache>
                <c:formatCode>#,##0</c:formatCode>
                <c:ptCount val="2"/>
                <c:pt idx="0" formatCode="#,##0.0">
                  <c:v>0.91399999999999992</c:v>
                </c:pt>
                <c:pt idx="1">
                  <c:v>55.48571428571428</c:v>
                </c:pt>
              </c:numCache>
            </c:numRef>
          </c:val>
        </c:ser>
        <c:dLbls>
          <c:showLegendKey val="0"/>
          <c:showVal val="1"/>
          <c:showCatName val="0"/>
          <c:showSerName val="0"/>
          <c:showPercent val="0"/>
          <c:showBubbleSize val="0"/>
        </c:dLbls>
        <c:gapWidth val="150"/>
        <c:shape val="box"/>
        <c:axId val="283563520"/>
        <c:axId val="283570560"/>
        <c:axId val="0"/>
      </c:bar3DChart>
      <c:catAx>
        <c:axId val="283563520"/>
        <c:scaling>
          <c:orientation val="minMax"/>
        </c:scaling>
        <c:delete val="0"/>
        <c:axPos val="b"/>
        <c:majorTickMark val="none"/>
        <c:minorTickMark val="none"/>
        <c:tickLblPos val="nextTo"/>
        <c:txPr>
          <a:bodyPr/>
          <a:lstStyle/>
          <a:p>
            <a:pPr>
              <a:defRPr sz="800"/>
            </a:pPr>
            <a:endParaRPr lang="es-CL"/>
          </a:p>
        </c:txPr>
        <c:crossAx val="283570560"/>
        <c:crosses val="autoZero"/>
        <c:auto val="1"/>
        <c:lblAlgn val="ctr"/>
        <c:lblOffset val="100"/>
        <c:noMultiLvlLbl val="0"/>
      </c:catAx>
      <c:valAx>
        <c:axId val="283570560"/>
        <c:scaling>
          <c:orientation val="minMax"/>
        </c:scaling>
        <c:delete val="1"/>
        <c:axPos val="l"/>
        <c:numFmt formatCode="#,##0.0" sourceLinked="1"/>
        <c:majorTickMark val="out"/>
        <c:minorTickMark val="none"/>
        <c:tickLblPos val="nextTo"/>
        <c:crossAx val="283563520"/>
        <c:crosses val="autoZero"/>
        <c:crossBetween val="between"/>
      </c:valAx>
    </c:plotArea>
    <c:plotVisOnly val="1"/>
    <c:dispBlanksAs val="gap"/>
    <c:showDLblsOverMax val="0"/>
  </c:chart>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Residuos Sólidos por tonelada</a:t>
            </a:r>
            <a:r>
              <a:rPr lang="en-US" sz="800" baseline="0"/>
              <a:t> de Materia Prima </a:t>
            </a:r>
            <a:r>
              <a:rPr lang="en-US" sz="800"/>
              <a:t>(Ton /Ton)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'Residuos '!$F$118</c:f>
              <c:strCache>
                <c:ptCount val="1"/>
                <c:pt idx="0">
                  <c:v>Residuos Sólidos (organicos e inorganicos)(Ton /Ton)</c:v>
                </c:pt>
              </c:strCache>
            </c:strRef>
          </c:tx>
          <c:invertIfNegative val="0"/>
          <c:dLbls>
            <c:dLbl>
              <c:idx val="0"/>
              <c:tx>
                <c:rich>
                  <a:bodyPr/>
                  <a:lstStyle/>
                  <a:p>
                    <a:r>
                      <a:rPr lang="en-US" sz="750"/>
                      <a:t>0,001</a:t>
                    </a:r>
                  </a:p>
                </c:rich>
              </c:tx>
              <c:showLegendKey val="0"/>
              <c:showVal val="1"/>
              <c:showCatName val="0"/>
              <c:showSerName val="0"/>
              <c:showPercent val="0"/>
              <c:showBubbleSize val="0"/>
            </c:dLbl>
            <c:dLbl>
              <c:idx val="1"/>
              <c:spPr/>
              <c:txPr>
                <a:bodyPr/>
                <a:lstStyle/>
                <a:p>
                  <a:pPr>
                    <a:defRPr sz="750"/>
                  </a:pPr>
                  <a:endParaRPr lang="es-CL"/>
                </a:p>
              </c:txPr>
              <c:showLegendKey val="0"/>
              <c:showVal val="1"/>
              <c:showCatName val="0"/>
              <c:showSerName val="0"/>
              <c:showPercent val="0"/>
              <c:showBubbleSize val="0"/>
            </c:dLbl>
            <c:txPr>
              <a:bodyPr/>
              <a:lstStyle/>
              <a:p>
                <a:pPr>
                  <a:defRPr sz="700"/>
                </a:pPr>
                <a:endParaRPr lang="es-CL"/>
              </a:p>
            </c:txPr>
            <c:showLegendKey val="0"/>
            <c:showVal val="1"/>
            <c:showCatName val="0"/>
            <c:showSerName val="0"/>
            <c:showPercent val="0"/>
            <c:showBubbleSize val="0"/>
            <c:showLeaderLines val="0"/>
          </c:dLbls>
          <c:cat>
            <c:strRef>
              <c:f>'Residuos '!$D$119:$D$120</c:f>
              <c:strCache>
                <c:ptCount val="2"/>
                <c:pt idx="0">
                  <c:v>MYPE</c:v>
                </c:pt>
                <c:pt idx="1">
                  <c:v>Grande</c:v>
                </c:pt>
              </c:strCache>
            </c:strRef>
          </c:cat>
          <c:val>
            <c:numRef>
              <c:f>'Residuos '!$F$119:$F$120</c:f>
              <c:numCache>
                <c:formatCode>#,##0.000</c:formatCode>
                <c:ptCount val="2"/>
                <c:pt idx="0">
                  <c:v>1.0656502242152464E-3</c:v>
                </c:pt>
                <c:pt idx="1">
                  <c:v>2.2812504588637796E-2</c:v>
                </c:pt>
              </c:numCache>
            </c:numRef>
          </c:val>
        </c:ser>
        <c:dLbls>
          <c:showLegendKey val="0"/>
          <c:showVal val="1"/>
          <c:showCatName val="0"/>
          <c:showSerName val="0"/>
          <c:showPercent val="0"/>
          <c:showBubbleSize val="0"/>
        </c:dLbls>
        <c:gapWidth val="150"/>
        <c:shape val="box"/>
        <c:axId val="283726976"/>
        <c:axId val="283728512"/>
        <c:axId val="0"/>
      </c:bar3DChart>
      <c:catAx>
        <c:axId val="283726976"/>
        <c:scaling>
          <c:orientation val="minMax"/>
        </c:scaling>
        <c:delete val="0"/>
        <c:axPos val="b"/>
        <c:majorTickMark val="none"/>
        <c:minorTickMark val="none"/>
        <c:tickLblPos val="nextTo"/>
        <c:txPr>
          <a:bodyPr/>
          <a:lstStyle/>
          <a:p>
            <a:pPr>
              <a:defRPr sz="800"/>
            </a:pPr>
            <a:endParaRPr lang="es-CL"/>
          </a:p>
        </c:txPr>
        <c:crossAx val="283728512"/>
        <c:crosses val="autoZero"/>
        <c:auto val="1"/>
        <c:lblAlgn val="ctr"/>
        <c:lblOffset val="100"/>
        <c:noMultiLvlLbl val="0"/>
      </c:catAx>
      <c:valAx>
        <c:axId val="283728512"/>
        <c:scaling>
          <c:orientation val="minMax"/>
        </c:scaling>
        <c:delete val="1"/>
        <c:axPos val="l"/>
        <c:numFmt formatCode="#,##0.000" sourceLinked="1"/>
        <c:majorTickMark val="out"/>
        <c:minorTickMark val="none"/>
        <c:tickLblPos val="nextTo"/>
        <c:crossAx val="283726976"/>
        <c:crosses val="autoZero"/>
        <c:crossBetween val="between"/>
      </c:valAx>
    </c:plotArea>
    <c:plotVisOnly val="1"/>
    <c:dispBlanksAs val="gap"/>
    <c:showDLblsOverMax val="0"/>
  </c:chart>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700"/>
            </a:pPr>
            <a:r>
              <a:rPr lang="en-US" sz="700"/>
              <a:t>PYME: restos de</a:t>
            </a:r>
            <a:r>
              <a:rPr lang="en-US" sz="700" baseline="0"/>
              <a:t> cabo y red en desuso</a:t>
            </a:r>
            <a:r>
              <a:rPr lang="en-US" sz="700"/>
              <a:t> (%)</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Flotación!$A$80</c:f>
              <c:strCache>
                <c:ptCount val="1"/>
                <c:pt idx="0">
                  <c:v>%</c:v>
                </c:pt>
              </c:strCache>
            </c:strRef>
          </c:tx>
          <c:invertIfNegative val="0"/>
          <c:dLbls>
            <c:txPr>
              <a:bodyPr/>
              <a:lstStyle/>
              <a:p>
                <a:pPr>
                  <a:defRPr sz="750"/>
                </a:pPr>
                <a:endParaRPr lang="es-CL"/>
              </a:p>
            </c:txPr>
            <c:showLegendKey val="0"/>
            <c:showVal val="1"/>
            <c:showCatName val="0"/>
            <c:showSerName val="0"/>
            <c:showPercent val="0"/>
            <c:showBubbleSize val="0"/>
            <c:showLeaderLines val="0"/>
          </c:dLbls>
          <c:cat>
            <c:strRef>
              <c:f>Flotación!$B$78:$H$78</c:f>
              <c:strCache>
                <c:ptCount val="7"/>
                <c:pt idx="0">
                  <c:v>Bota</c:v>
                </c:pt>
                <c:pt idx="1">
                  <c:v>Regala</c:v>
                </c:pt>
                <c:pt idx="2">
                  <c:v>Quema</c:v>
                </c:pt>
                <c:pt idx="3">
                  <c:v>Vende</c:v>
                </c:pt>
                <c:pt idx="4">
                  <c:v>Recicla</c:v>
                </c:pt>
                <c:pt idx="5">
                  <c:v>Playa</c:v>
                </c:pt>
                <c:pt idx="6">
                  <c:v>Patio</c:v>
                </c:pt>
              </c:strCache>
            </c:strRef>
          </c:cat>
          <c:val>
            <c:numRef>
              <c:f>Flotación!$B$80:$H$80</c:f>
              <c:numCache>
                <c:formatCode>0%</c:formatCode>
                <c:ptCount val="7"/>
                <c:pt idx="0">
                  <c:v>0.69230769230769229</c:v>
                </c:pt>
                <c:pt idx="1">
                  <c:v>0.15384615384615385</c:v>
                </c:pt>
                <c:pt idx="2">
                  <c:v>7.6923076923076927E-2</c:v>
                </c:pt>
                <c:pt idx="3">
                  <c:v>0.30769230769230771</c:v>
                </c:pt>
                <c:pt idx="4">
                  <c:v>0</c:v>
                </c:pt>
                <c:pt idx="5">
                  <c:v>0</c:v>
                </c:pt>
                <c:pt idx="6">
                  <c:v>0.46153846153846156</c:v>
                </c:pt>
              </c:numCache>
            </c:numRef>
          </c:val>
        </c:ser>
        <c:dLbls>
          <c:showLegendKey val="0"/>
          <c:showVal val="1"/>
          <c:showCatName val="0"/>
          <c:showSerName val="0"/>
          <c:showPercent val="0"/>
          <c:showBubbleSize val="0"/>
        </c:dLbls>
        <c:gapWidth val="150"/>
        <c:shape val="box"/>
        <c:axId val="283748224"/>
        <c:axId val="284050176"/>
        <c:axId val="0"/>
      </c:bar3DChart>
      <c:catAx>
        <c:axId val="283748224"/>
        <c:scaling>
          <c:orientation val="minMax"/>
        </c:scaling>
        <c:delete val="0"/>
        <c:axPos val="b"/>
        <c:majorTickMark val="none"/>
        <c:minorTickMark val="none"/>
        <c:tickLblPos val="nextTo"/>
        <c:txPr>
          <a:bodyPr/>
          <a:lstStyle/>
          <a:p>
            <a:pPr>
              <a:defRPr sz="750"/>
            </a:pPr>
            <a:endParaRPr lang="es-CL"/>
          </a:p>
        </c:txPr>
        <c:crossAx val="284050176"/>
        <c:crosses val="autoZero"/>
        <c:auto val="1"/>
        <c:lblAlgn val="ctr"/>
        <c:lblOffset val="100"/>
        <c:noMultiLvlLbl val="0"/>
      </c:catAx>
      <c:valAx>
        <c:axId val="284050176"/>
        <c:scaling>
          <c:orientation val="minMax"/>
        </c:scaling>
        <c:delete val="1"/>
        <c:axPos val="l"/>
        <c:numFmt formatCode="0%" sourceLinked="1"/>
        <c:majorTickMark val="out"/>
        <c:minorTickMark val="none"/>
        <c:tickLblPos val="nextTo"/>
        <c:crossAx val="283748224"/>
        <c:crosses val="autoZero"/>
        <c:crossBetween val="between"/>
      </c:valAx>
    </c:plotArea>
    <c:plotVisOnly val="1"/>
    <c:dispBlanksAs val="gap"/>
    <c:showDLblsOverMax val="0"/>
  </c:chart>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750"/>
            </a:pPr>
            <a:r>
              <a:rPr lang="en-US" sz="750"/>
              <a:t>Grande: Restos de cabo y red en desuso (%)</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Flotación!$A$80</c:f>
              <c:strCache>
                <c:ptCount val="1"/>
                <c:pt idx="0">
                  <c:v>%</c:v>
                </c:pt>
              </c:strCache>
            </c:strRef>
          </c:tx>
          <c:invertIfNegative val="0"/>
          <c:dLbls>
            <c:txPr>
              <a:bodyPr/>
              <a:lstStyle/>
              <a:p>
                <a:pPr>
                  <a:defRPr sz="750"/>
                </a:pPr>
                <a:endParaRPr lang="es-CL"/>
              </a:p>
            </c:txPr>
            <c:showLegendKey val="0"/>
            <c:showVal val="1"/>
            <c:showCatName val="0"/>
            <c:showSerName val="0"/>
            <c:showPercent val="0"/>
            <c:showBubbleSize val="0"/>
            <c:showLeaderLines val="0"/>
          </c:dLbls>
          <c:cat>
            <c:strRef>
              <c:f>Flotación!$N$78:$T$78</c:f>
              <c:strCache>
                <c:ptCount val="7"/>
                <c:pt idx="0">
                  <c:v>Bota</c:v>
                </c:pt>
                <c:pt idx="1">
                  <c:v>Regala</c:v>
                </c:pt>
                <c:pt idx="2">
                  <c:v>Quema</c:v>
                </c:pt>
                <c:pt idx="3">
                  <c:v>Vende</c:v>
                </c:pt>
                <c:pt idx="4">
                  <c:v>Recicla</c:v>
                </c:pt>
                <c:pt idx="5">
                  <c:v>Playa</c:v>
                </c:pt>
                <c:pt idx="6">
                  <c:v>Patio</c:v>
                </c:pt>
              </c:strCache>
            </c:strRef>
          </c:cat>
          <c:val>
            <c:numRef>
              <c:f>Flotación!$N$80:$T$80</c:f>
              <c:numCache>
                <c:formatCode>0%</c:formatCode>
                <c:ptCount val="7"/>
                <c:pt idx="0">
                  <c:v>0.46153846153846156</c:v>
                </c:pt>
                <c:pt idx="1">
                  <c:v>0</c:v>
                </c:pt>
                <c:pt idx="2">
                  <c:v>0</c:v>
                </c:pt>
                <c:pt idx="3">
                  <c:v>0.15384615384615385</c:v>
                </c:pt>
                <c:pt idx="4">
                  <c:v>0.38461538461538464</c:v>
                </c:pt>
                <c:pt idx="5">
                  <c:v>0</c:v>
                </c:pt>
                <c:pt idx="6">
                  <c:v>0.38461538461538464</c:v>
                </c:pt>
              </c:numCache>
            </c:numRef>
          </c:val>
        </c:ser>
        <c:dLbls>
          <c:showLegendKey val="0"/>
          <c:showVal val="1"/>
          <c:showCatName val="0"/>
          <c:showSerName val="0"/>
          <c:showPercent val="0"/>
          <c:showBubbleSize val="0"/>
        </c:dLbls>
        <c:gapWidth val="150"/>
        <c:shape val="box"/>
        <c:axId val="284696576"/>
        <c:axId val="284699264"/>
        <c:axId val="0"/>
      </c:bar3DChart>
      <c:catAx>
        <c:axId val="284696576"/>
        <c:scaling>
          <c:orientation val="minMax"/>
        </c:scaling>
        <c:delete val="0"/>
        <c:axPos val="b"/>
        <c:majorTickMark val="none"/>
        <c:minorTickMark val="none"/>
        <c:tickLblPos val="nextTo"/>
        <c:txPr>
          <a:bodyPr/>
          <a:lstStyle/>
          <a:p>
            <a:pPr>
              <a:defRPr sz="750"/>
            </a:pPr>
            <a:endParaRPr lang="es-CL"/>
          </a:p>
        </c:txPr>
        <c:crossAx val="284699264"/>
        <c:crosses val="autoZero"/>
        <c:auto val="1"/>
        <c:lblAlgn val="ctr"/>
        <c:lblOffset val="100"/>
        <c:noMultiLvlLbl val="0"/>
      </c:catAx>
      <c:valAx>
        <c:axId val="284699264"/>
        <c:scaling>
          <c:orientation val="minMax"/>
        </c:scaling>
        <c:delete val="1"/>
        <c:axPos val="l"/>
        <c:numFmt formatCode="0%" sourceLinked="1"/>
        <c:majorTickMark val="out"/>
        <c:minorTickMark val="none"/>
        <c:tickLblPos val="nextTo"/>
        <c:crossAx val="284696576"/>
        <c:crosses val="autoZero"/>
        <c:crossBetween val="between"/>
      </c:valAx>
    </c:plotArea>
    <c:plotVisOnly val="1"/>
    <c:dispBlanksAs val="gap"/>
    <c:showDLblsOverMax val="0"/>
  </c:chart>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750"/>
            </a:pPr>
            <a:r>
              <a:rPr lang="en-US" sz="750"/>
              <a:t>PYME: boyas</a:t>
            </a:r>
            <a:r>
              <a:rPr lang="en-US" sz="750" baseline="0"/>
              <a:t> plásticas en desuso </a:t>
            </a:r>
            <a:r>
              <a:rPr lang="en-US" sz="750"/>
              <a:t> (%)</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Flotación!$A$47</c:f>
              <c:strCache>
                <c:ptCount val="1"/>
                <c:pt idx="0">
                  <c:v>%</c:v>
                </c:pt>
              </c:strCache>
            </c:strRef>
          </c:tx>
          <c:invertIfNegative val="0"/>
          <c:dLbls>
            <c:dLbl>
              <c:idx val="0"/>
              <c:layout>
                <c:manualLayout>
                  <c:x val="1.6816816816816817E-2"/>
                  <c:y val="-5.0505050505049581E-3"/>
                </c:manualLayout>
              </c:layout>
              <c:showLegendKey val="0"/>
              <c:showVal val="1"/>
              <c:showCatName val="0"/>
              <c:showSerName val="0"/>
              <c:showPercent val="0"/>
              <c:showBubbleSize val="0"/>
            </c:dLbl>
            <c:dLbl>
              <c:idx val="2"/>
              <c:layout>
                <c:manualLayout>
                  <c:x val="2.1621621621621664E-2"/>
                  <c:y val="-5.0505050505049581E-3"/>
                </c:manualLayout>
              </c:layout>
              <c:showLegendKey val="0"/>
              <c:showVal val="1"/>
              <c:showCatName val="0"/>
              <c:showSerName val="0"/>
              <c:showPercent val="0"/>
              <c:showBubbleSize val="0"/>
            </c:dLbl>
            <c:dLbl>
              <c:idx val="6"/>
              <c:layout>
                <c:manualLayout>
                  <c:x val="1.6816816816816817E-2"/>
                  <c:y val="9.2591522967418133E-17"/>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Flotación!$B$45:$H$45</c:f>
              <c:strCache>
                <c:ptCount val="7"/>
                <c:pt idx="0">
                  <c:v>Botó</c:v>
                </c:pt>
                <c:pt idx="1">
                  <c:v>Regaló</c:v>
                </c:pt>
                <c:pt idx="2">
                  <c:v>Quemó</c:v>
                </c:pt>
                <c:pt idx="3">
                  <c:v>Vendió</c:v>
                </c:pt>
                <c:pt idx="4">
                  <c:v> Patio</c:v>
                </c:pt>
                <c:pt idx="5">
                  <c:v>Repara</c:v>
                </c:pt>
                <c:pt idx="6">
                  <c:v>Playa</c:v>
                </c:pt>
              </c:strCache>
            </c:strRef>
          </c:cat>
          <c:val>
            <c:numRef>
              <c:f>Flotación!$B$47:$H$47</c:f>
              <c:numCache>
                <c:formatCode>0%</c:formatCode>
                <c:ptCount val="7"/>
                <c:pt idx="0">
                  <c:v>0</c:v>
                </c:pt>
                <c:pt idx="1">
                  <c:v>7.6923076923076927E-2</c:v>
                </c:pt>
                <c:pt idx="2">
                  <c:v>0</c:v>
                </c:pt>
                <c:pt idx="3">
                  <c:v>0.30769230769230771</c:v>
                </c:pt>
                <c:pt idx="4">
                  <c:v>0.92307692307692313</c:v>
                </c:pt>
                <c:pt idx="5">
                  <c:v>0.76923076923076927</c:v>
                </c:pt>
                <c:pt idx="6">
                  <c:v>0</c:v>
                </c:pt>
              </c:numCache>
            </c:numRef>
          </c:val>
        </c:ser>
        <c:dLbls>
          <c:showLegendKey val="0"/>
          <c:showVal val="1"/>
          <c:showCatName val="0"/>
          <c:showSerName val="0"/>
          <c:showPercent val="0"/>
          <c:showBubbleSize val="0"/>
        </c:dLbls>
        <c:gapWidth val="150"/>
        <c:shape val="box"/>
        <c:axId val="284743552"/>
        <c:axId val="284746496"/>
        <c:axId val="0"/>
      </c:bar3DChart>
      <c:catAx>
        <c:axId val="284743552"/>
        <c:scaling>
          <c:orientation val="minMax"/>
        </c:scaling>
        <c:delete val="0"/>
        <c:axPos val="b"/>
        <c:majorTickMark val="none"/>
        <c:minorTickMark val="none"/>
        <c:tickLblPos val="nextTo"/>
        <c:txPr>
          <a:bodyPr/>
          <a:lstStyle/>
          <a:p>
            <a:pPr>
              <a:defRPr sz="750"/>
            </a:pPr>
            <a:endParaRPr lang="es-CL"/>
          </a:p>
        </c:txPr>
        <c:crossAx val="284746496"/>
        <c:crosses val="autoZero"/>
        <c:auto val="1"/>
        <c:lblAlgn val="ctr"/>
        <c:lblOffset val="100"/>
        <c:noMultiLvlLbl val="0"/>
      </c:catAx>
      <c:valAx>
        <c:axId val="284746496"/>
        <c:scaling>
          <c:orientation val="minMax"/>
        </c:scaling>
        <c:delete val="1"/>
        <c:axPos val="l"/>
        <c:numFmt formatCode="0%" sourceLinked="1"/>
        <c:majorTickMark val="out"/>
        <c:minorTickMark val="none"/>
        <c:tickLblPos val="nextTo"/>
        <c:crossAx val="284743552"/>
        <c:crosses val="autoZero"/>
        <c:crossBetween val="between"/>
      </c:valAx>
    </c:plotArea>
    <c:plotVisOnly val="1"/>
    <c:dispBlanksAs val="gap"/>
    <c:showDLblsOverMax val="0"/>
  </c:chart>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750"/>
            </a:pPr>
            <a:r>
              <a:rPr lang="en-US" sz="750"/>
              <a:t>Grande</a:t>
            </a:r>
            <a:r>
              <a:rPr lang="en-US" sz="750" baseline="0"/>
              <a:t>: boyas plásticas en desuso (%)</a:t>
            </a:r>
            <a:endParaRPr lang="en-US" sz="75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Flotación!$A$47</c:f>
              <c:strCache>
                <c:ptCount val="1"/>
                <c:pt idx="0">
                  <c:v>%</c:v>
                </c:pt>
              </c:strCache>
            </c:strRef>
          </c:tx>
          <c:invertIfNegative val="0"/>
          <c:dLbls>
            <c:dLbl>
              <c:idx val="0"/>
              <c:layout>
                <c:manualLayout>
                  <c:x val="1.6816816816816817E-2"/>
                  <c:y val="-5.0505050505049581E-3"/>
                </c:manualLayout>
              </c:layout>
              <c:showLegendKey val="0"/>
              <c:showVal val="1"/>
              <c:showCatName val="0"/>
              <c:showSerName val="0"/>
              <c:showPercent val="0"/>
              <c:showBubbleSize val="0"/>
            </c:dLbl>
            <c:dLbl>
              <c:idx val="2"/>
              <c:layout>
                <c:manualLayout>
                  <c:x val="2.1621621621621664E-2"/>
                  <c:y val="-5.0505050505049581E-3"/>
                </c:manualLayout>
              </c:layout>
              <c:showLegendKey val="0"/>
              <c:showVal val="1"/>
              <c:showCatName val="0"/>
              <c:showSerName val="0"/>
              <c:showPercent val="0"/>
              <c:showBubbleSize val="0"/>
            </c:dLbl>
            <c:dLbl>
              <c:idx val="6"/>
              <c:layout>
                <c:manualLayout>
                  <c:x val="1.6816816816816817E-2"/>
                  <c:y val="9.2591522967418133E-17"/>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Flotación!$N$45:$T$45</c:f>
              <c:strCache>
                <c:ptCount val="7"/>
                <c:pt idx="0">
                  <c:v>Bota</c:v>
                </c:pt>
                <c:pt idx="1">
                  <c:v>Regala</c:v>
                </c:pt>
                <c:pt idx="2">
                  <c:v>Quema</c:v>
                </c:pt>
                <c:pt idx="3">
                  <c:v>Vende</c:v>
                </c:pt>
                <c:pt idx="4">
                  <c:v>Patio</c:v>
                </c:pt>
                <c:pt idx="5">
                  <c:v>Repara</c:v>
                </c:pt>
                <c:pt idx="6">
                  <c:v>Playa</c:v>
                </c:pt>
              </c:strCache>
            </c:strRef>
          </c:cat>
          <c:val>
            <c:numRef>
              <c:f>Flotación!$N$47:$T$47</c:f>
              <c:numCache>
                <c:formatCode>0%</c:formatCode>
                <c:ptCount val="7"/>
                <c:pt idx="0">
                  <c:v>0.1</c:v>
                </c:pt>
                <c:pt idx="1">
                  <c:v>0</c:v>
                </c:pt>
                <c:pt idx="2">
                  <c:v>0</c:v>
                </c:pt>
                <c:pt idx="3">
                  <c:v>1</c:v>
                </c:pt>
                <c:pt idx="4">
                  <c:v>0.7</c:v>
                </c:pt>
                <c:pt idx="5">
                  <c:v>0.6</c:v>
                </c:pt>
                <c:pt idx="6">
                  <c:v>0</c:v>
                </c:pt>
              </c:numCache>
            </c:numRef>
          </c:val>
        </c:ser>
        <c:dLbls>
          <c:showLegendKey val="0"/>
          <c:showVal val="1"/>
          <c:showCatName val="0"/>
          <c:showSerName val="0"/>
          <c:showPercent val="0"/>
          <c:showBubbleSize val="0"/>
        </c:dLbls>
        <c:gapWidth val="150"/>
        <c:shape val="box"/>
        <c:axId val="284758016"/>
        <c:axId val="284760704"/>
        <c:axId val="0"/>
      </c:bar3DChart>
      <c:catAx>
        <c:axId val="284758016"/>
        <c:scaling>
          <c:orientation val="minMax"/>
        </c:scaling>
        <c:delete val="0"/>
        <c:axPos val="b"/>
        <c:majorTickMark val="none"/>
        <c:minorTickMark val="none"/>
        <c:tickLblPos val="nextTo"/>
        <c:txPr>
          <a:bodyPr/>
          <a:lstStyle/>
          <a:p>
            <a:pPr>
              <a:defRPr sz="750"/>
            </a:pPr>
            <a:endParaRPr lang="es-CL"/>
          </a:p>
        </c:txPr>
        <c:crossAx val="284760704"/>
        <c:crosses val="autoZero"/>
        <c:auto val="1"/>
        <c:lblAlgn val="ctr"/>
        <c:lblOffset val="100"/>
        <c:noMultiLvlLbl val="0"/>
      </c:catAx>
      <c:valAx>
        <c:axId val="284760704"/>
        <c:scaling>
          <c:orientation val="minMax"/>
        </c:scaling>
        <c:delete val="1"/>
        <c:axPos val="l"/>
        <c:numFmt formatCode="0%" sourceLinked="1"/>
        <c:majorTickMark val="out"/>
        <c:minorTickMark val="none"/>
        <c:tickLblPos val="nextTo"/>
        <c:crossAx val="284758016"/>
        <c:crosses val="autoZero"/>
        <c:crossBetween val="between"/>
      </c:valAx>
    </c:plotArea>
    <c:plotVisOnly val="1"/>
    <c:dispBlanksAs val="gap"/>
    <c:showDLblsOverMax val="0"/>
  </c:chart>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750"/>
            </a:pPr>
            <a:r>
              <a:rPr lang="en-US" sz="750"/>
              <a:t>PYME:   flotadores de plumait en desuso (%)</a:t>
            </a:r>
          </a:p>
        </c:rich>
      </c:tx>
      <c:layout>
        <c:manualLayout>
          <c:xMode val="edge"/>
          <c:yMode val="edge"/>
          <c:x val="0.11030906094255223"/>
          <c:y val="0"/>
        </c:manualLayout>
      </c:layout>
      <c:overlay val="0"/>
    </c:title>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4.2108717614329806E-2"/>
          <c:y val="0.15338299331901695"/>
          <c:w val="0.95530628273264118"/>
          <c:h val="0.60799928418038651"/>
        </c:manualLayout>
      </c:layout>
      <c:bar3DChart>
        <c:barDir val="col"/>
        <c:grouping val="clustered"/>
        <c:varyColors val="0"/>
        <c:ser>
          <c:idx val="0"/>
          <c:order val="0"/>
          <c:tx>
            <c:strRef>
              <c:f>Flotación!$A$17</c:f>
              <c:strCache>
                <c:ptCount val="1"/>
                <c:pt idx="0">
                  <c:v>%</c:v>
                </c:pt>
              </c:strCache>
            </c:strRef>
          </c:tx>
          <c:invertIfNegative val="0"/>
          <c:dLbls>
            <c:txPr>
              <a:bodyPr/>
              <a:lstStyle/>
              <a:p>
                <a:pPr>
                  <a:defRPr sz="750"/>
                </a:pPr>
                <a:endParaRPr lang="es-CL"/>
              </a:p>
            </c:txPr>
            <c:showLegendKey val="0"/>
            <c:showVal val="1"/>
            <c:showCatName val="0"/>
            <c:showSerName val="0"/>
            <c:showPercent val="0"/>
            <c:showBubbleSize val="0"/>
            <c:showLeaderLines val="0"/>
          </c:dLbls>
          <c:cat>
            <c:strRef>
              <c:f>Flotación!$B$15:$H$15</c:f>
              <c:strCache>
                <c:ptCount val="7"/>
                <c:pt idx="0">
                  <c:v>Recicló</c:v>
                </c:pt>
                <c:pt idx="1">
                  <c:v>Botó</c:v>
                </c:pt>
                <c:pt idx="2">
                  <c:v>Regaló</c:v>
                </c:pt>
                <c:pt idx="3">
                  <c:v>Quemó</c:v>
                </c:pt>
                <c:pt idx="4">
                  <c:v>Vendió</c:v>
                </c:pt>
                <c:pt idx="5">
                  <c:v>Mantiene patio</c:v>
                </c:pt>
                <c:pt idx="6">
                  <c:v>Mantiene playa</c:v>
                </c:pt>
              </c:strCache>
            </c:strRef>
          </c:cat>
          <c:val>
            <c:numRef>
              <c:f>Flotación!$B$17:$H$17</c:f>
              <c:numCache>
                <c:formatCode>0%</c:formatCode>
                <c:ptCount val="7"/>
                <c:pt idx="0">
                  <c:v>0.25</c:v>
                </c:pt>
                <c:pt idx="1">
                  <c:v>0</c:v>
                </c:pt>
                <c:pt idx="2">
                  <c:v>0.3125</c:v>
                </c:pt>
                <c:pt idx="3">
                  <c:v>0</c:v>
                </c:pt>
                <c:pt idx="4">
                  <c:v>0</c:v>
                </c:pt>
                <c:pt idx="5">
                  <c:v>0.3125</c:v>
                </c:pt>
                <c:pt idx="6">
                  <c:v>0.125</c:v>
                </c:pt>
              </c:numCache>
            </c:numRef>
          </c:val>
        </c:ser>
        <c:dLbls>
          <c:showLegendKey val="0"/>
          <c:showVal val="1"/>
          <c:showCatName val="0"/>
          <c:showSerName val="0"/>
          <c:showPercent val="0"/>
          <c:showBubbleSize val="0"/>
        </c:dLbls>
        <c:gapWidth val="150"/>
        <c:shape val="box"/>
        <c:axId val="284784512"/>
        <c:axId val="284791552"/>
        <c:axId val="0"/>
      </c:bar3DChart>
      <c:catAx>
        <c:axId val="284784512"/>
        <c:scaling>
          <c:orientation val="minMax"/>
        </c:scaling>
        <c:delete val="0"/>
        <c:axPos val="b"/>
        <c:majorTickMark val="none"/>
        <c:minorTickMark val="none"/>
        <c:tickLblPos val="nextTo"/>
        <c:txPr>
          <a:bodyPr/>
          <a:lstStyle/>
          <a:p>
            <a:pPr>
              <a:defRPr sz="750"/>
            </a:pPr>
            <a:endParaRPr lang="es-CL"/>
          </a:p>
        </c:txPr>
        <c:crossAx val="284791552"/>
        <c:crosses val="autoZero"/>
        <c:auto val="1"/>
        <c:lblAlgn val="ctr"/>
        <c:lblOffset val="100"/>
        <c:noMultiLvlLbl val="0"/>
      </c:catAx>
      <c:valAx>
        <c:axId val="284791552"/>
        <c:scaling>
          <c:orientation val="minMax"/>
        </c:scaling>
        <c:delete val="1"/>
        <c:axPos val="l"/>
        <c:numFmt formatCode="0%" sourceLinked="1"/>
        <c:majorTickMark val="out"/>
        <c:minorTickMark val="none"/>
        <c:tickLblPos val="nextTo"/>
        <c:crossAx val="284784512"/>
        <c:crosses val="autoZero"/>
        <c:crossBetween val="between"/>
      </c:valAx>
    </c:plotArea>
    <c:plotVisOnly val="1"/>
    <c:dispBlanksAs val="gap"/>
    <c:showDLblsOverMax val="0"/>
  </c:chart>
  <c:txPr>
    <a:bodyPr/>
    <a:lstStyle/>
    <a:p>
      <a:pPr>
        <a:defRPr sz="1000"/>
      </a:pPr>
      <a:endParaRPr lang="es-CL"/>
    </a:p>
  </c:txPr>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750"/>
            </a:pPr>
            <a:r>
              <a:rPr lang="en-US" sz="750"/>
              <a:t>Grande: flotadores de plumavit en desuso (%)</a:t>
            </a:r>
          </a:p>
        </c:rich>
      </c:tx>
      <c:layout>
        <c:manualLayout>
          <c:xMode val="edge"/>
          <c:yMode val="edge"/>
          <c:x val="0.11604201721943205"/>
          <c:y val="0"/>
        </c:manualLayout>
      </c:layout>
      <c:overlay val="0"/>
    </c:title>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4.5931094056280937E-2"/>
          <c:y val="0.15659216840319201"/>
          <c:w val="0.95406868793402222"/>
          <c:h val="0.60479010909621145"/>
        </c:manualLayout>
      </c:layout>
      <c:bar3DChart>
        <c:barDir val="col"/>
        <c:grouping val="clustered"/>
        <c:varyColors val="0"/>
        <c:ser>
          <c:idx val="0"/>
          <c:order val="0"/>
          <c:tx>
            <c:strRef>
              <c:f>Flotación!$A$17</c:f>
              <c:strCache>
                <c:ptCount val="1"/>
                <c:pt idx="0">
                  <c:v>%</c:v>
                </c:pt>
              </c:strCache>
            </c:strRef>
          </c:tx>
          <c:invertIfNegative val="0"/>
          <c:dLbls>
            <c:dLbl>
              <c:idx val="2"/>
              <c:layout>
                <c:manualLayout>
                  <c:x val="1.6857504531837011E-2"/>
                  <c:y val="2.6196121076408927E-2"/>
                </c:manualLayout>
              </c:layout>
              <c:showLegendKey val="0"/>
              <c:showVal val="1"/>
              <c:showCatName val="0"/>
              <c:showSerName val="0"/>
              <c:showPercent val="0"/>
              <c:showBubbleSize val="0"/>
            </c:dLbl>
            <c:dLbl>
              <c:idx val="4"/>
              <c:layout>
                <c:manualLayout>
                  <c:x val="2.2476672709116016E-2"/>
                  <c:y val="3.1435345291690717E-2"/>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Flotación!$N$15:$T$15</c:f>
              <c:strCache>
                <c:ptCount val="7"/>
                <c:pt idx="0">
                  <c:v>Recicló</c:v>
                </c:pt>
                <c:pt idx="1">
                  <c:v>Botó</c:v>
                </c:pt>
                <c:pt idx="2">
                  <c:v>Regaló</c:v>
                </c:pt>
                <c:pt idx="3">
                  <c:v>Quemó</c:v>
                </c:pt>
                <c:pt idx="4">
                  <c:v>Vendió</c:v>
                </c:pt>
                <c:pt idx="5">
                  <c:v>Mantiene patio</c:v>
                </c:pt>
                <c:pt idx="6">
                  <c:v>Mantiene playa</c:v>
                </c:pt>
              </c:strCache>
            </c:strRef>
          </c:cat>
          <c:val>
            <c:numRef>
              <c:f>Flotación!$N$17:$T$17</c:f>
              <c:numCache>
                <c:formatCode>0%</c:formatCode>
                <c:ptCount val="7"/>
                <c:pt idx="0">
                  <c:v>0</c:v>
                </c:pt>
                <c:pt idx="1">
                  <c:v>0.1</c:v>
                </c:pt>
                <c:pt idx="2">
                  <c:v>0.2</c:v>
                </c:pt>
                <c:pt idx="3">
                  <c:v>0</c:v>
                </c:pt>
                <c:pt idx="4">
                  <c:v>0.2</c:v>
                </c:pt>
                <c:pt idx="5">
                  <c:v>0</c:v>
                </c:pt>
                <c:pt idx="6">
                  <c:v>0</c:v>
                </c:pt>
              </c:numCache>
            </c:numRef>
          </c:val>
        </c:ser>
        <c:dLbls>
          <c:showLegendKey val="0"/>
          <c:showVal val="1"/>
          <c:showCatName val="0"/>
          <c:showSerName val="0"/>
          <c:showPercent val="0"/>
          <c:showBubbleSize val="0"/>
        </c:dLbls>
        <c:gapWidth val="150"/>
        <c:shape val="box"/>
        <c:axId val="284848128"/>
        <c:axId val="284850816"/>
        <c:axId val="0"/>
      </c:bar3DChart>
      <c:catAx>
        <c:axId val="284848128"/>
        <c:scaling>
          <c:orientation val="minMax"/>
        </c:scaling>
        <c:delete val="0"/>
        <c:axPos val="b"/>
        <c:majorTickMark val="none"/>
        <c:minorTickMark val="none"/>
        <c:tickLblPos val="nextTo"/>
        <c:txPr>
          <a:bodyPr/>
          <a:lstStyle/>
          <a:p>
            <a:pPr>
              <a:defRPr sz="750"/>
            </a:pPr>
            <a:endParaRPr lang="es-CL"/>
          </a:p>
        </c:txPr>
        <c:crossAx val="284850816"/>
        <c:crosses val="autoZero"/>
        <c:auto val="1"/>
        <c:lblAlgn val="ctr"/>
        <c:lblOffset val="100"/>
        <c:noMultiLvlLbl val="0"/>
      </c:catAx>
      <c:valAx>
        <c:axId val="284850816"/>
        <c:scaling>
          <c:orientation val="minMax"/>
        </c:scaling>
        <c:delete val="1"/>
        <c:axPos val="l"/>
        <c:numFmt formatCode="0%" sourceLinked="1"/>
        <c:majorTickMark val="out"/>
        <c:minorTickMark val="none"/>
        <c:tickLblPos val="nextTo"/>
        <c:crossAx val="284848128"/>
        <c:crosses val="autoZero"/>
        <c:crossBetween val="between"/>
      </c:valAx>
    </c:plotArea>
    <c:plotVisOnly val="1"/>
    <c:dispBlanksAs val="gap"/>
    <c:showDLblsOverMax val="0"/>
  </c:chart>
  <c:txPr>
    <a:bodyPr/>
    <a:lstStyle/>
    <a:p>
      <a:pPr>
        <a:defRPr sz="1000"/>
      </a:pPr>
      <a:endParaRPr lang="es-C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Total Trabajadores</a:t>
            </a:r>
            <a:r>
              <a:rPr lang="en-US" sz="800" baseline="0"/>
              <a:t> </a:t>
            </a:r>
            <a:r>
              <a:rPr lang="en-US" sz="800"/>
              <a:t>de centros de cultivo diagnosticados  (N°)</a:t>
            </a:r>
          </a:p>
        </c:rich>
      </c:tx>
      <c:layout>
        <c:manualLayout>
          <c:xMode val="edge"/>
          <c:yMode val="edge"/>
          <c:x val="0.10988952350109665"/>
          <c:y val="5.3648610188786645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'RRHH  '!$P$182</c:f>
              <c:strCache>
                <c:ptCount val="1"/>
                <c:pt idx="0">
                  <c:v>TOTAL</c:v>
                </c:pt>
              </c:strCache>
            </c:strRef>
          </c:tx>
          <c:invertIfNegative val="0"/>
          <c:dLbls>
            <c:dLbl>
              <c:idx val="0"/>
              <c:layout>
                <c:manualLayout>
                  <c:x val="7.1134426567353123E-2"/>
                  <c:y val="-6.060253339199162E-2"/>
                </c:manualLayout>
              </c:layout>
              <c:spPr/>
              <c:txPr>
                <a:bodyPr/>
                <a:lstStyle/>
                <a:p>
                  <a:pPr>
                    <a:defRPr sz="750"/>
                  </a:pPr>
                  <a:endParaRPr lang="es-CL"/>
                </a:p>
              </c:txPr>
              <c:showLegendKey val="0"/>
              <c:showVal val="1"/>
              <c:showCatName val="0"/>
              <c:showSerName val="0"/>
              <c:showPercent val="0"/>
              <c:showBubbleSize val="0"/>
            </c:dLbl>
            <c:dLbl>
              <c:idx val="1"/>
              <c:layout>
                <c:manualLayout>
                  <c:x val="2.5000000000000001E-2"/>
                  <c:y val="-3.2407407407407406E-2"/>
                </c:manualLayout>
              </c:layout>
              <c:showLegendKey val="0"/>
              <c:showVal val="1"/>
              <c:showCatName val="0"/>
              <c:showSerName val="0"/>
              <c:showPercent val="0"/>
              <c:showBubbleSize val="0"/>
            </c:dLbl>
            <c:dLbl>
              <c:idx val="2"/>
              <c:layout>
                <c:manualLayout>
                  <c:x val="2.5000000000000001E-2"/>
                  <c:y val="-2.7777777777777776E-2"/>
                </c:manualLayout>
              </c:layout>
              <c:showLegendKey val="0"/>
              <c:showVal val="1"/>
              <c:showCatName val="0"/>
              <c:showSerName val="0"/>
              <c:showPercent val="0"/>
              <c:showBubbleSize val="0"/>
            </c:dLbl>
            <c:txPr>
              <a:bodyPr/>
              <a:lstStyle/>
              <a:p>
                <a:pPr>
                  <a:defRPr sz="700"/>
                </a:pPr>
                <a:endParaRPr lang="es-CL"/>
              </a:p>
            </c:txPr>
            <c:showLegendKey val="0"/>
            <c:showVal val="1"/>
            <c:showCatName val="0"/>
            <c:showSerName val="0"/>
            <c:showPercent val="0"/>
            <c:showBubbleSize val="0"/>
            <c:showLeaderLines val="0"/>
          </c:dLbls>
          <c:cat>
            <c:strRef>
              <c:f>'RRHH  '!$Q$181</c:f>
              <c:strCache>
                <c:ptCount val="1"/>
                <c:pt idx="0">
                  <c:v>Total trabajadores (N°)</c:v>
                </c:pt>
              </c:strCache>
            </c:strRef>
          </c:cat>
          <c:val>
            <c:numRef>
              <c:f>'RRHH  '!$Q$182</c:f>
              <c:numCache>
                <c:formatCode>General</c:formatCode>
                <c:ptCount val="1"/>
                <c:pt idx="0">
                  <c:v>202</c:v>
                </c:pt>
              </c:numCache>
            </c:numRef>
          </c:val>
        </c:ser>
        <c:dLbls>
          <c:showLegendKey val="0"/>
          <c:showVal val="1"/>
          <c:showCatName val="0"/>
          <c:showSerName val="0"/>
          <c:showPercent val="0"/>
          <c:showBubbleSize val="0"/>
        </c:dLbls>
        <c:gapWidth val="150"/>
        <c:shape val="box"/>
        <c:axId val="139181440"/>
        <c:axId val="139191424"/>
        <c:axId val="0"/>
      </c:bar3DChart>
      <c:catAx>
        <c:axId val="139181440"/>
        <c:scaling>
          <c:orientation val="minMax"/>
        </c:scaling>
        <c:delete val="0"/>
        <c:axPos val="b"/>
        <c:majorTickMark val="none"/>
        <c:minorTickMark val="none"/>
        <c:tickLblPos val="nextTo"/>
        <c:txPr>
          <a:bodyPr/>
          <a:lstStyle/>
          <a:p>
            <a:pPr>
              <a:defRPr sz="800"/>
            </a:pPr>
            <a:endParaRPr lang="es-CL"/>
          </a:p>
        </c:txPr>
        <c:crossAx val="139191424"/>
        <c:crosses val="autoZero"/>
        <c:auto val="1"/>
        <c:lblAlgn val="ctr"/>
        <c:lblOffset val="100"/>
        <c:noMultiLvlLbl val="0"/>
      </c:catAx>
      <c:valAx>
        <c:axId val="139191424"/>
        <c:scaling>
          <c:orientation val="minMax"/>
        </c:scaling>
        <c:delete val="1"/>
        <c:axPos val="l"/>
        <c:numFmt formatCode="General" sourceLinked="1"/>
        <c:majorTickMark val="out"/>
        <c:minorTickMark val="none"/>
        <c:tickLblPos val="nextTo"/>
        <c:crossAx val="139181440"/>
        <c:crosses val="autoZero"/>
        <c:crossBetween val="between"/>
      </c:valAx>
    </c:plotArea>
    <c:plotVisOnly val="1"/>
    <c:dispBlanksAs val="gap"/>
    <c:showDLblsOverMax val="0"/>
  </c:chart>
  <c:externalData r:id="rId1">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PYME: Desprendimiento</a:t>
            </a:r>
            <a:r>
              <a:rPr lang="es-CL" sz="800" baseline="0"/>
              <a:t> de MMPP en cosecha y manejo de cuelgas (%)</a:t>
            </a:r>
            <a:endParaRPr lang="es-CL" sz="80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49342897185815771"/>
          <c:y val="0.34471647878547557"/>
          <c:w val="0.4538120855062594"/>
          <c:h val="0.63613863816423988"/>
        </c:manualLayout>
      </c:layout>
      <c:bar3DChart>
        <c:barDir val="bar"/>
        <c:grouping val="stacked"/>
        <c:varyColors val="0"/>
        <c:ser>
          <c:idx val="0"/>
          <c:order val="0"/>
          <c:tx>
            <c:strRef>
              <c:f>Flotación!$F$102</c:f>
              <c:strCache>
                <c:ptCount val="1"/>
                <c:pt idx="0">
                  <c:v>%SI</c:v>
                </c:pt>
              </c:strCache>
            </c:strRef>
          </c:tx>
          <c:invertIfNegative val="0"/>
          <c:dLbls>
            <c:txPr>
              <a:bodyPr/>
              <a:lstStyle/>
              <a:p>
                <a:pPr>
                  <a:defRPr sz="750"/>
                </a:pPr>
                <a:endParaRPr lang="es-CL"/>
              </a:p>
            </c:txPr>
            <c:showLegendKey val="0"/>
            <c:showVal val="1"/>
            <c:showCatName val="0"/>
            <c:showSerName val="0"/>
            <c:showPercent val="0"/>
            <c:showBubbleSize val="0"/>
            <c:showLeaderLines val="0"/>
          </c:dLbls>
          <c:cat>
            <c:strRef>
              <c:f>Flotación!$A$103:$A$104</c:f>
              <c:strCache>
                <c:ptCount val="2"/>
                <c:pt idx="0">
                  <c:v>Realiza manejo de sus cuelgas que genere desprendimiento de MMPP</c:v>
                </c:pt>
                <c:pt idx="1">
                  <c:v>En cosecha posee algún método de recolección MMPP que se desprende al levantar la cuelgas </c:v>
                </c:pt>
              </c:strCache>
            </c:strRef>
          </c:cat>
          <c:val>
            <c:numRef>
              <c:f>Flotación!$F$103:$F$104</c:f>
              <c:numCache>
                <c:formatCode>0%</c:formatCode>
                <c:ptCount val="2"/>
                <c:pt idx="0">
                  <c:v>0.53846153846153844</c:v>
                </c:pt>
                <c:pt idx="1">
                  <c:v>0.30769230769230771</c:v>
                </c:pt>
              </c:numCache>
            </c:numRef>
          </c:val>
        </c:ser>
        <c:ser>
          <c:idx val="1"/>
          <c:order val="1"/>
          <c:tx>
            <c:strRef>
              <c:f>Flotación!$G$102</c:f>
              <c:strCache>
                <c:ptCount val="1"/>
                <c:pt idx="0">
                  <c:v>%NO</c:v>
                </c:pt>
              </c:strCache>
            </c:strRef>
          </c:tx>
          <c:invertIfNegative val="0"/>
          <c:dLbls>
            <c:txPr>
              <a:bodyPr/>
              <a:lstStyle/>
              <a:p>
                <a:pPr>
                  <a:defRPr sz="750"/>
                </a:pPr>
                <a:endParaRPr lang="es-CL"/>
              </a:p>
            </c:txPr>
            <c:showLegendKey val="0"/>
            <c:showVal val="1"/>
            <c:showCatName val="0"/>
            <c:showSerName val="0"/>
            <c:showPercent val="0"/>
            <c:showBubbleSize val="0"/>
            <c:showLeaderLines val="0"/>
          </c:dLbls>
          <c:cat>
            <c:strRef>
              <c:f>Flotación!$A$103:$A$104</c:f>
              <c:strCache>
                <c:ptCount val="2"/>
                <c:pt idx="0">
                  <c:v>Realiza manejo de sus cuelgas que genere desprendimiento de MMPP</c:v>
                </c:pt>
                <c:pt idx="1">
                  <c:v>En cosecha posee algún método de recolección MMPP que se desprende al levantar la cuelgas </c:v>
                </c:pt>
              </c:strCache>
            </c:strRef>
          </c:cat>
          <c:val>
            <c:numRef>
              <c:f>Flotación!$G$103:$G$104</c:f>
              <c:numCache>
                <c:formatCode>0%</c:formatCode>
                <c:ptCount val="2"/>
                <c:pt idx="0">
                  <c:v>0.46153846153846156</c:v>
                </c:pt>
                <c:pt idx="1">
                  <c:v>0.69230769230769229</c:v>
                </c:pt>
              </c:numCache>
            </c:numRef>
          </c:val>
        </c:ser>
        <c:ser>
          <c:idx val="2"/>
          <c:order val="2"/>
          <c:tx>
            <c:strRef>
              <c:f>Flotación!$H$102</c:f>
              <c:strCache>
                <c:ptCount val="1"/>
                <c:pt idx="0">
                  <c:v>% No informa</c:v>
                </c:pt>
              </c:strCache>
            </c:strRef>
          </c:tx>
          <c:invertIfNegative val="0"/>
          <c:dLbls>
            <c:delete val="1"/>
          </c:dLbls>
          <c:cat>
            <c:strRef>
              <c:f>Flotación!$A$103:$A$104</c:f>
              <c:strCache>
                <c:ptCount val="2"/>
                <c:pt idx="0">
                  <c:v>Realiza manejo de sus cuelgas que genere desprendimiento de MMPP</c:v>
                </c:pt>
                <c:pt idx="1">
                  <c:v>En cosecha posee algún método de recolección MMPP que se desprende al levantar la cuelgas </c:v>
                </c:pt>
              </c:strCache>
            </c:strRef>
          </c:cat>
          <c:val>
            <c:numRef>
              <c:f>Flotación!$H$103:$H$104</c:f>
              <c:numCache>
                <c:formatCode>0%</c:formatCode>
                <c:ptCount val="2"/>
                <c:pt idx="0">
                  <c:v>0</c:v>
                </c:pt>
                <c:pt idx="1">
                  <c:v>0</c:v>
                </c:pt>
              </c:numCache>
            </c:numRef>
          </c:val>
        </c:ser>
        <c:ser>
          <c:idx val="3"/>
          <c:order val="3"/>
          <c:tx>
            <c:strRef>
              <c:f>Flotación!$I$102</c:f>
              <c:strCache>
                <c:ptCount val="1"/>
                <c:pt idx="0">
                  <c:v>% No sabe</c:v>
                </c:pt>
              </c:strCache>
            </c:strRef>
          </c:tx>
          <c:invertIfNegative val="0"/>
          <c:dLbls>
            <c:delete val="1"/>
          </c:dLbls>
          <c:cat>
            <c:strRef>
              <c:f>Flotación!$A$103:$A$104</c:f>
              <c:strCache>
                <c:ptCount val="2"/>
                <c:pt idx="0">
                  <c:v>Realiza manejo de sus cuelgas que genere desprendimiento de MMPP</c:v>
                </c:pt>
                <c:pt idx="1">
                  <c:v>En cosecha posee algún método de recolección MMPP que se desprende al levantar la cuelgas </c:v>
                </c:pt>
              </c:strCache>
            </c:strRef>
          </c:cat>
          <c:val>
            <c:numRef>
              <c:f>Flotación!$I$103:$I$104</c:f>
              <c:numCache>
                <c:formatCode>0%</c:formatCode>
                <c:ptCount val="2"/>
                <c:pt idx="0">
                  <c:v>0</c:v>
                </c:pt>
                <c:pt idx="1">
                  <c:v>0</c:v>
                </c:pt>
              </c:numCache>
            </c:numRef>
          </c:val>
        </c:ser>
        <c:dLbls>
          <c:showLegendKey val="0"/>
          <c:showVal val="1"/>
          <c:showCatName val="0"/>
          <c:showSerName val="0"/>
          <c:showPercent val="0"/>
          <c:showBubbleSize val="0"/>
        </c:dLbls>
        <c:gapWidth val="95"/>
        <c:gapDepth val="95"/>
        <c:shape val="box"/>
        <c:axId val="284891008"/>
        <c:axId val="284892544"/>
        <c:axId val="0"/>
      </c:bar3DChart>
      <c:catAx>
        <c:axId val="284891008"/>
        <c:scaling>
          <c:orientation val="minMax"/>
        </c:scaling>
        <c:delete val="0"/>
        <c:axPos val="l"/>
        <c:majorTickMark val="none"/>
        <c:minorTickMark val="none"/>
        <c:tickLblPos val="nextTo"/>
        <c:txPr>
          <a:bodyPr/>
          <a:lstStyle/>
          <a:p>
            <a:pPr>
              <a:defRPr sz="800"/>
            </a:pPr>
            <a:endParaRPr lang="es-CL"/>
          </a:p>
        </c:txPr>
        <c:crossAx val="284892544"/>
        <c:crosses val="autoZero"/>
        <c:auto val="1"/>
        <c:lblAlgn val="ctr"/>
        <c:lblOffset val="100"/>
        <c:noMultiLvlLbl val="0"/>
      </c:catAx>
      <c:valAx>
        <c:axId val="284892544"/>
        <c:scaling>
          <c:orientation val="minMax"/>
        </c:scaling>
        <c:delete val="1"/>
        <c:axPos val="b"/>
        <c:numFmt formatCode="0%" sourceLinked="1"/>
        <c:majorTickMark val="out"/>
        <c:minorTickMark val="none"/>
        <c:tickLblPos val="nextTo"/>
        <c:crossAx val="284891008"/>
        <c:crosses val="autoZero"/>
        <c:crossBetween val="between"/>
      </c:valAx>
    </c:plotArea>
    <c:legend>
      <c:legendPos val="t"/>
      <c:layout>
        <c:manualLayout>
          <c:xMode val="edge"/>
          <c:yMode val="edge"/>
          <c:x val="0.10919304059789729"/>
          <c:y val="0.21779376498800959"/>
          <c:w val="0.78161391880420539"/>
          <c:h val="6.9345893775995038E-2"/>
        </c:manualLayout>
      </c:layout>
      <c:overlay val="0"/>
      <c:txPr>
        <a:bodyPr/>
        <a:lstStyle/>
        <a:p>
          <a:pPr>
            <a:defRPr sz="800"/>
          </a:pPr>
          <a:endParaRPr lang="es-CL"/>
        </a:p>
      </c:txPr>
    </c:legend>
    <c:plotVisOnly val="1"/>
    <c:dispBlanksAs val="gap"/>
    <c:showDLblsOverMax val="0"/>
  </c:chart>
  <c:externalData r:id="rId1">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Grande: Desprendimiento</a:t>
            </a:r>
            <a:r>
              <a:rPr lang="es-CL" sz="800" baseline="0"/>
              <a:t> de MMPP en cosecha y maenjo de cuelgas (%)</a:t>
            </a:r>
            <a:endParaRPr lang="es-CL" sz="80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48802805688652628"/>
          <c:y val="0.37072865891763529"/>
          <c:w val="0.44182383861476654"/>
          <c:h val="0.57625745212588031"/>
        </c:manualLayout>
      </c:layout>
      <c:bar3DChart>
        <c:barDir val="bar"/>
        <c:grouping val="stacked"/>
        <c:varyColors val="0"/>
        <c:ser>
          <c:idx val="0"/>
          <c:order val="0"/>
          <c:tx>
            <c:strRef>
              <c:f>Flotación!$T$102</c:f>
              <c:strCache>
                <c:ptCount val="1"/>
                <c:pt idx="0">
                  <c:v>%SI</c:v>
                </c:pt>
              </c:strCache>
            </c:strRef>
          </c:tx>
          <c:invertIfNegative val="0"/>
          <c:dLbls>
            <c:dLbl>
              <c:idx val="0"/>
              <c:layout>
                <c:manualLayout>
                  <c:x val="2.1571024509015033E-2"/>
                  <c:y val="0"/>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Flotación!$A$103:$A$104</c:f>
              <c:strCache>
                <c:ptCount val="2"/>
                <c:pt idx="0">
                  <c:v>Realiza manejo de sus cuelgas que genere desprendimiento de MMPP</c:v>
                </c:pt>
                <c:pt idx="1">
                  <c:v>En cosecha posee algún método de recolección MMPP que se desprende al levantar la cuelgas </c:v>
                </c:pt>
              </c:strCache>
            </c:strRef>
          </c:cat>
          <c:val>
            <c:numRef>
              <c:f>Flotación!$T$103:$T$104</c:f>
              <c:numCache>
                <c:formatCode>0%</c:formatCode>
                <c:ptCount val="2"/>
                <c:pt idx="0">
                  <c:v>0.6</c:v>
                </c:pt>
                <c:pt idx="1">
                  <c:v>0.3</c:v>
                </c:pt>
              </c:numCache>
            </c:numRef>
          </c:val>
        </c:ser>
        <c:ser>
          <c:idx val="1"/>
          <c:order val="1"/>
          <c:tx>
            <c:strRef>
              <c:f>Flotación!$U$102</c:f>
              <c:strCache>
                <c:ptCount val="1"/>
                <c:pt idx="0">
                  <c:v>%NO</c:v>
                </c:pt>
              </c:strCache>
            </c:strRef>
          </c:tx>
          <c:invertIfNegative val="0"/>
          <c:dLbls>
            <c:dLbl>
              <c:idx val="0"/>
              <c:layout>
                <c:manualLayout>
                  <c:x val="-1.6178268381761274E-2"/>
                  <c:y val="0"/>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Flotación!$A$103:$A$104</c:f>
              <c:strCache>
                <c:ptCount val="2"/>
                <c:pt idx="0">
                  <c:v>Realiza manejo de sus cuelgas que genere desprendimiento de MMPP</c:v>
                </c:pt>
                <c:pt idx="1">
                  <c:v>En cosecha posee algún método de recolección MMPP que se desprende al levantar la cuelgas </c:v>
                </c:pt>
              </c:strCache>
            </c:strRef>
          </c:cat>
          <c:val>
            <c:numRef>
              <c:f>Flotación!$U$103:$U$104</c:f>
              <c:numCache>
                <c:formatCode>0%</c:formatCode>
                <c:ptCount val="2"/>
                <c:pt idx="0">
                  <c:v>0.3</c:v>
                </c:pt>
                <c:pt idx="1">
                  <c:v>0.7</c:v>
                </c:pt>
              </c:numCache>
            </c:numRef>
          </c:val>
        </c:ser>
        <c:ser>
          <c:idx val="2"/>
          <c:order val="2"/>
          <c:tx>
            <c:strRef>
              <c:f>Flotación!$V$102</c:f>
              <c:strCache>
                <c:ptCount val="1"/>
                <c:pt idx="0">
                  <c:v>% No informa</c:v>
                </c:pt>
              </c:strCache>
            </c:strRef>
          </c:tx>
          <c:invertIfNegative val="0"/>
          <c:dLbls>
            <c:dLbl>
              <c:idx val="0"/>
              <c:layout>
                <c:manualLayout>
                  <c:x val="1.3563418599743271E-2"/>
                  <c:y val="1.8108234966101339E-4"/>
                </c:manualLayout>
              </c:layout>
              <c:showLegendKey val="0"/>
              <c:showVal val="1"/>
              <c:showCatName val="0"/>
              <c:showSerName val="0"/>
              <c:showPercent val="0"/>
              <c:showBubbleSize val="0"/>
            </c:dLbl>
            <c:dLbl>
              <c:idx val="1"/>
              <c:delete val="1"/>
            </c:dLbl>
            <c:txPr>
              <a:bodyPr/>
              <a:lstStyle/>
              <a:p>
                <a:pPr>
                  <a:defRPr sz="750"/>
                </a:pPr>
                <a:endParaRPr lang="es-CL"/>
              </a:p>
            </c:txPr>
            <c:showLegendKey val="0"/>
            <c:showVal val="1"/>
            <c:showCatName val="0"/>
            <c:showSerName val="0"/>
            <c:showPercent val="0"/>
            <c:showBubbleSize val="0"/>
            <c:showLeaderLines val="0"/>
          </c:dLbls>
          <c:cat>
            <c:strRef>
              <c:f>Flotación!$A$103:$A$104</c:f>
              <c:strCache>
                <c:ptCount val="2"/>
                <c:pt idx="0">
                  <c:v>Realiza manejo de sus cuelgas que genere desprendimiento de MMPP</c:v>
                </c:pt>
                <c:pt idx="1">
                  <c:v>En cosecha posee algún método de recolección MMPP que se desprende al levantar la cuelgas </c:v>
                </c:pt>
              </c:strCache>
            </c:strRef>
          </c:cat>
          <c:val>
            <c:numRef>
              <c:f>Flotación!$V$103:$V$104</c:f>
              <c:numCache>
                <c:formatCode>0%</c:formatCode>
                <c:ptCount val="2"/>
                <c:pt idx="0">
                  <c:v>0.1</c:v>
                </c:pt>
                <c:pt idx="1">
                  <c:v>0</c:v>
                </c:pt>
              </c:numCache>
            </c:numRef>
          </c:val>
        </c:ser>
        <c:ser>
          <c:idx val="3"/>
          <c:order val="3"/>
          <c:tx>
            <c:strRef>
              <c:f>Flotación!$W$102</c:f>
              <c:strCache>
                <c:ptCount val="1"/>
                <c:pt idx="0">
                  <c:v>% No sabe</c:v>
                </c:pt>
              </c:strCache>
            </c:strRef>
          </c:tx>
          <c:invertIfNegative val="0"/>
          <c:dLbls>
            <c:delete val="1"/>
          </c:dLbls>
          <c:cat>
            <c:strRef>
              <c:f>Flotación!$A$103:$A$104</c:f>
              <c:strCache>
                <c:ptCount val="2"/>
                <c:pt idx="0">
                  <c:v>Realiza manejo de sus cuelgas que genere desprendimiento de MMPP</c:v>
                </c:pt>
                <c:pt idx="1">
                  <c:v>En cosecha posee algún método de recolección MMPP que se desprende al levantar la cuelgas </c:v>
                </c:pt>
              </c:strCache>
            </c:strRef>
          </c:cat>
          <c:val>
            <c:numRef>
              <c:f>Flotación!$W$103:$W$104</c:f>
              <c:numCache>
                <c:formatCode>0%</c:formatCode>
                <c:ptCount val="2"/>
                <c:pt idx="0">
                  <c:v>0</c:v>
                </c:pt>
                <c:pt idx="1">
                  <c:v>0</c:v>
                </c:pt>
              </c:numCache>
            </c:numRef>
          </c:val>
        </c:ser>
        <c:dLbls>
          <c:showLegendKey val="0"/>
          <c:showVal val="1"/>
          <c:showCatName val="0"/>
          <c:showSerName val="0"/>
          <c:showPercent val="0"/>
          <c:showBubbleSize val="0"/>
        </c:dLbls>
        <c:gapWidth val="95"/>
        <c:gapDepth val="95"/>
        <c:shape val="box"/>
        <c:axId val="284958080"/>
        <c:axId val="284963968"/>
        <c:axId val="0"/>
      </c:bar3DChart>
      <c:catAx>
        <c:axId val="284958080"/>
        <c:scaling>
          <c:orientation val="minMax"/>
        </c:scaling>
        <c:delete val="0"/>
        <c:axPos val="l"/>
        <c:majorTickMark val="none"/>
        <c:minorTickMark val="none"/>
        <c:tickLblPos val="nextTo"/>
        <c:txPr>
          <a:bodyPr/>
          <a:lstStyle/>
          <a:p>
            <a:pPr>
              <a:defRPr sz="800"/>
            </a:pPr>
            <a:endParaRPr lang="es-CL"/>
          </a:p>
        </c:txPr>
        <c:crossAx val="284963968"/>
        <c:crosses val="autoZero"/>
        <c:auto val="1"/>
        <c:lblAlgn val="ctr"/>
        <c:lblOffset val="100"/>
        <c:noMultiLvlLbl val="0"/>
      </c:catAx>
      <c:valAx>
        <c:axId val="284963968"/>
        <c:scaling>
          <c:orientation val="minMax"/>
        </c:scaling>
        <c:delete val="1"/>
        <c:axPos val="b"/>
        <c:numFmt formatCode="0%" sourceLinked="1"/>
        <c:majorTickMark val="out"/>
        <c:minorTickMark val="none"/>
        <c:tickLblPos val="nextTo"/>
        <c:crossAx val="284958080"/>
        <c:crosses val="autoZero"/>
        <c:crossBetween val="between"/>
      </c:valAx>
    </c:plotArea>
    <c:legend>
      <c:legendPos val="t"/>
      <c:layout>
        <c:manualLayout>
          <c:xMode val="edge"/>
          <c:yMode val="edge"/>
          <c:x val="0.10749487574558005"/>
          <c:y val="0.22421856358864234"/>
          <c:w val="0.77455133436490953"/>
          <c:h val="6.9537982427208253E-2"/>
        </c:manualLayout>
      </c:layout>
      <c:overlay val="0"/>
      <c:txPr>
        <a:bodyPr/>
        <a:lstStyle/>
        <a:p>
          <a:pPr>
            <a:defRPr sz="800"/>
          </a:pPr>
          <a:endParaRPr lang="es-CL"/>
        </a:p>
      </c:txPr>
    </c:legend>
    <c:plotVisOnly val="1"/>
    <c:dispBlanksAs val="gap"/>
    <c:showDLblsOverMax val="0"/>
  </c:chart>
  <c:externalData r:id="rId1">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Total Residuos </a:t>
            </a:r>
            <a:r>
              <a:rPr lang="en-US" sz="800" baseline="0"/>
              <a:t> </a:t>
            </a:r>
            <a:r>
              <a:rPr lang="en-US" sz="800"/>
              <a:t>peligrosos de la muestra (Ton)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'Residuos '!$H$118</c:f>
              <c:strCache>
                <c:ptCount val="1"/>
                <c:pt idx="0">
                  <c:v>Total Residuos speligrosos (Ton)</c:v>
                </c:pt>
              </c:strCache>
            </c:strRef>
          </c:tx>
          <c:invertIfNegative val="0"/>
          <c:dLbls>
            <c:dLbl>
              <c:idx val="0"/>
              <c:layout>
                <c:manualLayout>
                  <c:x val="4.9382716049382713E-2"/>
                  <c:y val="-3.5623409669211195E-2"/>
                </c:manualLayout>
              </c:layout>
              <c:showLegendKey val="0"/>
              <c:showVal val="1"/>
              <c:showCatName val="0"/>
              <c:showSerName val="0"/>
              <c:showPercent val="0"/>
              <c:showBubbleSize val="0"/>
            </c:dLbl>
            <c:numFmt formatCode="#,##0.0" sourceLinked="0"/>
            <c:txPr>
              <a:bodyPr/>
              <a:lstStyle/>
              <a:p>
                <a:pPr>
                  <a:defRPr sz="750"/>
                </a:pPr>
                <a:endParaRPr lang="es-CL"/>
              </a:p>
            </c:txPr>
            <c:showLegendKey val="0"/>
            <c:showVal val="1"/>
            <c:showCatName val="0"/>
            <c:showSerName val="0"/>
            <c:showPercent val="0"/>
            <c:showBubbleSize val="0"/>
            <c:showLeaderLines val="0"/>
          </c:dLbls>
          <c:val>
            <c:numRef>
              <c:f>'Residuos '!$H$119</c:f>
              <c:numCache>
                <c:formatCode>0.00</c:formatCode>
                <c:ptCount val="1"/>
                <c:pt idx="0">
                  <c:v>15.150999999999998</c:v>
                </c:pt>
              </c:numCache>
            </c:numRef>
          </c:val>
        </c:ser>
        <c:dLbls>
          <c:showLegendKey val="0"/>
          <c:showVal val="1"/>
          <c:showCatName val="0"/>
          <c:showSerName val="0"/>
          <c:showPercent val="0"/>
          <c:showBubbleSize val="0"/>
        </c:dLbls>
        <c:gapWidth val="150"/>
        <c:shape val="box"/>
        <c:axId val="284988160"/>
        <c:axId val="284990848"/>
        <c:axId val="0"/>
      </c:bar3DChart>
      <c:catAx>
        <c:axId val="284988160"/>
        <c:scaling>
          <c:orientation val="minMax"/>
        </c:scaling>
        <c:delete val="1"/>
        <c:axPos val="b"/>
        <c:majorTickMark val="none"/>
        <c:minorTickMark val="none"/>
        <c:tickLblPos val="nextTo"/>
        <c:crossAx val="284990848"/>
        <c:crosses val="autoZero"/>
        <c:auto val="1"/>
        <c:lblAlgn val="ctr"/>
        <c:lblOffset val="100"/>
        <c:noMultiLvlLbl val="0"/>
      </c:catAx>
      <c:valAx>
        <c:axId val="284990848"/>
        <c:scaling>
          <c:orientation val="minMax"/>
        </c:scaling>
        <c:delete val="1"/>
        <c:axPos val="l"/>
        <c:numFmt formatCode="0.00" sourceLinked="1"/>
        <c:majorTickMark val="out"/>
        <c:minorTickMark val="none"/>
        <c:tickLblPos val="nextTo"/>
        <c:crossAx val="284988160"/>
        <c:crosses val="autoZero"/>
        <c:crossBetween val="between"/>
      </c:valAx>
    </c:plotArea>
    <c:plotVisOnly val="1"/>
    <c:dispBlanksAs val="gap"/>
    <c:showDLblsOverMax val="0"/>
  </c:chart>
  <c:externalData r:id="rId1">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Promedio residuos  peligrosos  (Ton) </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'Residuos '!$I$118</c:f>
              <c:strCache>
                <c:ptCount val="1"/>
                <c:pt idx="0">
                  <c:v>Residuos Peligrosos (Ton)</c:v>
                </c:pt>
              </c:strCache>
            </c:strRef>
          </c:tx>
          <c:invertIfNegative val="0"/>
          <c:dLbls>
            <c:txPr>
              <a:bodyPr/>
              <a:lstStyle/>
              <a:p>
                <a:pPr>
                  <a:defRPr sz="750"/>
                </a:pPr>
                <a:endParaRPr lang="es-CL"/>
              </a:p>
            </c:txPr>
            <c:showLegendKey val="0"/>
            <c:showVal val="1"/>
            <c:showCatName val="0"/>
            <c:showSerName val="0"/>
            <c:showPercent val="0"/>
            <c:showBubbleSize val="0"/>
            <c:showLeaderLines val="0"/>
          </c:dLbls>
          <c:cat>
            <c:strRef>
              <c:f>'Residuos '!$D$119:$D$120</c:f>
              <c:strCache>
                <c:ptCount val="2"/>
                <c:pt idx="0">
                  <c:v>MYPE</c:v>
                </c:pt>
                <c:pt idx="1">
                  <c:v>Grande</c:v>
                </c:pt>
              </c:strCache>
            </c:strRef>
          </c:cat>
          <c:val>
            <c:numRef>
              <c:f>'Residuos '!$I$119:$I$120</c:f>
              <c:numCache>
                <c:formatCode>#,##0.000</c:formatCode>
                <c:ptCount val="2"/>
                <c:pt idx="0">
                  <c:v>0.71262499999999995</c:v>
                </c:pt>
                <c:pt idx="1">
                  <c:v>2.3624999999999998</c:v>
                </c:pt>
              </c:numCache>
            </c:numRef>
          </c:val>
        </c:ser>
        <c:dLbls>
          <c:showLegendKey val="0"/>
          <c:showVal val="1"/>
          <c:showCatName val="0"/>
          <c:showSerName val="0"/>
          <c:showPercent val="0"/>
          <c:showBubbleSize val="0"/>
        </c:dLbls>
        <c:gapWidth val="150"/>
        <c:shape val="box"/>
        <c:axId val="285018752"/>
        <c:axId val="285038080"/>
        <c:axId val="0"/>
      </c:bar3DChart>
      <c:catAx>
        <c:axId val="285018752"/>
        <c:scaling>
          <c:orientation val="minMax"/>
        </c:scaling>
        <c:delete val="0"/>
        <c:axPos val="b"/>
        <c:majorTickMark val="none"/>
        <c:minorTickMark val="none"/>
        <c:tickLblPos val="nextTo"/>
        <c:txPr>
          <a:bodyPr/>
          <a:lstStyle/>
          <a:p>
            <a:pPr>
              <a:defRPr sz="800"/>
            </a:pPr>
            <a:endParaRPr lang="es-CL"/>
          </a:p>
        </c:txPr>
        <c:crossAx val="285038080"/>
        <c:crosses val="autoZero"/>
        <c:auto val="1"/>
        <c:lblAlgn val="ctr"/>
        <c:lblOffset val="100"/>
        <c:noMultiLvlLbl val="0"/>
      </c:catAx>
      <c:valAx>
        <c:axId val="285038080"/>
        <c:scaling>
          <c:orientation val="minMax"/>
        </c:scaling>
        <c:delete val="1"/>
        <c:axPos val="l"/>
        <c:numFmt formatCode="#,##0.000" sourceLinked="1"/>
        <c:majorTickMark val="out"/>
        <c:minorTickMark val="none"/>
        <c:tickLblPos val="nextTo"/>
        <c:crossAx val="285018752"/>
        <c:crosses val="autoZero"/>
        <c:crossBetween val="between"/>
      </c:valAx>
    </c:plotArea>
    <c:plotVisOnly val="1"/>
    <c:dispBlanksAs val="gap"/>
    <c:showDLblsOverMax val="0"/>
  </c:chart>
  <c:externalData r:id="rId1">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Promedio residuos peligrosos por tonelada</a:t>
            </a:r>
            <a:r>
              <a:rPr lang="en-US" sz="800" baseline="0"/>
              <a:t> de Materia Prima</a:t>
            </a:r>
            <a:r>
              <a:rPr lang="en-US" sz="800"/>
              <a:t>  (Ton/(Ton) </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'Residuos '!$J$118</c:f>
              <c:strCache>
                <c:ptCount val="1"/>
                <c:pt idx="0">
                  <c:v>Residuos Peligrosos (Ton/ Ton )</c:v>
                </c:pt>
              </c:strCache>
            </c:strRef>
          </c:tx>
          <c:invertIfNegative val="0"/>
          <c:dLbls>
            <c:txPr>
              <a:bodyPr/>
              <a:lstStyle/>
              <a:p>
                <a:pPr>
                  <a:defRPr sz="750"/>
                </a:pPr>
                <a:endParaRPr lang="es-CL"/>
              </a:p>
            </c:txPr>
            <c:showLegendKey val="0"/>
            <c:showVal val="1"/>
            <c:showCatName val="0"/>
            <c:showSerName val="0"/>
            <c:showPercent val="0"/>
            <c:showBubbleSize val="0"/>
            <c:showLeaderLines val="0"/>
          </c:dLbls>
          <c:cat>
            <c:strRef>
              <c:f>'Residuos '!$D$119:$D$120</c:f>
              <c:strCache>
                <c:ptCount val="2"/>
                <c:pt idx="0">
                  <c:v>MYPE</c:v>
                </c:pt>
                <c:pt idx="1">
                  <c:v>Grande</c:v>
                </c:pt>
              </c:strCache>
            </c:strRef>
          </c:cat>
          <c:val>
            <c:numRef>
              <c:f>'Residuos '!$J$119:$J$120</c:f>
              <c:numCache>
                <c:formatCode>#,##0.000</c:formatCode>
                <c:ptCount val="2"/>
                <c:pt idx="0">
                  <c:v>8.3086322869955142E-4</c:v>
                </c:pt>
                <c:pt idx="1">
                  <c:v>9.7132284921369095E-4</c:v>
                </c:pt>
              </c:numCache>
            </c:numRef>
          </c:val>
        </c:ser>
        <c:dLbls>
          <c:showLegendKey val="0"/>
          <c:showVal val="1"/>
          <c:showCatName val="0"/>
          <c:showSerName val="0"/>
          <c:showPercent val="0"/>
          <c:showBubbleSize val="0"/>
        </c:dLbls>
        <c:gapWidth val="150"/>
        <c:shape val="box"/>
        <c:axId val="285074176"/>
        <c:axId val="285076864"/>
        <c:axId val="0"/>
      </c:bar3DChart>
      <c:catAx>
        <c:axId val="285074176"/>
        <c:scaling>
          <c:orientation val="minMax"/>
        </c:scaling>
        <c:delete val="0"/>
        <c:axPos val="b"/>
        <c:majorTickMark val="none"/>
        <c:minorTickMark val="none"/>
        <c:tickLblPos val="nextTo"/>
        <c:txPr>
          <a:bodyPr/>
          <a:lstStyle/>
          <a:p>
            <a:pPr>
              <a:defRPr sz="800"/>
            </a:pPr>
            <a:endParaRPr lang="es-CL"/>
          </a:p>
        </c:txPr>
        <c:crossAx val="285076864"/>
        <c:crosses val="autoZero"/>
        <c:auto val="1"/>
        <c:lblAlgn val="ctr"/>
        <c:lblOffset val="100"/>
        <c:noMultiLvlLbl val="0"/>
      </c:catAx>
      <c:valAx>
        <c:axId val="285076864"/>
        <c:scaling>
          <c:orientation val="minMax"/>
        </c:scaling>
        <c:delete val="1"/>
        <c:axPos val="l"/>
        <c:numFmt formatCode="#,##0.000" sourceLinked="1"/>
        <c:majorTickMark val="out"/>
        <c:minorTickMark val="none"/>
        <c:tickLblPos val="nextTo"/>
        <c:crossAx val="285074176"/>
        <c:crosses val="autoZero"/>
        <c:crossBetween val="between"/>
      </c:valAx>
    </c:plotArea>
    <c:plotVisOnly val="1"/>
    <c:dispBlanksAs val="gap"/>
    <c:showDLblsOverMax val="0"/>
  </c:chart>
  <c:externalData r:id="rId1">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rot="0" vert="horz"/>
          <a:lstStyle/>
          <a:p>
            <a:pPr>
              <a:defRPr sz="800"/>
            </a:pPr>
            <a:r>
              <a:rPr lang="en-GB" sz="800"/>
              <a:t>MYPE: Consumo energético promedio (MJ/Ton)</a:t>
            </a:r>
          </a:p>
        </c:rich>
      </c:tx>
      <c:overlay val="0"/>
    </c:title>
    <c:autoTitleDeleted val="0"/>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3.0555562238749397E-2"/>
                  <c:y val="-9.2592592592592587E-3"/>
                </c:manualLayout>
              </c:layout>
              <c:showLegendKey val="0"/>
              <c:showVal val="1"/>
              <c:showCatName val="0"/>
              <c:showSerName val="0"/>
              <c:showPercent val="0"/>
              <c:showBubbleSize val="0"/>
            </c:dLbl>
            <c:dLbl>
              <c:idx val="1"/>
              <c:layout>
                <c:manualLayout>
                  <c:x val="2.5000005468067688E-2"/>
                  <c:y val="-9.2596237970253726E-3"/>
                </c:manualLayout>
              </c:layout>
              <c:showLegendKey val="0"/>
              <c:showVal val="1"/>
              <c:showCatName val="0"/>
              <c:showSerName val="0"/>
              <c:showPercent val="0"/>
              <c:showBubbleSize val="0"/>
            </c:dLbl>
            <c:dLbl>
              <c:idx val="2"/>
              <c:layout>
                <c:manualLayout>
                  <c:x val="1.6666670312045124E-2"/>
                  <c:y val="0"/>
                </c:manualLayout>
              </c:layout>
              <c:showLegendKey val="0"/>
              <c:showVal val="1"/>
              <c:showCatName val="0"/>
              <c:showSerName val="0"/>
              <c:showPercent val="0"/>
              <c:showBubbleSize val="0"/>
            </c:dLbl>
            <c:dLbl>
              <c:idx val="3"/>
              <c:layout>
                <c:manualLayout>
                  <c:x val="1.6666670312045023E-2"/>
                  <c:y val="0"/>
                </c:manualLayout>
              </c:layout>
              <c:showLegendKey val="0"/>
              <c:showVal val="1"/>
              <c:showCatName val="0"/>
              <c:showSerName val="0"/>
              <c:showPercent val="0"/>
              <c:showBubbleSize val="0"/>
            </c:dLbl>
            <c:numFmt formatCode="#,##0.0" sourceLinked="0"/>
            <c:txPr>
              <a:bodyPr/>
              <a:lstStyle/>
              <a:p>
                <a:pPr>
                  <a:defRPr sz="700"/>
                </a:pPr>
                <a:endParaRPr lang="es-CL"/>
              </a:p>
            </c:txPr>
            <c:showLegendKey val="0"/>
            <c:showVal val="1"/>
            <c:showCatName val="0"/>
            <c:showSerName val="0"/>
            <c:showPercent val="0"/>
            <c:showBubbleSize val="0"/>
            <c:showLeaderLines val="0"/>
          </c:dLbls>
          <c:cat>
            <c:strRef>
              <c:f>'Consumos Promedios'!$G$18:$J$18</c:f>
              <c:strCache>
                <c:ptCount val="4"/>
                <c:pt idx="0">
                  <c:v>Electricidad (MJ/Ton)</c:v>
                </c:pt>
                <c:pt idx="1">
                  <c:v>Gas  (MJ/Ton)</c:v>
                </c:pt>
                <c:pt idx="2">
                  <c:v>Bencina (L/Ton)</c:v>
                </c:pt>
                <c:pt idx="3">
                  <c:v>Diesel (MJ/Ton)</c:v>
                </c:pt>
              </c:strCache>
            </c:strRef>
          </c:cat>
          <c:val>
            <c:numRef>
              <c:f>'Consumos Promedios'!$G$20:$J$20</c:f>
              <c:numCache>
                <c:formatCode>General</c:formatCode>
                <c:ptCount val="4"/>
                <c:pt idx="0" formatCode="0.00">
                  <c:v>3.2398655000000001</c:v>
                </c:pt>
                <c:pt idx="1">
                  <c:v>3.92</c:v>
                </c:pt>
                <c:pt idx="2" formatCode="0.00">
                  <c:v>167.89389399999999</c:v>
                </c:pt>
                <c:pt idx="3" formatCode="0.00">
                  <c:v>83.4731278</c:v>
                </c:pt>
              </c:numCache>
            </c:numRef>
          </c:val>
          <c:extLst xmlns:c16r2="http://schemas.microsoft.com/office/drawing/2015/06/chart">
            <c:ext xmlns:c16="http://schemas.microsoft.com/office/drawing/2014/chart" uri="{C3380CC4-5D6E-409C-BE32-E72D297353CC}">
              <c16:uniqueId val="{00000000-DEDD-4E69-86A3-53E31FE8E835}"/>
            </c:ext>
          </c:extLst>
        </c:ser>
        <c:dLbls>
          <c:showLegendKey val="0"/>
          <c:showVal val="1"/>
          <c:showCatName val="0"/>
          <c:showSerName val="0"/>
          <c:showPercent val="0"/>
          <c:showBubbleSize val="0"/>
        </c:dLbls>
        <c:gapWidth val="150"/>
        <c:shape val="box"/>
        <c:axId val="285285760"/>
        <c:axId val="285300992"/>
        <c:axId val="0"/>
      </c:bar3DChart>
      <c:catAx>
        <c:axId val="285285760"/>
        <c:scaling>
          <c:orientation val="minMax"/>
        </c:scaling>
        <c:delete val="0"/>
        <c:axPos val="b"/>
        <c:numFmt formatCode="General" sourceLinked="1"/>
        <c:majorTickMark val="none"/>
        <c:minorTickMark val="none"/>
        <c:tickLblPos val="nextTo"/>
        <c:txPr>
          <a:bodyPr rot="-60000000" vert="horz"/>
          <a:lstStyle/>
          <a:p>
            <a:pPr>
              <a:defRPr sz="750"/>
            </a:pPr>
            <a:endParaRPr lang="es-CL"/>
          </a:p>
        </c:txPr>
        <c:crossAx val="285300992"/>
        <c:crosses val="autoZero"/>
        <c:auto val="1"/>
        <c:lblAlgn val="ctr"/>
        <c:lblOffset val="100"/>
        <c:noMultiLvlLbl val="0"/>
      </c:catAx>
      <c:valAx>
        <c:axId val="285300992"/>
        <c:scaling>
          <c:orientation val="minMax"/>
        </c:scaling>
        <c:delete val="1"/>
        <c:axPos val="l"/>
        <c:numFmt formatCode="0.00" sourceLinked="1"/>
        <c:majorTickMark val="none"/>
        <c:minorTickMark val="none"/>
        <c:tickLblPos val="nextTo"/>
        <c:crossAx val="285285760"/>
        <c:crosses val="autoZero"/>
        <c:crossBetween val="between"/>
      </c:valAx>
    </c:plotArea>
    <c:plotVisOnly val="1"/>
    <c:dispBlanksAs val="gap"/>
    <c:showDLblsOverMax val="0"/>
  </c:chart>
  <c:externalData r:id="rId1">
    <c:autoUpdate val="0"/>
  </c:externalData>
</c:chartSpace>
</file>

<file path=word/charts/chart46.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rot="0" vert="horz"/>
          <a:lstStyle/>
          <a:p>
            <a:pPr>
              <a:defRPr sz="800"/>
            </a:pPr>
            <a:r>
              <a:rPr lang="en-GB" sz="800"/>
              <a:t>Grande: Consumo energético promedio (MJ/Ton)</a:t>
            </a:r>
          </a:p>
        </c:rich>
      </c:tx>
      <c:overlay val="0"/>
    </c:title>
    <c:autoTitleDeleted val="0"/>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2.2222222222222223E-2"/>
                  <c:y val="4.6296296296296294E-3"/>
                </c:manualLayout>
              </c:layout>
              <c:showLegendKey val="0"/>
              <c:showVal val="1"/>
              <c:showCatName val="0"/>
              <c:showSerName val="0"/>
              <c:showPercent val="0"/>
              <c:showBubbleSize val="0"/>
            </c:dLbl>
            <c:dLbl>
              <c:idx val="1"/>
              <c:layout>
                <c:manualLayout>
                  <c:x val="8.3333333333333835E-3"/>
                  <c:y val="4.6296296296296294E-3"/>
                </c:manualLayout>
              </c:layout>
              <c:showLegendKey val="0"/>
              <c:showVal val="1"/>
              <c:showCatName val="0"/>
              <c:showSerName val="0"/>
              <c:showPercent val="0"/>
              <c:showBubbleSize val="0"/>
            </c:dLbl>
            <c:dLbl>
              <c:idx val="2"/>
              <c:layout>
                <c:manualLayout>
                  <c:x val="1.1111111111111112E-2"/>
                  <c:y val="0"/>
                </c:manualLayout>
              </c:layout>
              <c:showLegendKey val="0"/>
              <c:showVal val="1"/>
              <c:showCatName val="0"/>
              <c:showSerName val="0"/>
              <c:showPercent val="0"/>
              <c:showBubbleSize val="0"/>
            </c:dLbl>
            <c:numFmt formatCode="#,##0.0" sourceLinked="0"/>
            <c:txPr>
              <a:bodyPr/>
              <a:lstStyle/>
              <a:p>
                <a:pPr>
                  <a:defRPr sz="700"/>
                </a:pPr>
                <a:endParaRPr lang="es-CL"/>
              </a:p>
            </c:txPr>
            <c:showLegendKey val="0"/>
            <c:showVal val="1"/>
            <c:showCatName val="0"/>
            <c:showSerName val="0"/>
            <c:showPercent val="0"/>
            <c:showBubbleSize val="0"/>
            <c:showLeaderLines val="0"/>
          </c:dLbls>
          <c:cat>
            <c:strRef>
              <c:f>'Consumos Promedios'!$G$40:$J$40</c:f>
              <c:strCache>
                <c:ptCount val="4"/>
                <c:pt idx="0">
                  <c:v>Electricidad (MJ/Ton)</c:v>
                </c:pt>
                <c:pt idx="1">
                  <c:v>Gas  (MJ/Ton)</c:v>
                </c:pt>
                <c:pt idx="2">
                  <c:v>Bencina (L/Ton)</c:v>
                </c:pt>
                <c:pt idx="3">
                  <c:v>Diesel (MJ/Ton)</c:v>
                </c:pt>
              </c:strCache>
            </c:strRef>
          </c:cat>
          <c:val>
            <c:numRef>
              <c:f>'Consumos Promedios'!$G$42:$J$42</c:f>
              <c:numCache>
                <c:formatCode>General</c:formatCode>
                <c:ptCount val="4"/>
                <c:pt idx="0" formatCode="0.00">
                  <c:v>4.9317952500000004</c:v>
                </c:pt>
                <c:pt idx="1">
                  <c:v>443.94</c:v>
                </c:pt>
                <c:pt idx="2" formatCode="0.00">
                  <c:v>113.83206</c:v>
                </c:pt>
                <c:pt idx="3" formatCode="0.00">
                  <c:v>199.49311700000001</c:v>
                </c:pt>
              </c:numCache>
            </c:numRef>
          </c:val>
          <c:extLst xmlns:c16r2="http://schemas.microsoft.com/office/drawing/2015/06/chart">
            <c:ext xmlns:c16="http://schemas.microsoft.com/office/drawing/2014/chart" uri="{C3380CC4-5D6E-409C-BE32-E72D297353CC}">
              <c16:uniqueId val="{00000000-592D-4452-B4F9-53B70D0B9A84}"/>
            </c:ext>
          </c:extLst>
        </c:ser>
        <c:dLbls>
          <c:showLegendKey val="0"/>
          <c:showVal val="1"/>
          <c:showCatName val="0"/>
          <c:showSerName val="0"/>
          <c:showPercent val="0"/>
          <c:showBubbleSize val="0"/>
        </c:dLbls>
        <c:gapWidth val="150"/>
        <c:shape val="box"/>
        <c:axId val="285325184"/>
        <c:axId val="324150016"/>
        <c:axId val="0"/>
      </c:bar3DChart>
      <c:catAx>
        <c:axId val="285325184"/>
        <c:scaling>
          <c:orientation val="minMax"/>
        </c:scaling>
        <c:delete val="0"/>
        <c:axPos val="b"/>
        <c:numFmt formatCode="General" sourceLinked="1"/>
        <c:majorTickMark val="none"/>
        <c:minorTickMark val="none"/>
        <c:tickLblPos val="nextTo"/>
        <c:txPr>
          <a:bodyPr rot="-60000000" vert="horz"/>
          <a:lstStyle/>
          <a:p>
            <a:pPr>
              <a:defRPr sz="750"/>
            </a:pPr>
            <a:endParaRPr lang="es-CL"/>
          </a:p>
        </c:txPr>
        <c:crossAx val="324150016"/>
        <c:crosses val="autoZero"/>
        <c:auto val="1"/>
        <c:lblAlgn val="ctr"/>
        <c:lblOffset val="100"/>
        <c:noMultiLvlLbl val="0"/>
      </c:catAx>
      <c:valAx>
        <c:axId val="324150016"/>
        <c:scaling>
          <c:orientation val="minMax"/>
        </c:scaling>
        <c:delete val="1"/>
        <c:axPos val="l"/>
        <c:numFmt formatCode="0.00" sourceLinked="1"/>
        <c:majorTickMark val="none"/>
        <c:minorTickMark val="none"/>
        <c:tickLblPos val="nextTo"/>
        <c:crossAx val="285325184"/>
        <c:crosses val="autoZero"/>
        <c:crossBetween val="between"/>
      </c:valAx>
    </c:plotArea>
    <c:plotVisOnly val="1"/>
    <c:dispBlanksAs val="gap"/>
    <c:showDLblsOverMax val="0"/>
  </c:chart>
  <c:externalData r:id="rId1">
    <c:autoUpdate val="0"/>
  </c:externalData>
</c:chartSpace>
</file>

<file path=word/charts/chart47.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PYME: gestión de eficiencia enrgética (%)</a:t>
            </a:r>
          </a:p>
        </c:rich>
      </c:tx>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'Eficiencia energética'!$F$15</c:f>
              <c:strCache>
                <c:ptCount val="1"/>
                <c:pt idx="0">
                  <c:v>SI</c:v>
                </c:pt>
              </c:strCache>
            </c:strRef>
          </c:tx>
          <c:invertIfNegative val="0"/>
          <c:dLbls>
            <c:dLbl>
              <c:idx val="0"/>
              <c:layout>
                <c:manualLayout>
                  <c:x val="-4.5474035489441164E-2"/>
                  <c:y val="-2.898075153249986E-3"/>
                </c:manualLayout>
              </c:layout>
              <c:showLegendKey val="0"/>
              <c:showVal val="1"/>
              <c:showCatName val="0"/>
              <c:showSerName val="0"/>
              <c:showPercent val="0"/>
              <c:showBubbleSize val="0"/>
            </c:dLbl>
            <c:dLbl>
              <c:idx val="1"/>
              <c:layout>
                <c:manualLayout>
                  <c:x val="-1.7052763308540435E-2"/>
                  <c:y val="0"/>
                </c:manualLayout>
              </c:layout>
              <c:showLegendKey val="0"/>
              <c:showVal val="1"/>
              <c:showCatName val="0"/>
              <c:showSerName val="0"/>
              <c:showPercent val="0"/>
              <c:showBubbleSize val="0"/>
            </c:dLbl>
            <c:dLbl>
              <c:idx val="2"/>
              <c:layout>
                <c:manualLayout>
                  <c:x val="-2.2737017744720582E-2"/>
                  <c:y val="0"/>
                </c:manualLayout>
              </c:layout>
              <c:showLegendKey val="0"/>
              <c:showVal val="1"/>
              <c:showCatName val="0"/>
              <c:showSerName val="0"/>
              <c:showPercent val="0"/>
              <c:showBubbleSize val="0"/>
            </c:dLbl>
            <c:dLbl>
              <c:idx val="3"/>
              <c:layout>
                <c:manualLayout>
                  <c:x val="-1.7052763308540435E-2"/>
                  <c:y val="2.8980751532500389E-3"/>
                </c:manualLayout>
              </c:layout>
              <c:showLegendKey val="0"/>
              <c:showVal val="1"/>
              <c:showCatName val="0"/>
              <c:showSerName val="0"/>
              <c:showPercent val="0"/>
              <c:showBubbleSize val="0"/>
            </c:dLbl>
            <c:dLbl>
              <c:idx val="4"/>
              <c:layout>
                <c:manualLayout>
                  <c:x val="-1.1368508872360291E-2"/>
                  <c:y val="-2.898075153249986E-3"/>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'Eficiencia energética'!$A$16:$A$20</c:f>
              <c:strCache>
                <c:ptCount val="5"/>
                <c:pt idx="0">
                  <c:v>Utiliza sistemas de iluminación de bajo consumo</c:v>
                </c:pt>
                <c:pt idx="1">
                  <c:v>Mantiene un registro del consumo de energía en el proceso/ actividad y áreas administrativas</c:v>
                </c:pt>
                <c:pt idx="2">
                  <c:v>Se han implementado programas de eficiencia energética en la instalación</c:v>
                </c:pt>
                <c:pt idx="3">
                  <c:v>Las medidas implementadas han permitido reducir los consumos de energía</c:v>
                </c:pt>
                <c:pt idx="4">
                  <c:v>Utiliza fuentes de energía no convencionales</c:v>
                </c:pt>
              </c:strCache>
            </c:strRef>
          </c:cat>
          <c:val>
            <c:numRef>
              <c:f>'Eficiencia energética'!$F$16:$F$20</c:f>
              <c:numCache>
                <c:formatCode>0%</c:formatCode>
                <c:ptCount val="5"/>
                <c:pt idx="0">
                  <c:v>0.69230769230769229</c:v>
                </c:pt>
                <c:pt idx="1">
                  <c:v>7.6923076923076927E-2</c:v>
                </c:pt>
                <c:pt idx="2">
                  <c:v>0.15384615384615385</c:v>
                </c:pt>
                <c:pt idx="3">
                  <c:v>7.6923076923076927E-2</c:v>
                </c:pt>
                <c:pt idx="4">
                  <c:v>7.6923076923076927E-2</c:v>
                </c:pt>
              </c:numCache>
            </c:numRef>
          </c:val>
        </c:ser>
        <c:ser>
          <c:idx val="1"/>
          <c:order val="1"/>
          <c:tx>
            <c:strRef>
              <c:f>'Eficiencia energética'!$G$15</c:f>
              <c:strCache>
                <c:ptCount val="1"/>
                <c:pt idx="0">
                  <c:v>NO</c:v>
                </c:pt>
              </c:strCache>
            </c:strRef>
          </c:tx>
          <c:invertIfNegative val="0"/>
          <c:dLbls>
            <c:txPr>
              <a:bodyPr/>
              <a:lstStyle/>
              <a:p>
                <a:pPr>
                  <a:defRPr sz="750"/>
                </a:pPr>
                <a:endParaRPr lang="es-CL"/>
              </a:p>
            </c:txPr>
            <c:showLegendKey val="0"/>
            <c:showVal val="1"/>
            <c:showCatName val="0"/>
            <c:showSerName val="0"/>
            <c:showPercent val="0"/>
            <c:showBubbleSize val="0"/>
            <c:showLeaderLines val="0"/>
          </c:dLbls>
          <c:cat>
            <c:strRef>
              <c:f>'Eficiencia energética'!$A$16:$A$20</c:f>
              <c:strCache>
                <c:ptCount val="5"/>
                <c:pt idx="0">
                  <c:v>Utiliza sistemas de iluminación de bajo consumo</c:v>
                </c:pt>
                <c:pt idx="1">
                  <c:v>Mantiene un registro del consumo de energía en el proceso/ actividad y áreas administrativas</c:v>
                </c:pt>
                <c:pt idx="2">
                  <c:v>Se han implementado programas de eficiencia energética en la instalación</c:v>
                </c:pt>
                <c:pt idx="3">
                  <c:v>Las medidas implementadas han permitido reducir los consumos de energía</c:v>
                </c:pt>
                <c:pt idx="4">
                  <c:v>Utiliza fuentes de energía no convencionales</c:v>
                </c:pt>
              </c:strCache>
            </c:strRef>
          </c:cat>
          <c:val>
            <c:numRef>
              <c:f>'Eficiencia energética'!$G$16:$G$20</c:f>
              <c:numCache>
                <c:formatCode>0%</c:formatCode>
                <c:ptCount val="5"/>
                <c:pt idx="0">
                  <c:v>0.30769230769230771</c:v>
                </c:pt>
                <c:pt idx="1">
                  <c:v>0.92307692307692313</c:v>
                </c:pt>
                <c:pt idx="2">
                  <c:v>0.84615384615384615</c:v>
                </c:pt>
                <c:pt idx="3">
                  <c:v>0.76923076923076927</c:v>
                </c:pt>
                <c:pt idx="4">
                  <c:v>0.92307692307692313</c:v>
                </c:pt>
              </c:numCache>
            </c:numRef>
          </c:val>
        </c:ser>
        <c:ser>
          <c:idx val="2"/>
          <c:order val="2"/>
          <c:tx>
            <c:strRef>
              <c:f>'Eficiencia energética'!$H$15</c:f>
              <c:strCache>
                <c:ptCount val="1"/>
                <c:pt idx="0">
                  <c:v> NO INFORMA</c:v>
                </c:pt>
              </c:strCache>
            </c:strRef>
          </c:tx>
          <c:invertIfNegative val="0"/>
          <c:dLbls>
            <c:delete val="1"/>
          </c:dLbls>
          <c:cat>
            <c:strRef>
              <c:f>'Eficiencia energética'!$A$16:$A$20</c:f>
              <c:strCache>
                <c:ptCount val="5"/>
                <c:pt idx="0">
                  <c:v>Utiliza sistemas de iluminación de bajo consumo</c:v>
                </c:pt>
                <c:pt idx="1">
                  <c:v>Mantiene un registro del consumo de energía en el proceso/ actividad y áreas administrativas</c:v>
                </c:pt>
                <c:pt idx="2">
                  <c:v>Se han implementado programas de eficiencia energética en la instalación</c:v>
                </c:pt>
                <c:pt idx="3">
                  <c:v>Las medidas implementadas han permitido reducir los consumos de energía</c:v>
                </c:pt>
                <c:pt idx="4">
                  <c:v>Utiliza fuentes de energía no convencionales</c:v>
                </c:pt>
              </c:strCache>
            </c:strRef>
          </c:cat>
          <c:val>
            <c:numRef>
              <c:f>'Eficiencia energética'!$H$16:$H$20</c:f>
              <c:numCache>
                <c:formatCode>0%</c:formatCode>
                <c:ptCount val="5"/>
                <c:pt idx="0">
                  <c:v>0</c:v>
                </c:pt>
                <c:pt idx="1">
                  <c:v>0</c:v>
                </c:pt>
                <c:pt idx="2">
                  <c:v>0</c:v>
                </c:pt>
                <c:pt idx="3">
                  <c:v>0</c:v>
                </c:pt>
                <c:pt idx="4">
                  <c:v>0</c:v>
                </c:pt>
              </c:numCache>
            </c:numRef>
          </c:val>
        </c:ser>
        <c:ser>
          <c:idx val="3"/>
          <c:order val="3"/>
          <c:tx>
            <c:strRef>
              <c:f>'Eficiencia energética'!$I$15</c:f>
              <c:strCache>
                <c:ptCount val="1"/>
                <c:pt idx="0">
                  <c:v> NO SABE</c:v>
                </c:pt>
              </c:strCache>
            </c:strRef>
          </c:tx>
          <c:invertIfNegative val="0"/>
          <c:dLbls>
            <c:dLbl>
              <c:idx val="0"/>
              <c:delete val="1"/>
            </c:dLbl>
            <c:dLbl>
              <c:idx val="1"/>
              <c:delete val="1"/>
            </c:dLbl>
            <c:dLbl>
              <c:idx val="2"/>
              <c:delete val="1"/>
            </c:dLbl>
            <c:dLbl>
              <c:idx val="3"/>
              <c:layout>
                <c:manualLayout>
                  <c:x val="5.5271375728576724E-3"/>
                  <c:y val="0"/>
                </c:manualLayout>
              </c:layout>
              <c:showLegendKey val="0"/>
              <c:showVal val="1"/>
              <c:showCatName val="0"/>
              <c:showSerName val="0"/>
              <c:showPercent val="0"/>
              <c:showBubbleSize val="0"/>
            </c:dLbl>
            <c:dLbl>
              <c:idx val="4"/>
              <c:delete val="1"/>
            </c:dLbl>
            <c:txPr>
              <a:bodyPr/>
              <a:lstStyle/>
              <a:p>
                <a:pPr>
                  <a:defRPr sz="750"/>
                </a:pPr>
                <a:endParaRPr lang="es-CL"/>
              </a:p>
            </c:txPr>
            <c:showLegendKey val="0"/>
            <c:showVal val="1"/>
            <c:showCatName val="0"/>
            <c:showSerName val="0"/>
            <c:showPercent val="0"/>
            <c:showBubbleSize val="0"/>
            <c:showLeaderLines val="0"/>
          </c:dLbls>
          <c:cat>
            <c:strRef>
              <c:f>'Eficiencia energética'!$A$16:$A$20</c:f>
              <c:strCache>
                <c:ptCount val="5"/>
                <c:pt idx="0">
                  <c:v>Utiliza sistemas de iluminación de bajo consumo</c:v>
                </c:pt>
                <c:pt idx="1">
                  <c:v>Mantiene un registro del consumo de energía en el proceso/ actividad y áreas administrativas</c:v>
                </c:pt>
                <c:pt idx="2">
                  <c:v>Se han implementado programas de eficiencia energética en la instalación</c:v>
                </c:pt>
                <c:pt idx="3">
                  <c:v>Las medidas implementadas han permitido reducir los consumos de energía</c:v>
                </c:pt>
                <c:pt idx="4">
                  <c:v>Utiliza fuentes de energía no convencionales</c:v>
                </c:pt>
              </c:strCache>
            </c:strRef>
          </c:cat>
          <c:val>
            <c:numRef>
              <c:f>'Eficiencia energética'!$I$16:$I$20</c:f>
              <c:numCache>
                <c:formatCode>0%</c:formatCode>
                <c:ptCount val="5"/>
                <c:pt idx="0">
                  <c:v>0</c:v>
                </c:pt>
                <c:pt idx="1">
                  <c:v>0</c:v>
                </c:pt>
                <c:pt idx="2">
                  <c:v>0</c:v>
                </c:pt>
                <c:pt idx="3">
                  <c:v>0.15384615384615385</c:v>
                </c:pt>
                <c:pt idx="4">
                  <c:v>0</c:v>
                </c:pt>
              </c:numCache>
            </c:numRef>
          </c:val>
        </c:ser>
        <c:dLbls>
          <c:showLegendKey val="0"/>
          <c:showVal val="1"/>
          <c:showCatName val="0"/>
          <c:showSerName val="0"/>
          <c:showPercent val="0"/>
          <c:showBubbleSize val="0"/>
        </c:dLbls>
        <c:gapWidth val="150"/>
        <c:shape val="box"/>
        <c:axId val="324202880"/>
        <c:axId val="324204416"/>
        <c:axId val="0"/>
      </c:bar3DChart>
      <c:catAx>
        <c:axId val="324202880"/>
        <c:scaling>
          <c:orientation val="minMax"/>
        </c:scaling>
        <c:delete val="0"/>
        <c:axPos val="l"/>
        <c:majorTickMark val="none"/>
        <c:minorTickMark val="none"/>
        <c:tickLblPos val="nextTo"/>
        <c:txPr>
          <a:bodyPr anchor="ctr" anchorCtr="0"/>
          <a:lstStyle/>
          <a:p>
            <a:pPr>
              <a:defRPr sz="750"/>
            </a:pPr>
            <a:endParaRPr lang="es-CL"/>
          </a:p>
        </c:txPr>
        <c:crossAx val="324204416"/>
        <c:crosses val="autoZero"/>
        <c:auto val="1"/>
        <c:lblAlgn val="ctr"/>
        <c:lblOffset val="100"/>
        <c:noMultiLvlLbl val="0"/>
      </c:catAx>
      <c:valAx>
        <c:axId val="324204416"/>
        <c:scaling>
          <c:orientation val="minMax"/>
        </c:scaling>
        <c:delete val="1"/>
        <c:axPos val="b"/>
        <c:numFmt formatCode="0%" sourceLinked="1"/>
        <c:majorTickMark val="out"/>
        <c:minorTickMark val="none"/>
        <c:tickLblPos val="nextTo"/>
        <c:crossAx val="324202880"/>
        <c:crosses val="autoZero"/>
        <c:crossBetween val="between"/>
      </c:valAx>
    </c:plotArea>
    <c:legend>
      <c:legendPos val="t"/>
      <c:layout>
        <c:manualLayout>
          <c:xMode val="edge"/>
          <c:yMode val="edge"/>
          <c:x val="0.12365983631137541"/>
          <c:y val="9.3189506941251235E-2"/>
          <c:w val="0.76404838867052005"/>
          <c:h val="4.19045693517371E-2"/>
        </c:manualLayout>
      </c:layout>
      <c:overlay val="0"/>
      <c:txPr>
        <a:bodyPr/>
        <a:lstStyle/>
        <a:p>
          <a:pPr>
            <a:defRPr sz="700"/>
          </a:pPr>
          <a:endParaRPr lang="es-CL"/>
        </a:p>
      </c:txPr>
    </c:legend>
    <c:plotVisOnly val="1"/>
    <c:dispBlanksAs val="gap"/>
    <c:showDLblsOverMax val="0"/>
  </c:chart>
  <c:externalData r:id="rId1">
    <c:autoUpdate val="0"/>
  </c:externalData>
</c:chartSpace>
</file>

<file path=word/charts/chart48.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Grande: gestión de eficiencia energética</a:t>
            </a:r>
            <a:r>
              <a:rPr lang="es-CL" sz="800" baseline="0"/>
              <a:t> (%)</a:t>
            </a:r>
            <a:endParaRPr lang="es-CL" sz="800"/>
          </a:p>
        </c:rich>
      </c:tx>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'Eficiencia energética'!$Q$15</c:f>
              <c:strCache>
                <c:ptCount val="1"/>
                <c:pt idx="0">
                  <c:v>SI</c:v>
                </c:pt>
              </c:strCache>
            </c:strRef>
          </c:tx>
          <c:invertIfNegative val="0"/>
          <c:dLbls>
            <c:dLbl>
              <c:idx val="4"/>
              <c:delete val="1"/>
            </c:dLbl>
            <c:txPr>
              <a:bodyPr/>
              <a:lstStyle/>
              <a:p>
                <a:pPr>
                  <a:defRPr sz="750"/>
                </a:pPr>
                <a:endParaRPr lang="es-CL"/>
              </a:p>
            </c:txPr>
            <c:showLegendKey val="0"/>
            <c:showVal val="1"/>
            <c:showCatName val="0"/>
            <c:showSerName val="0"/>
            <c:showPercent val="0"/>
            <c:showBubbleSize val="0"/>
            <c:showLeaderLines val="0"/>
          </c:dLbls>
          <c:cat>
            <c:strRef>
              <c:f>'Eficiencia energética'!$A$16:$A$20</c:f>
              <c:strCache>
                <c:ptCount val="5"/>
                <c:pt idx="0">
                  <c:v>Utiliza sistemas de iluminación de bajo consumo</c:v>
                </c:pt>
                <c:pt idx="1">
                  <c:v>Mantiene un registro del consumo de energía en el proceso/ actividad y áreas administrativas</c:v>
                </c:pt>
                <c:pt idx="2">
                  <c:v>Se han implementado programas de eficiencia energética en la instalación</c:v>
                </c:pt>
                <c:pt idx="3">
                  <c:v>Las medidas implementadas han permitido reducir los consumos de energía</c:v>
                </c:pt>
                <c:pt idx="4">
                  <c:v>Utiliza fuentes de energía no convencionales</c:v>
                </c:pt>
              </c:strCache>
            </c:strRef>
          </c:cat>
          <c:val>
            <c:numRef>
              <c:f>'Eficiencia energética'!$Q$16:$Q$20</c:f>
              <c:numCache>
                <c:formatCode>0%</c:formatCode>
                <c:ptCount val="5"/>
                <c:pt idx="0">
                  <c:v>0.7</c:v>
                </c:pt>
                <c:pt idx="1">
                  <c:v>0.1</c:v>
                </c:pt>
                <c:pt idx="2">
                  <c:v>0.2</c:v>
                </c:pt>
                <c:pt idx="3">
                  <c:v>0.2</c:v>
                </c:pt>
                <c:pt idx="4">
                  <c:v>0</c:v>
                </c:pt>
              </c:numCache>
            </c:numRef>
          </c:val>
        </c:ser>
        <c:ser>
          <c:idx val="1"/>
          <c:order val="1"/>
          <c:tx>
            <c:strRef>
              <c:f>'Eficiencia energética'!$R$15</c:f>
              <c:strCache>
                <c:ptCount val="1"/>
                <c:pt idx="0">
                  <c:v>NO</c:v>
                </c:pt>
              </c:strCache>
            </c:strRef>
          </c:tx>
          <c:invertIfNegative val="0"/>
          <c:dLbls>
            <c:txPr>
              <a:bodyPr/>
              <a:lstStyle/>
              <a:p>
                <a:pPr>
                  <a:defRPr sz="750"/>
                </a:pPr>
                <a:endParaRPr lang="es-CL"/>
              </a:p>
            </c:txPr>
            <c:showLegendKey val="0"/>
            <c:showVal val="1"/>
            <c:showCatName val="0"/>
            <c:showSerName val="0"/>
            <c:showPercent val="0"/>
            <c:showBubbleSize val="0"/>
            <c:showLeaderLines val="0"/>
          </c:dLbls>
          <c:cat>
            <c:strRef>
              <c:f>'Eficiencia energética'!$A$16:$A$20</c:f>
              <c:strCache>
                <c:ptCount val="5"/>
                <c:pt idx="0">
                  <c:v>Utiliza sistemas de iluminación de bajo consumo</c:v>
                </c:pt>
                <c:pt idx="1">
                  <c:v>Mantiene un registro del consumo de energía en el proceso/ actividad y áreas administrativas</c:v>
                </c:pt>
                <c:pt idx="2">
                  <c:v>Se han implementado programas de eficiencia energética en la instalación</c:v>
                </c:pt>
                <c:pt idx="3">
                  <c:v>Las medidas implementadas han permitido reducir los consumos de energía</c:v>
                </c:pt>
                <c:pt idx="4">
                  <c:v>Utiliza fuentes de energía no convencionales</c:v>
                </c:pt>
              </c:strCache>
            </c:strRef>
          </c:cat>
          <c:val>
            <c:numRef>
              <c:f>'Eficiencia energética'!$R$16:$R$20</c:f>
              <c:numCache>
                <c:formatCode>0%</c:formatCode>
                <c:ptCount val="5"/>
                <c:pt idx="0">
                  <c:v>0.3</c:v>
                </c:pt>
                <c:pt idx="1">
                  <c:v>0.8</c:v>
                </c:pt>
                <c:pt idx="2">
                  <c:v>0.7</c:v>
                </c:pt>
                <c:pt idx="3">
                  <c:v>0.4</c:v>
                </c:pt>
                <c:pt idx="4">
                  <c:v>0.9</c:v>
                </c:pt>
              </c:numCache>
            </c:numRef>
          </c:val>
        </c:ser>
        <c:ser>
          <c:idx val="2"/>
          <c:order val="2"/>
          <c:tx>
            <c:strRef>
              <c:f>'Eficiencia energética'!$S$15</c:f>
              <c:strCache>
                <c:ptCount val="1"/>
                <c:pt idx="0">
                  <c:v> NO INFORMA</c:v>
                </c:pt>
              </c:strCache>
            </c:strRef>
          </c:tx>
          <c:invertIfNegative val="0"/>
          <c:dLbls>
            <c:dLbl>
              <c:idx val="0"/>
              <c:delete val="1"/>
            </c:dLbl>
            <c:dLbl>
              <c:idx val="1"/>
              <c:layout>
                <c:manualLayout>
                  <c:x val="1.1398054193795566E-2"/>
                  <c:y val="0"/>
                </c:manualLayout>
              </c:layout>
              <c:showLegendKey val="0"/>
              <c:showVal val="1"/>
              <c:showCatName val="0"/>
              <c:showSerName val="0"/>
              <c:showPercent val="0"/>
              <c:showBubbleSize val="0"/>
            </c:dLbl>
            <c:dLbl>
              <c:idx val="2"/>
              <c:layout>
                <c:manualLayout>
                  <c:x val="1.1404767883142418E-2"/>
                  <c:y val="1.1665322979066085E-3"/>
                </c:manualLayout>
              </c:layout>
              <c:showLegendKey val="0"/>
              <c:showVal val="1"/>
              <c:showCatName val="0"/>
              <c:showSerName val="0"/>
              <c:showPercent val="0"/>
              <c:showBubbleSize val="0"/>
            </c:dLbl>
            <c:dLbl>
              <c:idx val="3"/>
              <c:layout>
                <c:manualLayout>
                  <c:x val="1.1368513960669418E-2"/>
                  <c:y val="5.313076403846308E-17"/>
                </c:manualLayout>
              </c:layout>
              <c:showLegendKey val="0"/>
              <c:showVal val="1"/>
              <c:showCatName val="0"/>
              <c:showSerName val="0"/>
              <c:showPercent val="0"/>
              <c:showBubbleSize val="0"/>
            </c:dLbl>
            <c:dLbl>
              <c:idx val="4"/>
              <c:layout>
                <c:manualLayout>
                  <c:x val="1.1162216578013855E-2"/>
                  <c:y val="0"/>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'Eficiencia energética'!$A$16:$A$20</c:f>
              <c:strCache>
                <c:ptCount val="5"/>
                <c:pt idx="0">
                  <c:v>Utiliza sistemas de iluminación de bajo consumo</c:v>
                </c:pt>
                <c:pt idx="1">
                  <c:v>Mantiene un registro del consumo de energía en el proceso/ actividad y áreas administrativas</c:v>
                </c:pt>
                <c:pt idx="2">
                  <c:v>Se han implementado programas de eficiencia energética en la instalación</c:v>
                </c:pt>
                <c:pt idx="3">
                  <c:v>Las medidas implementadas han permitido reducir los consumos de energía</c:v>
                </c:pt>
                <c:pt idx="4">
                  <c:v>Utiliza fuentes de energía no convencionales</c:v>
                </c:pt>
              </c:strCache>
            </c:strRef>
          </c:cat>
          <c:val>
            <c:numRef>
              <c:f>'Eficiencia energética'!$S$16:$S$20</c:f>
              <c:numCache>
                <c:formatCode>0%</c:formatCode>
                <c:ptCount val="5"/>
                <c:pt idx="0">
                  <c:v>0</c:v>
                </c:pt>
                <c:pt idx="1">
                  <c:v>0.1</c:v>
                </c:pt>
                <c:pt idx="2">
                  <c:v>0.1</c:v>
                </c:pt>
                <c:pt idx="3">
                  <c:v>0.1</c:v>
                </c:pt>
                <c:pt idx="4">
                  <c:v>0.1</c:v>
                </c:pt>
              </c:numCache>
            </c:numRef>
          </c:val>
        </c:ser>
        <c:ser>
          <c:idx val="3"/>
          <c:order val="3"/>
          <c:tx>
            <c:strRef>
              <c:f>'Eficiencia energética'!$T$15</c:f>
              <c:strCache>
                <c:ptCount val="1"/>
                <c:pt idx="0">
                  <c:v> NO SABE</c:v>
                </c:pt>
              </c:strCache>
            </c:strRef>
          </c:tx>
          <c:invertIfNegative val="0"/>
          <c:dLbls>
            <c:dLbl>
              <c:idx val="0"/>
              <c:delete val="1"/>
            </c:dLbl>
            <c:dLbl>
              <c:idx val="1"/>
              <c:delete val="1"/>
            </c:dLbl>
            <c:dLbl>
              <c:idx val="2"/>
              <c:delete val="1"/>
            </c:dLbl>
            <c:dLbl>
              <c:idx val="3"/>
              <c:layout>
                <c:manualLayout>
                  <c:x val="3.3590378119459807E-2"/>
                  <c:y val="5.313076403846308E-17"/>
                </c:manualLayout>
              </c:layout>
              <c:showLegendKey val="0"/>
              <c:showVal val="1"/>
              <c:showCatName val="0"/>
              <c:showSerName val="0"/>
              <c:showPercent val="0"/>
              <c:showBubbleSize val="0"/>
            </c:dLbl>
            <c:dLbl>
              <c:idx val="4"/>
              <c:delete val="1"/>
            </c:dLbl>
            <c:txPr>
              <a:bodyPr/>
              <a:lstStyle/>
              <a:p>
                <a:pPr>
                  <a:defRPr sz="750"/>
                </a:pPr>
                <a:endParaRPr lang="es-CL"/>
              </a:p>
            </c:txPr>
            <c:showLegendKey val="0"/>
            <c:showVal val="1"/>
            <c:showCatName val="0"/>
            <c:showSerName val="0"/>
            <c:showPercent val="0"/>
            <c:showBubbleSize val="0"/>
            <c:showLeaderLines val="0"/>
          </c:dLbls>
          <c:cat>
            <c:strRef>
              <c:f>'Eficiencia energética'!$A$16:$A$20</c:f>
              <c:strCache>
                <c:ptCount val="5"/>
                <c:pt idx="0">
                  <c:v>Utiliza sistemas de iluminación de bajo consumo</c:v>
                </c:pt>
                <c:pt idx="1">
                  <c:v>Mantiene un registro del consumo de energía en el proceso/ actividad y áreas administrativas</c:v>
                </c:pt>
                <c:pt idx="2">
                  <c:v>Se han implementado programas de eficiencia energética en la instalación</c:v>
                </c:pt>
                <c:pt idx="3">
                  <c:v>Las medidas implementadas han permitido reducir los consumos de energía</c:v>
                </c:pt>
                <c:pt idx="4">
                  <c:v>Utiliza fuentes de energía no convencionales</c:v>
                </c:pt>
              </c:strCache>
            </c:strRef>
          </c:cat>
          <c:val>
            <c:numRef>
              <c:f>'Eficiencia energética'!$T$16:$T$20</c:f>
              <c:numCache>
                <c:formatCode>0%</c:formatCode>
                <c:ptCount val="5"/>
                <c:pt idx="0">
                  <c:v>0</c:v>
                </c:pt>
                <c:pt idx="1">
                  <c:v>0</c:v>
                </c:pt>
                <c:pt idx="2">
                  <c:v>0</c:v>
                </c:pt>
                <c:pt idx="3">
                  <c:v>0.3</c:v>
                </c:pt>
                <c:pt idx="4">
                  <c:v>0</c:v>
                </c:pt>
              </c:numCache>
            </c:numRef>
          </c:val>
        </c:ser>
        <c:dLbls>
          <c:showLegendKey val="0"/>
          <c:showVal val="1"/>
          <c:showCatName val="0"/>
          <c:showSerName val="0"/>
          <c:showPercent val="0"/>
          <c:showBubbleSize val="0"/>
        </c:dLbls>
        <c:gapWidth val="150"/>
        <c:shape val="box"/>
        <c:axId val="324466944"/>
        <c:axId val="324681728"/>
        <c:axId val="0"/>
      </c:bar3DChart>
      <c:catAx>
        <c:axId val="324466944"/>
        <c:scaling>
          <c:orientation val="minMax"/>
        </c:scaling>
        <c:delete val="0"/>
        <c:axPos val="l"/>
        <c:majorTickMark val="none"/>
        <c:minorTickMark val="none"/>
        <c:tickLblPos val="nextTo"/>
        <c:txPr>
          <a:bodyPr anchor="ctr" anchorCtr="0"/>
          <a:lstStyle/>
          <a:p>
            <a:pPr>
              <a:defRPr sz="750"/>
            </a:pPr>
            <a:endParaRPr lang="es-CL"/>
          </a:p>
        </c:txPr>
        <c:crossAx val="324681728"/>
        <c:crosses val="autoZero"/>
        <c:auto val="1"/>
        <c:lblAlgn val="ctr"/>
        <c:lblOffset val="100"/>
        <c:noMultiLvlLbl val="0"/>
      </c:catAx>
      <c:valAx>
        <c:axId val="324681728"/>
        <c:scaling>
          <c:orientation val="minMax"/>
        </c:scaling>
        <c:delete val="1"/>
        <c:axPos val="b"/>
        <c:numFmt formatCode="0%" sourceLinked="1"/>
        <c:majorTickMark val="out"/>
        <c:minorTickMark val="none"/>
        <c:tickLblPos val="nextTo"/>
        <c:crossAx val="324466944"/>
        <c:crosses val="autoZero"/>
        <c:crossBetween val="between"/>
      </c:valAx>
    </c:plotArea>
    <c:legend>
      <c:legendPos val="t"/>
      <c:layout>
        <c:manualLayout>
          <c:xMode val="edge"/>
          <c:yMode val="edge"/>
          <c:x val="0.1179756346786224"/>
          <c:y val="9.0740472395305027E-2"/>
          <c:w val="0.76404873064275514"/>
          <c:h val="4.19045693517371E-2"/>
        </c:manualLayout>
      </c:layout>
      <c:overlay val="0"/>
      <c:txPr>
        <a:bodyPr/>
        <a:lstStyle/>
        <a:p>
          <a:pPr>
            <a:defRPr sz="700"/>
          </a:pPr>
          <a:endParaRPr lang="es-CL"/>
        </a:p>
      </c:txPr>
    </c:legend>
    <c:plotVisOnly val="1"/>
    <c:dispBlanksAs val="gap"/>
    <c:showDLblsOverMax val="0"/>
  </c:chart>
  <c:externalData r:id="rId1">
    <c:autoUpdate val="0"/>
  </c:externalData>
</c:chartSpace>
</file>

<file path=word/charts/chart49.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PYME: valorización</a:t>
            </a:r>
            <a:r>
              <a:rPr lang="es-CL" sz="800" baseline="0"/>
              <a:t> de residuos (%)</a:t>
            </a:r>
            <a:endParaRPr lang="es-CL" sz="800"/>
          </a:p>
        </c:rich>
      </c:tx>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'Eficiencia energética'!$F$15</c:f>
              <c:strCache>
                <c:ptCount val="1"/>
                <c:pt idx="0">
                  <c:v>SI</c:v>
                </c:pt>
              </c:strCache>
            </c:strRef>
          </c:tx>
          <c:invertIfNegative val="0"/>
          <c:dLbls>
            <c:dLbl>
              <c:idx val="2"/>
              <c:layout>
                <c:manualLayout>
                  <c:x val="1.0333995549872309E-2"/>
                  <c:y val="0"/>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'Eficiencia energética'!$A$49:$A$51</c:f>
              <c:strCache>
                <c:ptCount val="3"/>
                <c:pt idx="0">
                  <c:v>Se reutiliza algún residuo internamente</c:v>
                </c:pt>
                <c:pt idx="1">
                  <c:v>Se valoriza algún residuo fuera de la instalación</c:v>
                </c:pt>
                <c:pt idx="2">
                  <c:v>Existen propuestas para valorizar otros residuos</c:v>
                </c:pt>
              </c:strCache>
            </c:strRef>
          </c:cat>
          <c:val>
            <c:numRef>
              <c:f>'Eficiencia energética'!$F$49:$F$51</c:f>
              <c:numCache>
                <c:formatCode>0%</c:formatCode>
                <c:ptCount val="3"/>
                <c:pt idx="0">
                  <c:v>0.69230769230769229</c:v>
                </c:pt>
                <c:pt idx="1">
                  <c:v>0.23076923076923078</c:v>
                </c:pt>
                <c:pt idx="2">
                  <c:v>7.6923076923076927E-2</c:v>
                </c:pt>
              </c:numCache>
            </c:numRef>
          </c:val>
        </c:ser>
        <c:ser>
          <c:idx val="1"/>
          <c:order val="1"/>
          <c:tx>
            <c:strRef>
              <c:f>'Eficiencia energética'!$G$15</c:f>
              <c:strCache>
                <c:ptCount val="1"/>
                <c:pt idx="0">
                  <c:v>NO</c:v>
                </c:pt>
              </c:strCache>
            </c:strRef>
          </c:tx>
          <c:invertIfNegative val="0"/>
          <c:dLbls>
            <c:txPr>
              <a:bodyPr/>
              <a:lstStyle/>
              <a:p>
                <a:pPr>
                  <a:defRPr sz="750"/>
                </a:pPr>
                <a:endParaRPr lang="es-CL"/>
              </a:p>
            </c:txPr>
            <c:showLegendKey val="0"/>
            <c:showVal val="1"/>
            <c:showCatName val="0"/>
            <c:showSerName val="0"/>
            <c:showPercent val="0"/>
            <c:showBubbleSize val="0"/>
            <c:showLeaderLines val="0"/>
          </c:dLbls>
          <c:cat>
            <c:strRef>
              <c:f>'Eficiencia energética'!$A$49:$A$51</c:f>
              <c:strCache>
                <c:ptCount val="3"/>
                <c:pt idx="0">
                  <c:v>Se reutiliza algún residuo internamente</c:v>
                </c:pt>
                <c:pt idx="1">
                  <c:v>Se valoriza algún residuo fuera de la instalación</c:v>
                </c:pt>
                <c:pt idx="2">
                  <c:v>Existen propuestas para valorizar otros residuos</c:v>
                </c:pt>
              </c:strCache>
            </c:strRef>
          </c:cat>
          <c:val>
            <c:numRef>
              <c:f>'Eficiencia energética'!$G$49:$G$51</c:f>
              <c:numCache>
                <c:formatCode>0%</c:formatCode>
                <c:ptCount val="3"/>
                <c:pt idx="0">
                  <c:v>0.30769230769230771</c:v>
                </c:pt>
                <c:pt idx="1">
                  <c:v>0.76923076923076927</c:v>
                </c:pt>
                <c:pt idx="2">
                  <c:v>0.92307692307692313</c:v>
                </c:pt>
              </c:numCache>
            </c:numRef>
          </c:val>
        </c:ser>
        <c:ser>
          <c:idx val="2"/>
          <c:order val="2"/>
          <c:tx>
            <c:strRef>
              <c:f>'Eficiencia energética'!$H$15</c:f>
              <c:strCache>
                <c:ptCount val="1"/>
                <c:pt idx="0">
                  <c:v> NO INFORMA</c:v>
                </c:pt>
              </c:strCache>
            </c:strRef>
          </c:tx>
          <c:invertIfNegative val="0"/>
          <c:dLbls>
            <c:delete val="1"/>
          </c:dLbls>
          <c:cat>
            <c:strRef>
              <c:f>'Eficiencia energética'!$A$49:$A$51</c:f>
              <c:strCache>
                <c:ptCount val="3"/>
                <c:pt idx="0">
                  <c:v>Se reutiliza algún residuo internamente</c:v>
                </c:pt>
                <c:pt idx="1">
                  <c:v>Se valoriza algún residuo fuera de la instalación</c:v>
                </c:pt>
                <c:pt idx="2">
                  <c:v>Existen propuestas para valorizar otros residuos</c:v>
                </c:pt>
              </c:strCache>
            </c:strRef>
          </c:cat>
          <c:val>
            <c:numRef>
              <c:f>'Eficiencia energética'!$H$49:$H$51</c:f>
              <c:numCache>
                <c:formatCode>0%</c:formatCode>
                <c:ptCount val="3"/>
                <c:pt idx="0">
                  <c:v>0</c:v>
                </c:pt>
                <c:pt idx="1">
                  <c:v>0</c:v>
                </c:pt>
                <c:pt idx="2">
                  <c:v>0</c:v>
                </c:pt>
              </c:numCache>
            </c:numRef>
          </c:val>
        </c:ser>
        <c:ser>
          <c:idx val="3"/>
          <c:order val="3"/>
          <c:tx>
            <c:strRef>
              <c:f>'Eficiencia energética'!$I$15</c:f>
              <c:strCache>
                <c:ptCount val="1"/>
                <c:pt idx="0">
                  <c:v> NO SABE</c:v>
                </c:pt>
              </c:strCache>
            </c:strRef>
          </c:tx>
          <c:invertIfNegative val="0"/>
          <c:dLbls>
            <c:delete val="1"/>
          </c:dLbls>
          <c:cat>
            <c:strRef>
              <c:f>'Eficiencia energética'!$A$49:$A$51</c:f>
              <c:strCache>
                <c:ptCount val="3"/>
                <c:pt idx="0">
                  <c:v>Se reutiliza algún residuo internamente</c:v>
                </c:pt>
                <c:pt idx="1">
                  <c:v>Se valoriza algún residuo fuera de la instalación</c:v>
                </c:pt>
                <c:pt idx="2">
                  <c:v>Existen propuestas para valorizar otros residuos</c:v>
                </c:pt>
              </c:strCache>
            </c:strRef>
          </c:cat>
          <c:val>
            <c:numRef>
              <c:f>'Eficiencia energética'!$I$49:$I$51</c:f>
              <c:numCache>
                <c:formatCode>0%</c:formatCode>
                <c:ptCount val="3"/>
                <c:pt idx="0">
                  <c:v>0</c:v>
                </c:pt>
                <c:pt idx="1">
                  <c:v>0</c:v>
                </c:pt>
                <c:pt idx="2">
                  <c:v>0</c:v>
                </c:pt>
              </c:numCache>
            </c:numRef>
          </c:val>
        </c:ser>
        <c:dLbls>
          <c:showLegendKey val="0"/>
          <c:showVal val="1"/>
          <c:showCatName val="0"/>
          <c:showSerName val="0"/>
          <c:showPercent val="0"/>
          <c:showBubbleSize val="0"/>
        </c:dLbls>
        <c:gapWidth val="150"/>
        <c:shape val="box"/>
        <c:axId val="324844928"/>
        <c:axId val="324871296"/>
        <c:axId val="0"/>
      </c:bar3DChart>
      <c:catAx>
        <c:axId val="324844928"/>
        <c:scaling>
          <c:orientation val="minMax"/>
        </c:scaling>
        <c:delete val="0"/>
        <c:axPos val="l"/>
        <c:majorTickMark val="none"/>
        <c:minorTickMark val="none"/>
        <c:tickLblPos val="nextTo"/>
        <c:txPr>
          <a:bodyPr/>
          <a:lstStyle/>
          <a:p>
            <a:pPr>
              <a:defRPr sz="800"/>
            </a:pPr>
            <a:endParaRPr lang="es-CL"/>
          </a:p>
        </c:txPr>
        <c:crossAx val="324871296"/>
        <c:crosses val="autoZero"/>
        <c:auto val="1"/>
        <c:lblAlgn val="ctr"/>
        <c:lblOffset val="100"/>
        <c:noMultiLvlLbl val="0"/>
      </c:catAx>
      <c:valAx>
        <c:axId val="324871296"/>
        <c:scaling>
          <c:orientation val="minMax"/>
        </c:scaling>
        <c:delete val="1"/>
        <c:axPos val="b"/>
        <c:numFmt formatCode="0%" sourceLinked="1"/>
        <c:majorTickMark val="out"/>
        <c:minorTickMark val="none"/>
        <c:tickLblPos val="nextTo"/>
        <c:crossAx val="324844928"/>
        <c:crosses val="autoZero"/>
        <c:crossBetween val="between"/>
      </c:valAx>
    </c:plotArea>
    <c:legend>
      <c:legendPos val="t"/>
      <c:overlay val="0"/>
      <c:txPr>
        <a:bodyPr/>
        <a:lstStyle/>
        <a:p>
          <a:pPr>
            <a:defRPr sz="700"/>
          </a:pPr>
          <a:endParaRPr lang="es-CL"/>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Total Trabajadores</a:t>
            </a:r>
            <a:r>
              <a:rPr lang="en-US" sz="800" baseline="0"/>
              <a:t> </a:t>
            </a:r>
            <a:r>
              <a:rPr lang="en-US" sz="800"/>
              <a:t>de centros de cultivo diagnosticados según</a:t>
            </a:r>
            <a:r>
              <a:rPr lang="en-US" sz="800" baseline="0"/>
              <a:t> género</a:t>
            </a:r>
            <a:r>
              <a:rPr lang="en-US" sz="800"/>
              <a:t>  (N°)</a:t>
            </a:r>
          </a:p>
        </c:rich>
      </c:tx>
      <c:layout>
        <c:manualLayout>
          <c:xMode val="edge"/>
          <c:yMode val="edge"/>
          <c:x val="0.1124582239720035"/>
          <c:y val="4.1666666666666664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'RRHH  '!$P$182</c:f>
              <c:strCache>
                <c:ptCount val="1"/>
                <c:pt idx="0">
                  <c:v>TOTAL</c:v>
                </c:pt>
              </c:strCache>
            </c:strRef>
          </c:tx>
          <c:invertIfNegative val="0"/>
          <c:dLbls>
            <c:dLbl>
              <c:idx val="0"/>
              <c:layout>
                <c:manualLayout>
                  <c:x val="2.5000000000000001E-2"/>
                  <c:y val="-2.7777777777777776E-2"/>
                </c:manualLayout>
              </c:layout>
              <c:showLegendKey val="0"/>
              <c:showVal val="1"/>
              <c:showCatName val="0"/>
              <c:showSerName val="0"/>
              <c:showPercent val="0"/>
              <c:showBubbleSize val="0"/>
            </c:dLbl>
            <c:dLbl>
              <c:idx val="1"/>
              <c:layout>
                <c:manualLayout>
                  <c:x val="2.5000000000000001E-2"/>
                  <c:y val="-3.2407407407407406E-2"/>
                </c:manualLayout>
              </c:layout>
              <c:showLegendKey val="0"/>
              <c:showVal val="1"/>
              <c:showCatName val="0"/>
              <c:showSerName val="0"/>
              <c:showPercent val="0"/>
              <c:showBubbleSize val="0"/>
            </c:dLbl>
            <c:dLbl>
              <c:idx val="2"/>
              <c:layout>
                <c:manualLayout>
                  <c:x val="2.5000000000000001E-2"/>
                  <c:y val="-2.7777777777777776E-2"/>
                </c:manualLayout>
              </c:layout>
              <c:showLegendKey val="0"/>
              <c:showVal val="1"/>
              <c:showCatName val="0"/>
              <c:showSerName val="0"/>
              <c:showPercent val="0"/>
              <c:showBubbleSize val="0"/>
            </c:dLbl>
            <c:txPr>
              <a:bodyPr/>
              <a:lstStyle/>
              <a:p>
                <a:pPr>
                  <a:defRPr sz="800"/>
                </a:pPr>
                <a:endParaRPr lang="es-CL"/>
              </a:p>
            </c:txPr>
            <c:showLegendKey val="0"/>
            <c:showVal val="1"/>
            <c:showCatName val="0"/>
            <c:showSerName val="0"/>
            <c:showPercent val="0"/>
            <c:showBubbleSize val="0"/>
            <c:showLeaderLines val="0"/>
          </c:dLbls>
          <c:cat>
            <c:strRef>
              <c:f>'RRHH  '!$R$181:$S$181</c:f>
              <c:strCache>
                <c:ptCount val="2"/>
                <c:pt idx="0">
                  <c:v>Hombres (N°)</c:v>
                </c:pt>
                <c:pt idx="1">
                  <c:v>Mujeres (N°)</c:v>
                </c:pt>
              </c:strCache>
            </c:strRef>
          </c:cat>
          <c:val>
            <c:numRef>
              <c:f>'RRHH  '!$R$182:$S$182</c:f>
              <c:numCache>
                <c:formatCode>General</c:formatCode>
                <c:ptCount val="2"/>
                <c:pt idx="0">
                  <c:v>172</c:v>
                </c:pt>
                <c:pt idx="1">
                  <c:v>30</c:v>
                </c:pt>
              </c:numCache>
            </c:numRef>
          </c:val>
        </c:ser>
        <c:dLbls>
          <c:showLegendKey val="0"/>
          <c:showVal val="1"/>
          <c:showCatName val="0"/>
          <c:showSerName val="0"/>
          <c:showPercent val="0"/>
          <c:showBubbleSize val="0"/>
        </c:dLbls>
        <c:gapWidth val="150"/>
        <c:shape val="box"/>
        <c:axId val="155660672"/>
        <c:axId val="155663360"/>
        <c:axId val="0"/>
      </c:bar3DChart>
      <c:catAx>
        <c:axId val="155660672"/>
        <c:scaling>
          <c:orientation val="minMax"/>
        </c:scaling>
        <c:delete val="0"/>
        <c:axPos val="b"/>
        <c:majorTickMark val="none"/>
        <c:minorTickMark val="none"/>
        <c:tickLblPos val="nextTo"/>
        <c:txPr>
          <a:bodyPr/>
          <a:lstStyle/>
          <a:p>
            <a:pPr>
              <a:defRPr sz="800"/>
            </a:pPr>
            <a:endParaRPr lang="es-CL"/>
          </a:p>
        </c:txPr>
        <c:crossAx val="155663360"/>
        <c:crosses val="autoZero"/>
        <c:auto val="1"/>
        <c:lblAlgn val="ctr"/>
        <c:lblOffset val="100"/>
        <c:noMultiLvlLbl val="0"/>
      </c:catAx>
      <c:valAx>
        <c:axId val="155663360"/>
        <c:scaling>
          <c:orientation val="minMax"/>
        </c:scaling>
        <c:delete val="1"/>
        <c:axPos val="l"/>
        <c:numFmt formatCode="General" sourceLinked="1"/>
        <c:majorTickMark val="out"/>
        <c:minorTickMark val="none"/>
        <c:tickLblPos val="nextTo"/>
        <c:crossAx val="155660672"/>
        <c:crosses val="autoZero"/>
        <c:crossBetween val="between"/>
      </c:valAx>
    </c:plotArea>
    <c:plotVisOnly val="1"/>
    <c:dispBlanksAs val="gap"/>
    <c:showDLblsOverMax val="0"/>
  </c:chart>
  <c:externalData r:id="rId1">
    <c:autoUpdate val="0"/>
  </c:externalData>
</c:chartSpace>
</file>

<file path=word/charts/chart50.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Grande: valorización</a:t>
            </a:r>
            <a:r>
              <a:rPr lang="es-CL" sz="800" baseline="0"/>
              <a:t> de residuos (%)</a:t>
            </a:r>
            <a:endParaRPr lang="es-CL" sz="800"/>
          </a:p>
        </c:rich>
      </c:tx>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'Eficiencia energética'!$P$15</c:f>
              <c:strCache>
                <c:ptCount val="1"/>
                <c:pt idx="0">
                  <c:v>NO SABE</c:v>
                </c:pt>
              </c:strCache>
            </c:strRef>
          </c:tx>
          <c:invertIfNegative val="0"/>
          <c:dLbls>
            <c:dLbl>
              <c:idx val="2"/>
              <c:layout>
                <c:manualLayout>
                  <c:x val="1.033138528420258E-2"/>
                  <c:y val="0"/>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'Eficiencia energética'!$A$49:$A$51</c:f>
              <c:strCache>
                <c:ptCount val="3"/>
                <c:pt idx="0">
                  <c:v>Se reutiliza algún residuo internamente</c:v>
                </c:pt>
                <c:pt idx="1">
                  <c:v>Se valoriza algún residuo fuera de la instalación</c:v>
                </c:pt>
                <c:pt idx="2">
                  <c:v>Existen propuestas para valorizar otros residuos</c:v>
                </c:pt>
              </c:strCache>
            </c:strRef>
          </c:cat>
          <c:val>
            <c:numRef>
              <c:f>'Eficiencia energética'!$Q$49:$Q$51</c:f>
              <c:numCache>
                <c:formatCode>0%</c:formatCode>
                <c:ptCount val="3"/>
                <c:pt idx="0">
                  <c:v>0.4</c:v>
                </c:pt>
                <c:pt idx="1">
                  <c:v>0.3</c:v>
                </c:pt>
                <c:pt idx="2">
                  <c:v>0.1</c:v>
                </c:pt>
              </c:numCache>
            </c:numRef>
          </c:val>
        </c:ser>
        <c:ser>
          <c:idx val="1"/>
          <c:order val="1"/>
          <c:tx>
            <c:strRef>
              <c:f>'Eficiencia energética'!$Q$15</c:f>
              <c:strCache>
                <c:ptCount val="1"/>
                <c:pt idx="0">
                  <c:v>SI</c:v>
                </c:pt>
              </c:strCache>
            </c:strRef>
          </c:tx>
          <c:invertIfNegative val="0"/>
          <c:dLbls>
            <c:dLbl>
              <c:idx val="2"/>
              <c:layout>
                <c:manualLayout>
                  <c:x val="1.549707792630387E-2"/>
                  <c:y val="0"/>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'Eficiencia energética'!$A$49:$A$51</c:f>
              <c:strCache>
                <c:ptCount val="3"/>
                <c:pt idx="0">
                  <c:v>Se reutiliza algún residuo internamente</c:v>
                </c:pt>
                <c:pt idx="1">
                  <c:v>Se valoriza algún residuo fuera de la instalación</c:v>
                </c:pt>
                <c:pt idx="2">
                  <c:v>Existen propuestas para valorizar otros residuos</c:v>
                </c:pt>
              </c:strCache>
            </c:strRef>
          </c:cat>
          <c:val>
            <c:numRef>
              <c:f>'Eficiencia energética'!$R$49:$R$51</c:f>
              <c:numCache>
                <c:formatCode>0%</c:formatCode>
                <c:ptCount val="3"/>
                <c:pt idx="0">
                  <c:v>0.4</c:v>
                </c:pt>
                <c:pt idx="1">
                  <c:v>0.3</c:v>
                </c:pt>
                <c:pt idx="2">
                  <c:v>0.3</c:v>
                </c:pt>
              </c:numCache>
            </c:numRef>
          </c:val>
        </c:ser>
        <c:ser>
          <c:idx val="2"/>
          <c:order val="2"/>
          <c:tx>
            <c:strRef>
              <c:f>'Eficiencia energética'!$R$15</c:f>
              <c:strCache>
                <c:ptCount val="1"/>
                <c:pt idx="0">
                  <c:v>NO</c:v>
                </c:pt>
              </c:strCache>
            </c:strRef>
          </c:tx>
          <c:invertIfNegative val="0"/>
          <c:dLbls>
            <c:txPr>
              <a:bodyPr/>
              <a:lstStyle/>
              <a:p>
                <a:pPr>
                  <a:defRPr sz="750"/>
                </a:pPr>
                <a:endParaRPr lang="es-CL"/>
              </a:p>
            </c:txPr>
            <c:showLegendKey val="0"/>
            <c:showVal val="1"/>
            <c:showCatName val="0"/>
            <c:showSerName val="0"/>
            <c:showPercent val="0"/>
            <c:showBubbleSize val="0"/>
            <c:showLeaderLines val="0"/>
          </c:dLbls>
          <c:cat>
            <c:strRef>
              <c:f>'Eficiencia energética'!$A$49:$A$51</c:f>
              <c:strCache>
                <c:ptCount val="3"/>
                <c:pt idx="0">
                  <c:v>Se reutiliza algún residuo internamente</c:v>
                </c:pt>
                <c:pt idx="1">
                  <c:v>Se valoriza algún residuo fuera de la instalación</c:v>
                </c:pt>
                <c:pt idx="2">
                  <c:v>Existen propuestas para valorizar otros residuos</c:v>
                </c:pt>
              </c:strCache>
            </c:strRef>
          </c:cat>
          <c:val>
            <c:numRef>
              <c:f>'Eficiencia energética'!$S$49:$S$51</c:f>
              <c:numCache>
                <c:formatCode>0%</c:formatCode>
                <c:ptCount val="3"/>
                <c:pt idx="0">
                  <c:v>0.2</c:v>
                </c:pt>
                <c:pt idx="1">
                  <c:v>0.3</c:v>
                </c:pt>
                <c:pt idx="2">
                  <c:v>0.3</c:v>
                </c:pt>
              </c:numCache>
            </c:numRef>
          </c:val>
        </c:ser>
        <c:ser>
          <c:idx val="3"/>
          <c:order val="3"/>
          <c:tx>
            <c:strRef>
              <c:f>'Eficiencia energética'!$S$15</c:f>
              <c:strCache>
                <c:ptCount val="1"/>
                <c:pt idx="0">
                  <c:v> NO INFORMA</c:v>
                </c:pt>
              </c:strCache>
            </c:strRef>
          </c:tx>
          <c:invertIfNegative val="0"/>
          <c:dLbls>
            <c:dLbl>
              <c:idx val="0"/>
              <c:delete val="1"/>
            </c:dLbl>
            <c:dLbl>
              <c:idx val="1"/>
              <c:layout>
                <c:manualLayout>
                  <c:x val="1.549707792630387E-2"/>
                  <c:y val="0"/>
                </c:manualLayout>
              </c:layout>
              <c:showLegendKey val="0"/>
              <c:showVal val="1"/>
              <c:showCatName val="0"/>
              <c:showSerName val="0"/>
              <c:showPercent val="0"/>
              <c:showBubbleSize val="0"/>
            </c:dLbl>
            <c:dLbl>
              <c:idx val="3"/>
              <c:layout>
                <c:manualLayout>
                  <c:x val="2.2222222222222223E-2"/>
                  <c:y val="0"/>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'Eficiencia energética'!$A$49:$A$51</c:f>
              <c:strCache>
                <c:ptCount val="3"/>
                <c:pt idx="0">
                  <c:v>Se reutiliza algún residuo internamente</c:v>
                </c:pt>
                <c:pt idx="1">
                  <c:v>Se valoriza algún residuo fuera de la instalación</c:v>
                </c:pt>
                <c:pt idx="2">
                  <c:v>Existen propuestas para valorizar otros residuos</c:v>
                </c:pt>
              </c:strCache>
            </c:strRef>
          </c:cat>
          <c:val>
            <c:numRef>
              <c:f>'Eficiencia energética'!$T$49:$T$51</c:f>
              <c:numCache>
                <c:formatCode>0%</c:formatCode>
                <c:ptCount val="3"/>
                <c:pt idx="0">
                  <c:v>0</c:v>
                </c:pt>
                <c:pt idx="1">
                  <c:v>0.1</c:v>
                </c:pt>
                <c:pt idx="2">
                  <c:v>0.3</c:v>
                </c:pt>
              </c:numCache>
            </c:numRef>
          </c:val>
        </c:ser>
        <c:dLbls>
          <c:showLegendKey val="0"/>
          <c:showVal val="1"/>
          <c:showCatName val="0"/>
          <c:showSerName val="0"/>
          <c:showPercent val="0"/>
          <c:showBubbleSize val="0"/>
        </c:dLbls>
        <c:gapWidth val="150"/>
        <c:shape val="box"/>
        <c:axId val="324924928"/>
        <c:axId val="324926464"/>
        <c:axId val="0"/>
      </c:bar3DChart>
      <c:catAx>
        <c:axId val="324924928"/>
        <c:scaling>
          <c:orientation val="minMax"/>
        </c:scaling>
        <c:delete val="0"/>
        <c:axPos val="l"/>
        <c:majorTickMark val="none"/>
        <c:minorTickMark val="none"/>
        <c:tickLblPos val="nextTo"/>
        <c:txPr>
          <a:bodyPr/>
          <a:lstStyle/>
          <a:p>
            <a:pPr>
              <a:defRPr sz="800"/>
            </a:pPr>
            <a:endParaRPr lang="es-CL"/>
          </a:p>
        </c:txPr>
        <c:crossAx val="324926464"/>
        <c:crosses val="autoZero"/>
        <c:auto val="1"/>
        <c:lblAlgn val="ctr"/>
        <c:lblOffset val="100"/>
        <c:noMultiLvlLbl val="0"/>
      </c:catAx>
      <c:valAx>
        <c:axId val="324926464"/>
        <c:scaling>
          <c:orientation val="minMax"/>
        </c:scaling>
        <c:delete val="1"/>
        <c:axPos val="b"/>
        <c:numFmt formatCode="0%" sourceLinked="1"/>
        <c:majorTickMark val="out"/>
        <c:minorTickMark val="none"/>
        <c:tickLblPos val="nextTo"/>
        <c:crossAx val="324924928"/>
        <c:crosses val="autoZero"/>
        <c:crossBetween val="between"/>
      </c:valAx>
    </c:plotArea>
    <c:legend>
      <c:legendPos val="t"/>
      <c:overlay val="0"/>
      <c:txPr>
        <a:bodyPr/>
        <a:lstStyle/>
        <a:p>
          <a:pPr>
            <a:defRPr sz="700"/>
          </a:pPr>
          <a:endParaRPr lang="es-CL"/>
        </a:p>
      </c:txPr>
    </c:legend>
    <c:plotVisOnly val="1"/>
    <c:dispBlanksAs val="gap"/>
    <c:showDLblsOverMax val="0"/>
  </c:chart>
  <c:externalData r:id="rId1">
    <c:autoUpdate val="0"/>
  </c:externalData>
</c:chartSpace>
</file>

<file path=word/charts/chart51.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PYME: gestión de emisiones atmosféricas (%)</a:t>
            </a:r>
          </a:p>
        </c:rich>
      </c:tx>
      <c:layout>
        <c:manualLayout>
          <c:xMode val="edge"/>
          <c:yMode val="edge"/>
          <c:x val="0.13915495104476303"/>
          <c:y val="2.4571608316140164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52044537636596377"/>
          <c:y val="6.7580974796804694E-2"/>
          <c:w val="0.45356452318460194"/>
          <c:h val="0.86488375149108698"/>
        </c:manualLayout>
      </c:layout>
      <c:bar3DChart>
        <c:barDir val="bar"/>
        <c:grouping val="stacked"/>
        <c:varyColors val="0"/>
        <c:ser>
          <c:idx val="0"/>
          <c:order val="0"/>
          <c:tx>
            <c:strRef>
              <c:f>'Eficiencia energética'!$F$15</c:f>
              <c:strCache>
                <c:ptCount val="1"/>
                <c:pt idx="0">
                  <c:v>SI</c:v>
                </c:pt>
              </c:strCache>
            </c:strRef>
          </c:tx>
          <c:invertIfNegative val="0"/>
          <c:dLbls>
            <c:dLbl>
              <c:idx val="1"/>
              <c:delete val="1"/>
            </c:dLbl>
            <c:dLbl>
              <c:idx val="2"/>
              <c:layout>
                <c:manualLayout>
                  <c:x val="-1.0865110931071564E-2"/>
                  <c:y val="0"/>
                </c:manualLayout>
              </c:layout>
              <c:showLegendKey val="0"/>
              <c:showVal val="1"/>
              <c:showCatName val="0"/>
              <c:showSerName val="0"/>
              <c:showPercent val="0"/>
              <c:showBubbleSize val="0"/>
            </c:dLbl>
            <c:dLbl>
              <c:idx val="3"/>
              <c:layout>
                <c:manualLayout>
                  <c:x val="-1.0865110931071564E-2"/>
                  <c:y val="0"/>
                </c:manualLayout>
              </c:layout>
              <c:showLegendKey val="0"/>
              <c:showVal val="1"/>
              <c:showCatName val="0"/>
              <c:showSerName val="0"/>
              <c:showPercent val="0"/>
              <c:showBubbleSize val="0"/>
            </c:dLbl>
            <c:dLbl>
              <c:idx val="4"/>
              <c:delete val="1"/>
            </c:dLbl>
            <c:dLbl>
              <c:idx val="6"/>
              <c:delete val="1"/>
            </c:dLbl>
            <c:dLbl>
              <c:idx val="7"/>
              <c:delete val="1"/>
            </c:dLbl>
            <c:dLbl>
              <c:idx val="9"/>
              <c:delete val="1"/>
            </c:dLbl>
            <c:dLbl>
              <c:idx val="10"/>
              <c:delete val="1"/>
            </c:dLbl>
            <c:txPr>
              <a:bodyPr/>
              <a:lstStyle/>
              <a:p>
                <a:pPr>
                  <a:defRPr sz="700"/>
                </a:pPr>
                <a:endParaRPr lang="es-CL"/>
              </a:p>
            </c:txPr>
            <c:showLegendKey val="0"/>
            <c:showVal val="1"/>
            <c:showCatName val="0"/>
            <c:showSerName val="0"/>
            <c:showPercent val="0"/>
            <c:showBubbleSize val="0"/>
            <c:showLeaderLines val="0"/>
          </c:dLbls>
          <c:cat>
            <c:strRef>
              <c:f>'Eficiencia energética'!$A$90:$A$100</c:f>
              <c:strCache>
                <c:ptCount val="11"/>
                <c:pt idx="0">
                  <c:v>Genera emisiones atmosféricas</c:v>
                </c:pt>
                <c:pt idx="1">
                  <c:v>Cuenta con una caracterización de sus emisiones</c:v>
                </c:pt>
                <c:pt idx="2">
                  <c:v>Conoce la normativa ambiental aplicable a emisiones atmosféricas</c:v>
                </c:pt>
                <c:pt idx="3">
                  <c:v>Cumple la normativa ambiental aplicable a emisiones atmosféricas</c:v>
                </c:pt>
                <c:pt idx="4">
                  <c:v>Ha analizado el incluir alternativas de tecnologías de tratamiento</c:v>
                </c:pt>
                <c:pt idx="5">
                  <c:v>Ha implementado tecnologías de tratamiento</c:v>
                </c:pt>
                <c:pt idx="6">
                  <c:v>Cuenta con sistema de registro de emisiones</c:v>
                </c:pt>
                <c:pt idx="7">
                  <c:v>Cuenta con procedimientos para el control o tratamiento de emisiones.</c:v>
                </c:pt>
                <c:pt idx="8">
                  <c:v>Se utilizan materias insumos que generen menos emisiones de GEI (Gases efecto invernadero)</c:v>
                </c:pt>
                <c:pt idx="9">
                  <c:v>Se han mejorado etapas del proceso con el fin de generar menos emisiones GEI</c:v>
                </c:pt>
                <c:pt idx="10">
                  <c:v>Ha pensado en cambiar de combustible por uno menos contaminante en sus embarcaciones </c:v>
                </c:pt>
              </c:strCache>
            </c:strRef>
          </c:cat>
          <c:val>
            <c:numRef>
              <c:f>'Eficiencia energética'!$F$90:$F$100</c:f>
              <c:numCache>
                <c:formatCode>0%</c:formatCode>
                <c:ptCount val="11"/>
                <c:pt idx="0">
                  <c:v>0.61538461538461542</c:v>
                </c:pt>
                <c:pt idx="1">
                  <c:v>0</c:v>
                </c:pt>
                <c:pt idx="2">
                  <c:v>7.6923076923076927E-2</c:v>
                </c:pt>
                <c:pt idx="3">
                  <c:v>7.6923076923076927E-2</c:v>
                </c:pt>
                <c:pt idx="4">
                  <c:v>0.14285714285714285</c:v>
                </c:pt>
                <c:pt idx="5">
                  <c:v>0</c:v>
                </c:pt>
                <c:pt idx="6">
                  <c:v>0</c:v>
                </c:pt>
                <c:pt idx="7">
                  <c:v>0.15384615384615385</c:v>
                </c:pt>
                <c:pt idx="8">
                  <c:v>0</c:v>
                </c:pt>
                <c:pt idx="9">
                  <c:v>0</c:v>
                </c:pt>
                <c:pt idx="10">
                  <c:v>0.38461538461538464</c:v>
                </c:pt>
              </c:numCache>
            </c:numRef>
          </c:val>
        </c:ser>
        <c:ser>
          <c:idx val="1"/>
          <c:order val="1"/>
          <c:tx>
            <c:strRef>
              <c:f>'Eficiencia energética'!$G$15</c:f>
              <c:strCache>
                <c:ptCount val="1"/>
                <c:pt idx="0">
                  <c:v>NO</c:v>
                </c:pt>
              </c:strCache>
            </c:strRef>
          </c:tx>
          <c:invertIfNegative val="0"/>
          <c:dLbls>
            <c:dLbl>
              <c:idx val="3"/>
              <c:layout>
                <c:manualLayout>
                  <c:x val="1.9198308806985153E-2"/>
                  <c:y val="0"/>
                </c:manualLayout>
              </c:layout>
              <c:showLegendKey val="0"/>
              <c:showVal val="1"/>
              <c:showCatName val="0"/>
              <c:showSerName val="0"/>
              <c:showPercent val="0"/>
              <c:showBubbleSize val="0"/>
            </c:dLbl>
            <c:txPr>
              <a:bodyPr/>
              <a:lstStyle/>
              <a:p>
                <a:pPr>
                  <a:defRPr sz="700"/>
                </a:pPr>
                <a:endParaRPr lang="es-CL"/>
              </a:p>
            </c:txPr>
            <c:showLegendKey val="0"/>
            <c:showVal val="1"/>
            <c:showCatName val="0"/>
            <c:showSerName val="0"/>
            <c:showPercent val="0"/>
            <c:showBubbleSize val="0"/>
            <c:showLeaderLines val="0"/>
          </c:dLbls>
          <c:cat>
            <c:strRef>
              <c:f>'Eficiencia energética'!$A$90:$A$100</c:f>
              <c:strCache>
                <c:ptCount val="11"/>
                <c:pt idx="0">
                  <c:v>Genera emisiones atmosféricas</c:v>
                </c:pt>
                <c:pt idx="1">
                  <c:v>Cuenta con una caracterización de sus emisiones</c:v>
                </c:pt>
                <c:pt idx="2">
                  <c:v>Conoce la normativa ambiental aplicable a emisiones atmosféricas</c:v>
                </c:pt>
                <c:pt idx="3">
                  <c:v>Cumple la normativa ambiental aplicable a emisiones atmosféricas</c:v>
                </c:pt>
                <c:pt idx="4">
                  <c:v>Ha analizado el incluir alternativas de tecnologías de tratamiento</c:v>
                </c:pt>
                <c:pt idx="5">
                  <c:v>Ha implementado tecnologías de tratamiento</c:v>
                </c:pt>
                <c:pt idx="6">
                  <c:v>Cuenta con sistema de registro de emisiones</c:v>
                </c:pt>
                <c:pt idx="7">
                  <c:v>Cuenta con procedimientos para el control o tratamiento de emisiones.</c:v>
                </c:pt>
                <c:pt idx="8">
                  <c:v>Se utilizan materias insumos que generen menos emisiones de GEI (Gases efecto invernadero)</c:v>
                </c:pt>
                <c:pt idx="9">
                  <c:v>Se han mejorado etapas del proceso con el fin de generar menos emisiones GEI</c:v>
                </c:pt>
                <c:pt idx="10">
                  <c:v>Ha pensado en cambiar de combustible por uno menos contaminante en sus embarcaciones </c:v>
                </c:pt>
              </c:strCache>
            </c:strRef>
          </c:cat>
          <c:val>
            <c:numRef>
              <c:f>'Eficiencia energética'!$G$90:$G$100</c:f>
              <c:numCache>
                <c:formatCode>0%</c:formatCode>
                <c:ptCount val="11"/>
                <c:pt idx="0">
                  <c:v>0.38461538461538464</c:v>
                </c:pt>
                <c:pt idx="1">
                  <c:v>1</c:v>
                </c:pt>
                <c:pt idx="2">
                  <c:v>0.92307692307692313</c:v>
                </c:pt>
                <c:pt idx="3">
                  <c:v>7.6923076923076927E-2</c:v>
                </c:pt>
                <c:pt idx="4">
                  <c:v>0.8571428571428571</c:v>
                </c:pt>
                <c:pt idx="5">
                  <c:v>1</c:v>
                </c:pt>
                <c:pt idx="6">
                  <c:v>1</c:v>
                </c:pt>
                <c:pt idx="7">
                  <c:v>0.84615384615384615</c:v>
                </c:pt>
                <c:pt idx="8">
                  <c:v>0.84615384615384615</c:v>
                </c:pt>
                <c:pt idx="9">
                  <c:v>0.84615384615384615</c:v>
                </c:pt>
                <c:pt idx="10">
                  <c:v>0.61538461538461542</c:v>
                </c:pt>
              </c:numCache>
            </c:numRef>
          </c:val>
        </c:ser>
        <c:ser>
          <c:idx val="2"/>
          <c:order val="2"/>
          <c:tx>
            <c:strRef>
              <c:f>'Eficiencia energética'!$H$15</c:f>
              <c:strCache>
                <c:ptCount val="1"/>
                <c:pt idx="0">
                  <c:v> NO INFORMA</c:v>
                </c:pt>
              </c:strCache>
            </c:strRef>
          </c:tx>
          <c:invertIfNegative val="0"/>
          <c:dLbls>
            <c:delete val="1"/>
          </c:dLbls>
          <c:cat>
            <c:strRef>
              <c:f>'Eficiencia energética'!$A$90:$A$100</c:f>
              <c:strCache>
                <c:ptCount val="11"/>
                <c:pt idx="0">
                  <c:v>Genera emisiones atmosféricas</c:v>
                </c:pt>
                <c:pt idx="1">
                  <c:v>Cuenta con una caracterización de sus emisiones</c:v>
                </c:pt>
                <c:pt idx="2">
                  <c:v>Conoce la normativa ambiental aplicable a emisiones atmosféricas</c:v>
                </c:pt>
                <c:pt idx="3">
                  <c:v>Cumple la normativa ambiental aplicable a emisiones atmosféricas</c:v>
                </c:pt>
                <c:pt idx="4">
                  <c:v>Ha analizado el incluir alternativas de tecnologías de tratamiento</c:v>
                </c:pt>
                <c:pt idx="5">
                  <c:v>Ha implementado tecnologías de tratamiento</c:v>
                </c:pt>
                <c:pt idx="6">
                  <c:v>Cuenta con sistema de registro de emisiones</c:v>
                </c:pt>
                <c:pt idx="7">
                  <c:v>Cuenta con procedimientos para el control o tratamiento de emisiones.</c:v>
                </c:pt>
                <c:pt idx="8">
                  <c:v>Se utilizan materias insumos que generen menos emisiones de GEI (Gases efecto invernadero)</c:v>
                </c:pt>
                <c:pt idx="9">
                  <c:v>Se han mejorado etapas del proceso con el fin de generar menos emisiones GEI</c:v>
                </c:pt>
                <c:pt idx="10">
                  <c:v>Ha pensado en cambiar de combustible por uno menos contaminante en sus embarcaciones </c:v>
                </c:pt>
              </c:strCache>
            </c:strRef>
          </c:cat>
          <c:val>
            <c:numRef>
              <c:f>'Eficiencia energética'!$H$90:$H$100</c:f>
              <c:numCache>
                <c:formatCode>0%</c:formatCode>
                <c:ptCount val="11"/>
                <c:pt idx="0">
                  <c:v>0</c:v>
                </c:pt>
                <c:pt idx="1">
                  <c:v>0</c:v>
                </c:pt>
                <c:pt idx="2">
                  <c:v>0</c:v>
                </c:pt>
                <c:pt idx="3">
                  <c:v>0</c:v>
                </c:pt>
                <c:pt idx="4">
                  <c:v>0</c:v>
                </c:pt>
                <c:pt idx="5">
                  <c:v>0</c:v>
                </c:pt>
                <c:pt idx="6">
                  <c:v>0</c:v>
                </c:pt>
                <c:pt idx="7">
                  <c:v>0</c:v>
                </c:pt>
                <c:pt idx="8">
                  <c:v>0</c:v>
                </c:pt>
                <c:pt idx="9">
                  <c:v>0</c:v>
                </c:pt>
                <c:pt idx="10">
                  <c:v>0</c:v>
                </c:pt>
              </c:numCache>
            </c:numRef>
          </c:val>
        </c:ser>
        <c:ser>
          <c:idx val="3"/>
          <c:order val="3"/>
          <c:tx>
            <c:strRef>
              <c:f>'Eficiencia energética'!$I$15</c:f>
              <c:strCache>
                <c:ptCount val="1"/>
                <c:pt idx="0">
                  <c:v> NO SABE</c:v>
                </c:pt>
              </c:strCache>
            </c:strRef>
          </c:tx>
          <c:invertIfNegative val="0"/>
          <c:dLbls>
            <c:dLbl>
              <c:idx val="0"/>
              <c:delete val="1"/>
            </c:dLbl>
            <c:dLbl>
              <c:idx val="1"/>
              <c:delete val="1"/>
            </c:dLbl>
            <c:dLbl>
              <c:idx val="2"/>
              <c:delete val="1"/>
            </c:dLbl>
            <c:dLbl>
              <c:idx val="4"/>
              <c:delete val="1"/>
            </c:dLbl>
            <c:dLbl>
              <c:idx val="5"/>
              <c:delete val="1"/>
            </c:dLbl>
            <c:dLbl>
              <c:idx val="6"/>
              <c:delete val="1"/>
            </c:dLbl>
            <c:dLbl>
              <c:idx val="7"/>
              <c:delete val="1"/>
            </c:dLbl>
            <c:dLbl>
              <c:idx val="8"/>
              <c:delete val="1"/>
            </c:dLbl>
            <c:dLbl>
              <c:idx val="11"/>
              <c:delete val="1"/>
            </c:dLbl>
            <c:txPr>
              <a:bodyPr/>
              <a:lstStyle/>
              <a:p>
                <a:pPr>
                  <a:defRPr sz="700"/>
                </a:pPr>
                <a:endParaRPr lang="es-CL"/>
              </a:p>
            </c:txPr>
            <c:showLegendKey val="0"/>
            <c:showVal val="1"/>
            <c:showCatName val="0"/>
            <c:showSerName val="0"/>
            <c:showPercent val="0"/>
            <c:showBubbleSize val="0"/>
            <c:showLeaderLines val="0"/>
          </c:dLbls>
          <c:cat>
            <c:strRef>
              <c:f>'Eficiencia energética'!$A$90:$A$100</c:f>
              <c:strCache>
                <c:ptCount val="11"/>
                <c:pt idx="0">
                  <c:v>Genera emisiones atmosféricas</c:v>
                </c:pt>
                <c:pt idx="1">
                  <c:v>Cuenta con una caracterización de sus emisiones</c:v>
                </c:pt>
                <c:pt idx="2">
                  <c:v>Conoce la normativa ambiental aplicable a emisiones atmosféricas</c:v>
                </c:pt>
                <c:pt idx="3">
                  <c:v>Cumple la normativa ambiental aplicable a emisiones atmosféricas</c:v>
                </c:pt>
                <c:pt idx="4">
                  <c:v>Ha analizado el incluir alternativas de tecnologías de tratamiento</c:v>
                </c:pt>
                <c:pt idx="5">
                  <c:v>Ha implementado tecnologías de tratamiento</c:v>
                </c:pt>
                <c:pt idx="6">
                  <c:v>Cuenta con sistema de registro de emisiones</c:v>
                </c:pt>
                <c:pt idx="7">
                  <c:v>Cuenta con procedimientos para el control o tratamiento de emisiones.</c:v>
                </c:pt>
                <c:pt idx="8">
                  <c:v>Se utilizan materias insumos que generen menos emisiones de GEI (Gases efecto invernadero)</c:v>
                </c:pt>
                <c:pt idx="9">
                  <c:v>Se han mejorado etapas del proceso con el fin de generar menos emisiones GEI</c:v>
                </c:pt>
                <c:pt idx="10">
                  <c:v>Ha pensado en cambiar de combustible por uno menos contaminante en sus embarcaciones </c:v>
                </c:pt>
              </c:strCache>
            </c:strRef>
          </c:cat>
          <c:val>
            <c:numRef>
              <c:f>'Eficiencia energética'!$I$90:$I$100</c:f>
              <c:numCache>
                <c:formatCode>0%</c:formatCode>
                <c:ptCount val="11"/>
                <c:pt idx="0">
                  <c:v>0</c:v>
                </c:pt>
                <c:pt idx="1">
                  <c:v>0</c:v>
                </c:pt>
                <c:pt idx="2">
                  <c:v>0</c:v>
                </c:pt>
                <c:pt idx="3">
                  <c:v>0.84615384615384615</c:v>
                </c:pt>
                <c:pt idx="4">
                  <c:v>0</c:v>
                </c:pt>
                <c:pt idx="5">
                  <c:v>0</c:v>
                </c:pt>
                <c:pt idx="6">
                  <c:v>0</c:v>
                </c:pt>
                <c:pt idx="7">
                  <c:v>0</c:v>
                </c:pt>
                <c:pt idx="8">
                  <c:v>0.15384615384615385</c:v>
                </c:pt>
                <c:pt idx="9">
                  <c:v>0.15384615384615385</c:v>
                </c:pt>
                <c:pt idx="10">
                  <c:v>0</c:v>
                </c:pt>
              </c:numCache>
            </c:numRef>
          </c:val>
        </c:ser>
        <c:dLbls>
          <c:showLegendKey val="0"/>
          <c:showVal val="1"/>
          <c:showCatName val="0"/>
          <c:showSerName val="0"/>
          <c:showPercent val="0"/>
          <c:showBubbleSize val="0"/>
        </c:dLbls>
        <c:gapWidth val="95"/>
        <c:gapDepth val="95"/>
        <c:shape val="box"/>
        <c:axId val="325233664"/>
        <c:axId val="352998144"/>
        <c:axId val="0"/>
      </c:bar3DChart>
      <c:catAx>
        <c:axId val="325233664"/>
        <c:scaling>
          <c:orientation val="minMax"/>
        </c:scaling>
        <c:delete val="0"/>
        <c:axPos val="l"/>
        <c:majorTickMark val="none"/>
        <c:minorTickMark val="none"/>
        <c:tickLblPos val="nextTo"/>
        <c:txPr>
          <a:bodyPr/>
          <a:lstStyle/>
          <a:p>
            <a:pPr>
              <a:defRPr sz="700"/>
            </a:pPr>
            <a:endParaRPr lang="es-CL"/>
          </a:p>
        </c:txPr>
        <c:crossAx val="352998144"/>
        <c:crosses val="autoZero"/>
        <c:auto val="1"/>
        <c:lblAlgn val="ctr"/>
        <c:lblOffset val="100"/>
        <c:noMultiLvlLbl val="0"/>
      </c:catAx>
      <c:valAx>
        <c:axId val="352998144"/>
        <c:scaling>
          <c:orientation val="minMax"/>
        </c:scaling>
        <c:delete val="1"/>
        <c:axPos val="b"/>
        <c:numFmt formatCode="0%" sourceLinked="1"/>
        <c:majorTickMark val="out"/>
        <c:minorTickMark val="none"/>
        <c:tickLblPos val="nextTo"/>
        <c:crossAx val="325233664"/>
        <c:crosses val="autoZero"/>
        <c:crossBetween val="between"/>
      </c:valAx>
    </c:plotArea>
    <c:legend>
      <c:legendPos val="t"/>
      <c:layout>
        <c:manualLayout>
          <c:xMode val="edge"/>
          <c:yMode val="edge"/>
          <c:x val="0.19145115781822522"/>
          <c:y val="5.7450823434002929E-2"/>
          <c:w val="0.62859448818897634"/>
          <c:h val="4.2749196264180438E-2"/>
        </c:manualLayout>
      </c:layout>
      <c:overlay val="0"/>
      <c:txPr>
        <a:bodyPr/>
        <a:lstStyle/>
        <a:p>
          <a:pPr>
            <a:defRPr sz="650"/>
          </a:pPr>
          <a:endParaRPr lang="es-CL"/>
        </a:p>
      </c:txPr>
    </c:legend>
    <c:plotVisOnly val="1"/>
    <c:dispBlanksAs val="gap"/>
    <c:showDLblsOverMax val="0"/>
  </c:chart>
  <c:txPr>
    <a:bodyPr/>
    <a:lstStyle/>
    <a:p>
      <a:pPr>
        <a:defRPr sz="800"/>
      </a:pPr>
      <a:endParaRPr lang="es-CL"/>
    </a:p>
  </c:txPr>
  <c:externalData r:id="rId1">
    <c:autoUpdate val="0"/>
  </c:externalData>
</c:chartSpace>
</file>

<file path=word/charts/chart52.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PYME: gestión de emisiones atmosféricas (%)</a:t>
            </a:r>
          </a:p>
        </c:rich>
      </c:tx>
      <c:layout>
        <c:manualLayout>
          <c:xMode val="edge"/>
          <c:yMode val="edge"/>
          <c:x val="0.13915495104476303"/>
          <c:y val="2.4571608316140164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52044537636596377"/>
          <c:y val="5.9560465463535925E-2"/>
          <c:w val="0.45356452318460194"/>
          <c:h val="0.87849363285993987"/>
        </c:manualLayout>
      </c:layout>
      <c:bar3DChart>
        <c:barDir val="bar"/>
        <c:grouping val="stacked"/>
        <c:varyColors val="0"/>
        <c:ser>
          <c:idx val="0"/>
          <c:order val="0"/>
          <c:tx>
            <c:strRef>
              <c:f>'Eficiencia energética'!$V$15</c:f>
              <c:strCache>
                <c:ptCount val="1"/>
                <c:pt idx="0">
                  <c:v>SI</c:v>
                </c:pt>
              </c:strCache>
            </c:strRef>
          </c:tx>
          <c:invertIfNegative val="0"/>
          <c:dLbls>
            <c:dLbl>
              <c:idx val="1"/>
              <c:delete val="1"/>
            </c:dLbl>
            <c:dLbl>
              <c:idx val="3"/>
              <c:delete val="1"/>
            </c:dLbl>
            <c:dLbl>
              <c:idx val="4"/>
              <c:delete val="1"/>
            </c:dLbl>
            <c:dLbl>
              <c:idx val="5"/>
              <c:delete val="1"/>
            </c:dLbl>
            <c:dLbl>
              <c:idx val="6"/>
              <c:delete val="1"/>
            </c:dLbl>
            <c:dLbl>
              <c:idx val="7"/>
              <c:delete val="1"/>
            </c:dLbl>
            <c:dLbl>
              <c:idx val="8"/>
              <c:delete val="1"/>
            </c:dLbl>
            <c:txPr>
              <a:bodyPr/>
              <a:lstStyle/>
              <a:p>
                <a:pPr>
                  <a:defRPr sz="700"/>
                </a:pPr>
                <a:endParaRPr lang="es-CL"/>
              </a:p>
            </c:txPr>
            <c:showLegendKey val="0"/>
            <c:showVal val="1"/>
            <c:showCatName val="0"/>
            <c:showSerName val="0"/>
            <c:showPercent val="0"/>
            <c:showBubbleSize val="0"/>
            <c:showLeaderLines val="0"/>
          </c:dLbls>
          <c:cat>
            <c:strRef>
              <c:f>'Eficiencia energética'!$A$90:$A$101</c:f>
              <c:strCache>
                <c:ptCount val="12"/>
                <c:pt idx="0">
                  <c:v>Genera emisiones atmosféricas</c:v>
                </c:pt>
                <c:pt idx="1">
                  <c:v>Cuenta con una caracterización de sus emisiones</c:v>
                </c:pt>
                <c:pt idx="2">
                  <c:v>Conoce la normativa ambiental aplicable a emisiones atmosféricas</c:v>
                </c:pt>
                <c:pt idx="3">
                  <c:v>Cumple la normativa ambiental aplicable a emisiones atmosféricas</c:v>
                </c:pt>
                <c:pt idx="4">
                  <c:v>Realiza la declaración de emisiones exigida en el DS 138 “Establece la Obligación de Declarar Emisiones”</c:v>
                </c:pt>
                <c:pt idx="5">
                  <c:v>Ha analizado el incluir alternativas de tecnologías de tratamiento</c:v>
                </c:pt>
                <c:pt idx="6">
                  <c:v>Ha implementado tecnologías de tratamiento</c:v>
                </c:pt>
                <c:pt idx="7">
                  <c:v>Cuenta con sistema de registro de emisiones</c:v>
                </c:pt>
                <c:pt idx="8">
                  <c:v>Cuenta con procedimientos para el control o tratamiento de emisiones.</c:v>
                </c:pt>
                <c:pt idx="9">
                  <c:v>Se utilizan materias insumos que generen menos emisiones de GEI (Gases efecto invernadero)</c:v>
                </c:pt>
                <c:pt idx="10">
                  <c:v>Se han mejorado etapas del proceso con el fin de generar menos emisiones GEI</c:v>
                </c:pt>
                <c:pt idx="11">
                  <c:v>Ha pensado en cambiar de combustible por uno menos contaminante en sus embarcaciones </c:v>
                </c:pt>
              </c:strCache>
            </c:strRef>
          </c:cat>
          <c:val>
            <c:numRef>
              <c:f>'Eficiencia energética'!$V$90:$V$101</c:f>
              <c:numCache>
                <c:formatCode>0%</c:formatCode>
                <c:ptCount val="12"/>
                <c:pt idx="0">
                  <c:v>0.5</c:v>
                </c:pt>
                <c:pt idx="1">
                  <c:v>0</c:v>
                </c:pt>
                <c:pt idx="2">
                  <c:v>0.1</c:v>
                </c:pt>
                <c:pt idx="3">
                  <c:v>0</c:v>
                </c:pt>
                <c:pt idx="4">
                  <c:v>0</c:v>
                </c:pt>
                <c:pt idx="5">
                  <c:v>0</c:v>
                </c:pt>
                <c:pt idx="6">
                  <c:v>0</c:v>
                </c:pt>
                <c:pt idx="7">
                  <c:v>0</c:v>
                </c:pt>
                <c:pt idx="8">
                  <c:v>0</c:v>
                </c:pt>
                <c:pt idx="9">
                  <c:v>0.3</c:v>
                </c:pt>
                <c:pt idx="10">
                  <c:v>0.2</c:v>
                </c:pt>
                <c:pt idx="11">
                  <c:v>0.4</c:v>
                </c:pt>
              </c:numCache>
            </c:numRef>
          </c:val>
        </c:ser>
        <c:ser>
          <c:idx val="1"/>
          <c:order val="1"/>
          <c:tx>
            <c:strRef>
              <c:f>'Eficiencia energética'!$W$15</c:f>
              <c:strCache>
                <c:ptCount val="1"/>
                <c:pt idx="0">
                  <c:v>NO</c:v>
                </c:pt>
              </c:strCache>
            </c:strRef>
          </c:tx>
          <c:invertIfNegative val="0"/>
          <c:dLbls>
            <c:dLbl>
              <c:idx val="0"/>
              <c:delete val="1"/>
            </c:dLbl>
            <c:dLbl>
              <c:idx val="3"/>
              <c:layout>
                <c:manualLayout>
                  <c:x val="-7.9731773399280401E-4"/>
                  <c:y val="0"/>
                </c:manualLayout>
              </c:layout>
              <c:showLegendKey val="0"/>
              <c:showVal val="1"/>
              <c:showCatName val="0"/>
              <c:showSerName val="0"/>
              <c:showPercent val="0"/>
              <c:showBubbleSize val="0"/>
            </c:dLbl>
            <c:dLbl>
              <c:idx val="9"/>
              <c:layout>
                <c:manualLayout>
                  <c:x val="1.3696035015836631E-2"/>
                  <c:y val="0"/>
                </c:manualLayout>
              </c:layout>
              <c:showLegendKey val="0"/>
              <c:showVal val="1"/>
              <c:showCatName val="0"/>
              <c:showSerName val="0"/>
              <c:showPercent val="0"/>
              <c:showBubbleSize val="0"/>
            </c:dLbl>
            <c:txPr>
              <a:bodyPr/>
              <a:lstStyle/>
              <a:p>
                <a:pPr>
                  <a:defRPr sz="700"/>
                </a:pPr>
                <a:endParaRPr lang="es-CL"/>
              </a:p>
            </c:txPr>
            <c:showLegendKey val="0"/>
            <c:showVal val="1"/>
            <c:showCatName val="0"/>
            <c:showSerName val="0"/>
            <c:showPercent val="0"/>
            <c:showBubbleSize val="0"/>
            <c:showLeaderLines val="0"/>
          </c:dLbls>
          <c:cat>
            <c:strRef>
              <c:f>'Eficiencia energética'!$A$90:$A$101</c:f>
              <c:strCache>
                <c:ptCount val="12"/>
                <c:pt idx="0">
                  <c:v>Genera emisiones atmosféricas</c:v>
                </c:pt>
                <c:pt idx="1">
                  <c:v>Cuenta con una caracterización de sus emisiones</c:v>
                </c:pt>
                <c:pt idx="2">
                  <c:v>Conoce la normativa ambiental aplicable a emisiones atmosféricas</c:v>
                </c:pt>
                <c:pt idx="3">
                  <c:v>Cumple la normativa ambiental aplicable a emisiones atmosféricas</c:v>
                </c:pt>
                <c:pt idx="4">
                  <c:v>Realiza la declaración de emisiones exigida en el DS 138 “Establece la Obligación de Declarar Emisiones”</c:v>
                </c:pt>
                <c:pt idx="5">
                  <c:v>Ha analizado el incluir alternativas de tecnologías de tratamiento</c:v>
                </c:pt>
                <c:pt idx="6">
                  <c:v>Ha implementado tecnologías de tratamiento</c:v>
                </c:pt>
                <c:pt idx="7">
                  <c:v>Cuenta con sistema de registro de emisiones</c:v>
                </c:pt>
                <c:pt idx="8">
                  <c:v>Cuenta con procedimientos para el control o tratamiento de emisiones.</c:v>
                </c:pt>
                <c:pt idx="9">
                  <c:v>Se utilizan materias insumos que generen menos emisiones de GEI (Gases efecto invernadero)</c:v>
                </c:pt>
                <c:pt idx="10">
                  <c:v>Se han mejorado etapas del proceso con el fin de generar menos emisiones GEI</c:v>
                </c:pt>
                <c:pt idx="11">
                  <c:v>Ha pensado en cambiar de combustible por uno menos contaminante en sus embarcaciones </c:v>
                </c:pt>
              </c:strCache>
            </c:strRef>
          </c:cat>
          <c:val>
            <c:numRef>
              <c:f>'Eficiencia energética'!$W$90:$W$101</c:f>
              <c:numCache>
                <c:formatCode>0%</c:formatCode>
                <c:ptCount val="12"/>
                <c:pt idx="0">
                  <c:v>0</c:v>
                </c:pt>
                <c:pt idx="1">
                  <c:v>0.6</c:v>
                </c:pt>
                <c:pt idx="2">
                  <c:v>0.5</c:v>
                </c:pt>
                <c:pt idx="3">
                  <c:v>0.1</c:v>
                </c:pt>
                <c:pt idx="4">
                  <c:v>0.4</c:v>
                </c:pt>
                <c:pt idx="5">
                  <c:v>0.4</c:v>
                </c:pt>
                <c:pt idx="6">
                  <c:v>0.6</c:v>
                </c:pt>
                <c:pt idx="7">
                  <c:v>0.6</c:v>
                </c:pt>
                <c:pt idx="8">
                  <c:v>0.6</c:v>
                </c:pt>
                <c:pt idx="9">
                  <c:v>0.1</c:v>
                </c:pt>
                <c:pt idx="10">
                  <c:v>0.3</c:v>
                </c:pt>
                <c:pt idx="11">
                  <c:v>0.3</c:v>
                </c:pt>
              </c:numCache>
            </c:numRef>
          </c:val>
        </c:ser>
        <c:ser>
          <c:idx val="2"/>
          <c:order val="2"/>
          <c:tx>
            <c:strRef>
              <c:f>'Eficiencia energética'!$X$15</c:f>
              <c:strCache>
                <c:ptCount val="1"/>
                <c:pt idx="0">
                  <c:v> NO INFORMA</c:v>
                </c:pt>
              </c:strCache>
            </c:strRef>
          </c:tx>
          <c:invertIfNegative val="0"/>
          <c:dLbls>
            <c:dLbl>
              <c:idx val="3"/>
              <c:layout>
                <c:manualLayout>
                  <c:x val="1.3696035015836798E-2"/>
                  <c:y val="0"/>
                </c:manualLayout>
              </c:layout>
              <c:showLegendKey val="0"/>
              <c:showVal val="1"/>
              <c:showCatName val="0"/>
              <c:showSerName val="0"/>
              <c:showPercent val="0"/>
              <c:showBubbleSize val="0"/>
            </c:dLbl>
            <c:dLbl>
              <c:idx val="9"/>
              <c:layout>
                <c:manualLayout>
                  <c:x val="2.2826725026394525E-2"/>
                  <c:y val="0"/>
                </c:manualLayout>
              </c:layout>
              <c:showLegendKey val="0"/>
              <c:showVal val="1"/>
              <c:showCatName val="0"/>
              <c:showSerName val="0"/>
              <c:showPercent val="0"/>
              <c:showBubbleSize val="0"/>
            </c:dLbl>
            <c:txPr>
              <a:bodyPr/>
              <a:lstStyle/>
              <a:p>
                <a:pPr>
                  <a:defRPr sz="700"/>
                </a:pPr>
                <a:endParaRPr lang="es-CL"/>
              </a:p>
            </c:txPr>
            <c:showLegendKey val="0"/>
            <c:showVal val="1"/>
            <c:showCatName val="0"/>
            <c:showSerName val="0"/>
            <c:showPercent val="0"/>
            <c:showBubbleSize val="0"/>
            <c:showLeaderLines val="0"/>
          </c:dLbls>
          <c:cat>
            <c:strRef>
              <c:f>'Eficiencia energética'!$A$90:$A$101</c:f>
              <c:strCache>
                <c:ptCount val="12"/>
                <c:pt idx="0">
                  <c:v>Genera emisiones atmosféricas</c:v>
                </c:pt>
                <c:pt idx="1">
                  <c:v>Cuenta con una caracterización de sus emisiones</c:v>
                </c:pt>
                <c:pt idx="2">
                  <c:v>Conoce la normativa ambiental aplicable a emisiones atmosféricas</c:v>
                </c:pt>
                <c:pt idx="3">
                  <c:v>Cumple la normativa ambiental aplicable a emisiones atmosféricas</c:v>
                </c:pt>
                <c:pt idx="4">
                  <c:v>Realiza la declaración de emisiones exigida en el DS 138 “Establece la Obligación de Declarar Emisiones”</c:v>
                </c:pt>
                <c:pt idx="5">
                  <c:v>Ha analizado el incluir alternativas de tecnologías de tratamiento</c:v>
                </c:pt>
                <c:pt idx="6">
                  <c:v>Ha implementado tecnologías de tratamiento</c:v>
                </c:pt>
                <c:pt idx="7">
                  <c:v>Cuenta con sistema de registro de emisiones</c:v>
                </c:pt>
                <c:pt idx="8">
                  <c:v>Cuenta con procedimientos para el control o tratamiento de emisiones.</c:v>
                </c:pt>
                <c:pt idx="9">
                  <c:v>Se utilizan materias insumos que generen menos emisiones de GEI (Gases efecto invernadero)</c:v>
                </c:pt>
                <c:pt idx="10">
                  <c:v>Se han mejorado etapas del proceso con el fin de generar menos emisiones GEI</c:v>
                </c:pt>
                <c:pt idx="11">
                  <c:v>Ha pensado en cambiar de combustible por uno menos contaminante en sus embarcaciones </c:v>
                </c:pt>
              </c:strCache>
            </c:strRef>
          </c:cat>
          <c:val>
            <c:numRef>
              <c:f>'Eficiencia energética'!$X$90:$X$101</c:f>
              <c:numCache>
                <c:formatCode>0%</c:formatCode>
                <c:ptCount val="12"/>
                <c:pt idx="0">
                  <c:v>0.3</c:v>
                </c:pt>
                <c:pt idx="1">
                  <c:v>0.3</c:v>
                </c:pt>
                <c:pt idx="2">
                  <c:v>0.3</c:v>
                </c:pt>
                <c:pt idx="3">
                  <c:v>0.3</c:v>
                </c:pt>
                <c:pt idx="4">
                  <c:v>0.3</c:v>
                </c:pt>
                <c:pt idx="5">
                  <c:v>0.4</c:v>
                </c:pt>
                <c:pt idx="6">
                  <c:v>0.3</c:v>
                </c:pt>
                <c:pt idx="7">
                  <c:v>0.3</c:v>
                </c:pt>
                <c:pt idx="8">
                  <c:v>0.3</c:v>
                </c:pt>
                <c:pt idx="9">
                  <c:v>0.3</c:v>
                </c:pt>
                <c:pt idx="10">
                  <c:v>0.3</c:v>
                </c:pt>
                <c:pt idx="11">
                  <c:v>0.3</c:v>
                </c:pt>
              </c:numCache>
            </c:numRef>
          </c:val>
        </c:ser>
        <c:ser>
          <c:idx val="3"/>
          <c:order val="3"/>
          <c:tx>
            <c:strRef>
              <c:f>'Eficiencia energética'!$Y$15</c:f>
              <c:strCache>
                <c:ptCount val="1"/>
                <c:pt idx="0">
                  <c:v> NO SABE</c:v>
                </c:pt>
              </c:strCache>
            </c:strRef>
          </c:tx>
          <c:invertIfNegative val="0"/>
          <c:dLbls>
            <c:dLbl>
              <c:idx val="0"/>
              <c:layout>
                <c:manualLayout>
                  <c:x val="2.1730221862143229E-2"/>
                  <c:y val="1.1269489701795675E-16"/>
                </c:manualLayout>
              </c:layout>
              <c:showLegendKey val="0"/>
              <c:showVal val="1"/>
              <c:showCatName val="0"/>
              <c:showSerName val="0"/>
              <c:showPercent val="0"/>
              <c:showBubbleSize val="0"/>
            </c:dLbl>
            <c:dLbl>
              <c:idx val="1"/>
              <c:layout>
                <c:manualLayout>
                  <c:x val="2.2826725026394525E-2"/>
                  <c:y val="0"/>
                </c:manualLayout>
              </c:layout>
              <c:showLegendKey val="0"/>
              <c:showVal val="1"/>
              <c:showCatName val="0"/>
              <c:showSerName val="0"/>
              <c:showPercent val="0"/>
              <c:showBubbleSize val="0"/>
            </c:dLbl>
            <c:dLbl>
              <c:idx val="2"/>
              <c:layout>
                <c:manualLayout>
                  <c:x val="1.3696035015836714E-2"/>
                  <c:y val="0"/>
                </c:manualLayout>
              </c:layout>
              <c:showLegendKey val="0"/>
              <c:showVal val="1"/>
              <c:showCatName val="0"/>
              <c:showSerName val="0"/>
              <c:showPercent val="0"/>
              <c:showBubbleSize val="0"/>
            </c:dLbl>
            <c:dLbl>
              <c:idx val="6"/>
              <c:layout>
                <c:manualLayout>
                  <c:x val="1.3696035015836714E-2"/>
                  <c:y val="0"/>
                </c:manualLayout>
              </c:layout>
              <c:showLegendKey val="0"/>
              <c:showVal val="1"/>
              <c:showCatName val="0"/>
              <c:showSerName val="0"/>
              <c:showPercent val="0"/>
              <c:showBubbleSize val="0"/>
            </c:dLbl>
            <c:dLbl>
              <c:idx val="7"/>
              <c:layout>
                <c:manualLayout>
                  <c:x val="1.826138002111562E-2"/>
                  <c:y val="0"/>
                </c:manualLayout>
              </c:layout>
              <c:showLegendKey val="0"/>
              <c:showVal val="1"/>
              <c:showCatName val="0"/>
              <c:showSerName val="0"/>
              <c:showPercent val="0"/>
              <c:showBubbleSize val="0"/>
            </c:dLbl>
            <c:dLbl>
              <c:idx val="8"/>
              <c:layout>
                <c:manualLayout>
                  <c:x val="1.826138002111562E-2"/>
                  <c:y val="0"/>
                </c:manualLayout>
              </c:layout>
              <c:showLegendKey val="0"/>
              <c:showVal val="1"/>
              <c:showCatName val="0"/>
              <c:showSerName val="0"/>
              <c:showPercent val="0"/>
              <c:showBubbleSize val="0"/>
            </c:dLbl>
            <c:dLbl>
              <c:idx val="10"/>
              <c:layout>
                <c:manualLayout>
                  <c:x val="1.3696035015836714E-2"/>
                  <c:y val="0"/>
                </c:manualLayout>
              </c:layout>
              <c:showLegendKey val="0"/>
              <c:showVal val="1"/>
              <c:showCatName val="0"/>
              <c:showSerName val="0"/>
              <c:showPercent val="0"/>
              <c:showBubbleSize val="0"/>
            </c:dLbl>
            <c:dLbl>
              <c:idx val="11"/>
              <c:delete val="1"/>
            </c:dLbl>
            <c:txPr>
              <a:bodyPr/>
              <a:lstStyle/>
              <a:p>
                <a:pPr>
                  <a:defRPr sz="700"/>
                </a:pPr>
                <a:endParaRPr lang="es-CL"/>
              </a:p>
            </c:txPr>
            <c:showLegendKey val="0"/>
            <c:showVal val="1"/>
            <c:showCatName val="0"/>
            <c:showSerName val="0"/>
            <c:showPercent val="0"/>
            <c:showBubbleSize val="0"/>
            <c:showLeaderLines val="0"/>
          </c:dLbls>
          <c:cat>
            <c:strRef>
              <c:f>'Eficiencia energética'!$A$90:$A$101</c:f>
              <c:strCache>
                <c:ptCount val="12"/>
                <c:pt idx="0">
                  <c:v>Genera emisiones atmosféricas</c:v>
                </c:pt>
                <c:pt idx="1">
                  <c:v>Cuenta con una caracterización de sus emisiones</c:v>
                </c:pt>
                <c:pt idx="2">
                  <c:v>Conoce la normativa ambiental aplicable a emisiones atmosféricas</c:v>
                </c:pt>
                <c:pt idx="3">
                  <c:v>Cumple la normativa ambiental aplicable a emisiones atmosféricas</c:v>
                </c:pt>
                <c:pt idx="4">
                  <c:v>Realiza la declaración de emisiones exigida en el DS 138 “Establece la Obligación de Declarar Emisiones”</c:v>
                </c:pt>
                <c:pt idx="5">
                  <c:v>Ha analizado el incluir alternativas de tecnologías de tratamiento</c:v>
                </c:pt>
                <c:pt idx="6">
                  <c:v>Ha implementado tecnologías de tratamiento</c:v>
                </c:pt>
                <c:pt idx="7">
                  <c:v>Cuenta con sistema de registro de emisiones</c:v>
                </c:pt>
                <c:pt idx="8">
                  <c:v>Cuenta con procedimientos para el control o tratamiento de emisiones.</c:v>
                </c:pt>
                <c:pt idx="9">
                  <c:v>Se utilizan materias insumos que generen menos emisiones de GEI (Gases efecto invernadero)</c:v>
                </c:pt>
                <c:pt idx="10">
                  <c:v>Se han mejorado etapas del proceso con el fin de generar menos emisiones GEI</c:v>
                </c:pt>
                <c:pt idx="11">
                  <c:v>Ha pensado en cambiar de combustible por uno menos contaminante en sus embarcaciones </c:v>
                </c:pt>
              </c:strCache>
            </c:strRef>
          </c:cat>
          <c:val>
            <c:numRef>
              <c:f>'Eficiencia energética'!$Y$90:$Y$101</c:f>
              <c:numCache>
                <c:formatCode>0%</c:formatCode>
                <c:ptCount val="12"/>
                <c:pt idx="0">
                  <c:v>0.2</c:v>
                </c:pt>
                <c:pt idx="1">
                  <c:v>0.1</c:v>
                </c:pt>
                <c:pt idx="2">
                  <c:v>0.1</c:v>
                </c:pt>
                <c:pt idx="3">
                  <c:v>0.6</c:v>
                </c:pt>
                <c:pt idx="4">
                  <c:v>0.3</c:v>
                </c:pt>
                <c:pt idx="5">
                  <c:v>0.2</c:v>
                </c:pt>
                <c:pt idx="6">
                  <c:v>0.1</c:v>
                </c:pt>
                <c:pt idx="7">
                  <c:v>0.1</c:v>
                </c:pt>
                <c:pt idx="8">
                  <c:v>0.1</c:v>
                </c:pt>
                <c:pt idx="9">
                  <c:v>0.3</c:v>
                </c:pt>
                <c:pt idx="10">
                  <c:v>0.2</c:v>
                </c:pt>
                <c:pt idx="11">
                  <c:v>0</c:v>
                </c:pt>
              </c:numCache>
            </c:numRef>
          </c:val>
        </c:ser>
        <c:dLbls>
          <c:showLegendKey val="0"/>
          <c:showVal val="1"/>
          <c:showCatName val="0"/>
          <c:showSerName val="0"/>
          <c:showPercent val="0"/>
          <c:showBubbleSize val="0"/>
        </c:dLbls>
        <c:gapWidth val="95"/>
        <c:gapDepth val="95"/>
        <c:shape val="box"/>
        <c:axId val="353195136"/>
        <c:axId val="353196672"/>
        <c:axId val="0"/>
      </c:bar3DChart>
      <c:catAx>
        <c:axId val="353195136"/>
        <c:scaling>
          <c:orientation val="minMax"/>
        </c:scaling>
        <c:delete val="0"/>
        <c:axPos val="l"/>
        <c:majorTickMark val="none"/>
        <c:minorTickMark val="none"/>
        <c:tickLblPos val="nextTo"/>
        <c:txPr>
          <a:bodyPr/>
          <a:lstStyle/>
          <a:p>
            <a:pPr>
              <a:defRPr sz="650"/>
            </a:pPr>
            <a:endParaRPr lang="es-CL"/>
          </a:p>
        </c:txPr>
        <c:crossAx val="353196672"/>
        <c:crosses val="autoZero"/>
        <c:auto val="1"/>
        <c:lblAlgn val="ctr"/>
        <c:lblOffset val="100"/>
        <c:noMultiLvlLbl val="0"/>
      </c:catAx>
      <c:valAx>
        <c:axId val="353196672"/>
        <c:scaling>
          <c:orientation val="minMax"/>
        </c:scaling>
        <c:delete val="1"/>
        <c:axPos val="b"/>
        <c:numFmt formatCode="0%" sourceLinked="1"/>
        <c:majorTickMark val="out"/>
        <c:minorTickMark val="none"/>
        <c:tickLblPos val="nextTo"/>
        <c:crossAx val="353195136"/>
        <c:crosses val="autoZero"/>
        <c:crossBetween val="between"/>
      </c:valAx>
    </c:plotArea>
    <c:legend>
      <c:legendPos val="t"/>
      <c:layout>
        <c:manualLayout>
          <c:xMode val="edge"/>
          <c:yMode val="edge"/>
          <c:x val="0.19145115781822522"/>
          <c:y val="5.7450823434002929E-2"/>
          <c:w val="0.62859448818897634"/>
          <c:h val="4.2749196264180438E-2"/>
        </c:manualLayout>
      </c:layout>
      <c:overlay val="0"/>
      <c:txPr>
        <a:bodyPr/>
        <a:lstStyle/>
        <a:p>
          <a:pPr>
            <a:defRPr sz="650"/>
          </a:pPr>
          <a:endParaRPr lang="es-CL"/>
        </a:p>
      </c:txPr>
    </c:legend>
    <c:plotVisOnly val="1"/>
    <c:dispBlanksAs val="gap"/>
    <c:showDLblsOverMax val="0"/>
  </c:chart>
  <c:txPr>
    <a:bodyPr/>
    <a:lstStyle/>
    <a:p>
      <a:pPr>
        <a:defRPr sz="800"/>
      </a:pPr>
      <a:endParaRPr lang="es-CL"/>
    </a:p>
  </c:txPr>
  <c:externalData r:id="rId1">
    <c:autoUpdate val="0"/>
  </c:externalData>
</c:chartSpace>
</file>

<file path=word/charts/chart53.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PYME: gestión ambiental</a:t>
            </a:r>
            <a:r>
              <a:rPr lang="es-CL" sz="800" baseline="0"/>
              <a:t> (%)</a:t>
            </a:r>
            <a:endParaRPr lang="es-CL" sz="800"/>
          </a:p>
        </c:rich>
      </c:tx>
      <c:layout>
        <c:manualLayout>
          <c:xMode val="edge"/>
          <c:yMode val="edge"/>
          <c:x val="0.26411217315719238"/>
          <c:y val="4.7437526471833968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5158799212598425"/>
          <c:y val="0.14434501510675249"/>
          <c:w val="0.45356452318460194"/>
          <c:h val="0.83674245886292908"/>
        </c:manualLayout>
      </c:layout>
      <c:bar3DChart>
        <c:barDir val="bar"/>
        <c:grouping val="stacked"/>
        <c:varyColors val="0"/>
        <c:ser>
          <c:idx val="0"/>
          <c:order val="0"/>
          <c:tx>
            <c:strRef>
              <c:f>G.Ambiental!$F$20</c:f>
              <c:strCache>
                <c:ptCount val="1"/>
                <c:pt idx="0">
                  <c:v>SI</c:v>
                </c:pt>
              </c:strCache>
            </c:strRef>
          </c:tx>
          <c:invertIfNegative val="0"/>
          <c:dLbls>
            <c:dLbl>
              <c:idx val="3"/>
              <c:layout>
                <c:manualLayout>
                  <c:x val="8.3459782570837315E-3"/>
                  <c:y val="0"/>
                </c:manualLayout>
              </c:layout>
              <c:showLegendKey val="0"/>
              <c:showVal val="1"/>
              <c:showCatName val="0"/>
              <c:showSerName val="0"/>
              <c:showPercent val="0"/>
              <c:showBubbleSize val="0"/>
            </c:dLbl>
            <c:dLbl>
              <c:idx val="13"/>
              <c:layout>
                <c:manualLayout>
                  <c:x val="0.21163156916636508"/>
                  <c:y val="0"/>
                </c:manualLayout>
              </c:layout>
              <c:showLegendKey val="0"/>
              <c:showVal val="1"/>
              <c:showCatName val="0"/>
              <c:showSerName val="0"/>
              <c:showPercent val="0"/>
              <c:showBubbleSize val="0"/>
            </c:dLbl>
            <c:txPr>
              <a:bodyPr/>
              <a:lstStyle/>
              <a:p>
                <a:pPr>
                  <a:defRPr sz="700"/>
                </a:pPr>
                <a:endParaRPr lang="es-CL"/>
              </a:p>
            </c:txPr>
            <c:showLegendKey val="0"/>
            <c:showVal val="1"/>
            <c:showCatName val="0"/>
            <c:showSerName val="0"/>
            <c:showPercent val="0"/>
            <c:showBubbleSize val="0"/>
            <c:showLeaderLines val="0"/>
          </c:dLbls>
          <c:cat>
            <c:strRef>
              <c:f>G.Ambiental!$A$21:$A$34</c:f>
              <c:strCache>
                <c:ptCount val="14"/>
                <c:pt idx="0">
                  <c:v>La instalación cuenta con algún tipo de certificación. En caso afirmativo indicar.</c:v>
                </c:pt>
                <c:pt idx="1">
                  <c:v>Existen problemas con la localización de la empresa. </c:v>
                </c:pt>
                <c:pt idx="2">
                  <c:v>Existen datos de anteriores evaluaciones de tipo ambiental</c:v>
                </c:pt>
                <c:pt idx="3">
                  <c:v>Existe algún estándar interno de tipo ambiental</c:v>
                </c:pt>
                <c:pt idx="4">
                  <c:v>Existen recursos financieros asignados a la gestión ambiental</c:v>
                </c:pt>
                <c:pt idx="5">
                  <c:v>Existe entrenamiento del personal en el manejo y prevención de la contaminación</c:v>
                </c:pt>
                <c:pt idx="6">
                  <c:v>La empresa capacita al personal en el manejo de residuos peligrosos</c:v>
                </c:pt>
                <c:pt idx="7">
                  <c:v>La empresa capacita al personal en el manejo de sustancias peligrosas</c:v>
                </c:pt>
                <c:pt idx="8">
                  <c:v>Existen registros de algún tipo de incidentes ambientales</c:v>
                </c:pt>
                <c:pt idx="9">
                  <c:v>Existen procedimientos para prevenir problemas de esa índole</c:v>
                </c:pt>
                <c:pt idx="10">
                  <c:v>Existe mantención y control de la documentación de relevancia ambiental</c:v>
                </c:pt>
                <c:pt idx="11">
                  <c:v>Usted realiza aseo de playas</c:v>
                </c:pt>
                <c:pt idx="12">
                  <c:v>Conoce la normativa asociada a la limpieza de playas</c:v>
                </c:pt>
                <c:pt idx="13">
                  <c:v>Posee un procedimiento de  transporte por tierra desde el centro de cultivo a planta que evite el escurrimiento de agua</c:v>
                </c:pt>
              </c:strCache>
            </c:strRef>
          </c:cat>
          <c:val>
            <c:numRef>
              <c:f>G.Ambiental!$F$21:$F$34</c:f>
              <c:numCache>
                <c:formatCode>0%</c:formatCode>
                <c:ptCount val="14"/>
                <c:pt idx="0">
                  <c:v>0.15384615384615385</c:v>
                </c:pt>
                <c:pt idx="1">
                  <c:v>0.15384615384615385</c:v>
                </c:pt>
                <c:pt idx="2">
                  <c:v>0.92307692307692313</c:v>
                </c:pt>
                <c:pt idx="3">
                  <c:v>7.6923076923076927E-2</c:v>
                </c:pt>
                <c:pt idx="4">
                  <c:v>0.15384615384615385</c:v>
                </c:pt>
                <c:pt idx="5">
                  <c:v>0.30769230769230771</c:v>
                </c:pt>
                <c:pt idx="6">
                  <c:v>7.6923076923076927E-2</c:v>
                </c:pt>
                <c:pt idx="7">
                  <c:v>0.15384615384615385</c:v>
                </c:pt>
                <c:pt idx="8">
                  <c:v>0</c:v>
                </c:pt>
                <c:pt idx="9">
                  <c:v>0.15384615384615385</c:v>
                </c:pt>
                <c:pt idx="10">
                  <c:v>0.30769230769230771</c:v>
                </c:pt>
                <c:pt idx="11">
                  <c:v>1</c:v>
                </c:pt>
                <c:pt idx="12">
                  <c:v>0.30769230769230771</c:v>
                </c:pt>
                <c:pt idx="13">
                  <c:v>0</c:v>
                </c:pt>
              </c:numCache>
            </c:numRef>
          </c:val>
        </c:ser>
        <c:ser>
          <c:idx val="1"/>
          <c:order val="1"/>
          <c:tx>
            <c:strRef>
              <c:f>G.Ambiental!$G$20</c:f>
              <c:strCache>
                <c:ptCount val="1"/>
                <c:pt idx="0">
                  <c:v>NO</c:v>
                </c:pt>
              </c:strCache>
            </c:strRef>
          </c:tx>
          <c:invertIfNegative val="0"/>
          <c:dLbls>
            <c:dLbl>
              <c:idx val="11"/>
              <c:delete val="1"/>
            </c:dLbl>
            <c:dLbl>
              <c:idx val="13"/>
              <c:delete val="1"/>
            </c:dLbl>
            <c:txPr>
              <a:bodyPr/>
              <a:lstStyle/>
              <a:p>
                <a:pPr>
                  <a:defRPr sz="700"/>
                </a:pPr>
                <a:endParaRPr lang="es-CL"/>
              </a:p>
            </c:txPr>
            <c:showLegendKey val="0"/>
            <c:showVal val="1"/>
            <c:showCatName val="0"/>
            <c:showSerName val="0"/>
            <c:showPercent val="0"/>
            <c:showBubbleSize val="0"/>
            <c:showLeaderLines val="0"/>
          </c:dLbls>
          <c:cat>
            <c:strRef>
              <c:f>G.Ambiental!$A$21:$A$34</c:f>
              <c:strCache>
                <c:ptCount val="14"/>
                <c:pt idx="0">
                  <c:v>La instalación cuenta con algún tipo de certificación. En caso afirmativo indicar.</c:v>
                </c:pt>
                <c:pt idx="1">
                  <c:v>Existen problemas con la localización de la empresa. </c:v>
                </c:pt>
                <c:pt idx="2">
                  <c:v>Existen datos de anteriores evaluaciones de tipo ambiental</c:v>
                </c:pt>
                <c:pt idx="3">
                  <c:v>Existe algún estándar interno de tipo ambiental</c:v>
                </c:pt>
                <c:pt idx="4">
                  <c:v>Existen recursos financieros asignados a la gestión ambiental</c:v>
                </c:pt>
                <c:pt idx="5">
                  <c:v>Existe entrenamiento del personal en el manejo y prevención de la contaminación</c:v>
                </c:pt>
                <c:pt idx="6">
                  <c:v>La empresa capacita al personal en el manejo de residuos peligrosos</c:v>
                </c:pt>
                <c:pt idx="7">
                  <c:v>La empresa capacita al personal en el manejo de sustancias peligrosas</c:v>
                </c:pt>
                <c:pt idx="8">
                  <c:v>Existen registros de algún tipo de incidentes ambientales</c:v>
                </c:pt>
                <c:pt idx="9">
                  <c:v>Existen procedimientos para prevenir problemas de esa índole</c:v>
                </c:pt>
                <c:pt idx="10">
                  <c:v>Existe mantención y control de la documentación de relevancia ambiental</c:v>
                </c:pt>
                <c:pt idx="11">
                  <c:v>Usted realiza aseo de playas</c:v>
                </c:pt>
                <c:pt idx="12">
                  <c:v>Conoce la normativa asociada a la limpieza de playas</c:v>
                </c:pt>
                <c:pt idx="13">
                  <c:v>Posee un procedimiento de  transporte por tierra desde el centro de cultivo a planta que evite el escurrimiento de agua</c:v>
                </c:pt>
              </c:strCache>
            </c:strRef>
          </c:cat>
          <c:val>
            <c:numRef>
              <c:f>G.Ambiental!$G$21:$G$34</c:f>
              <c:numCache>
                <c:formatCode>0%</c:formatCode>
                <c:ptCount val="14"/>
                <c:pt idx="0">
                  <c:v>0.84615384615384615</c:v>
                </c:pt>
                <c:pt idx="1">
                  <c:v>0.84615384615384615</c:v>
                </c:pt>
                <c:pt idx="2">
                  <c:v>7.6923076923076927E-2</c:v>
                </c:pt>
                <c:pt idx="3">
                  <c:v>0.92307692307692313</c:v>
                </c:pt>
                <c:pt idx="4">
                  <c:v>0.84615384615384615</c:v>
                </c:pt>
                <c:pt idx="5">
                  <c:v>0.69230769230769229</c:v>
                </c:pt>
                <c:pt idx="6">
                  <c:v>0.92307692307692313</c:v>
                </c:pt>
                <c:pt idx="7">
                  <c:v>0.84615384615384615</c:v>
                </c:pt>
                <c:pt idx="8">
                  <c:v>1</c:v>
                </c:pt>
                <c:pt idx="9">
                  <c:v>0.84615384615384615</c:v>
                </c:pt>
                <c:pt idx="10">
                  <c:v>0.69230769230769229</c:v>
                </c:pt>
                <c:pt idx="11">
                  <c:v>0</c:v>
                </c:pt>
                <c:pt idx="12">
                  <c:v>0.69230769230769229</c:v>
                </c:pt>
                <c:pt idx="13">
                  <c:v>1</c:v>
                </c:pt>
              </c:numCache>
            </c:numRef>
          </c:val>
        </c:ser>
        <c:ser>
          <c:idx val="2"/>
          <c:order val="2"/>
          <c:tx>
            <c:strRef>
              <c:f>G.Ambiental!$H$20</c:f>
              <c:strCache>
                <c:ptCount val="1"/>
                <c:pt idx="0">
                  <c:v>NO INFORMA</c:v>
                </c:pt>
              </c:strCache>
            </c:strRef>
          </c:tx>
          <c:invertIfNegative val="0"/>
          <c:dLbls>
            <c:delete val="1"/>
          </c:dLbls>
          <c:cat>
            <c:strRef>
              <c:f>G.Ambiental!$A$21:$A$34</c:f>
              <c:strCache>
                <c:ptCount val="14"/>
                <c:pt idx="0">
                  <c:v>La instalación cuenta con algún tipo de certificación. En caso afirmativo indicar.</c:v>
                </c:pt>
                <c:pt idx="1">
                  <c:v>Existen problemas con la localización de la empresa. </c:v>
                </c:pt>
                <c:pt idx="2">
                  <c:v>Existen datos de anteriores evaluaciones de tipo ambiental</c:v>
                </c:pt>
                <c:pt idx="3">
                  <c:v>Existe algún estándar interno de tipo ambiental</c:v>
                </c:pt>
                <c:pt idx="4">
                  <c:v>Existen recursos financieros asignados a la gestión ambiental</c:v>
                </c:pt>
                <c:pt idx="5">
                  <c:v>Existe entrenamiento del personal en el manejo y prevención de la contaminación</c:v>
                </c:pt>
                <c:pt idx="6">
                  <c:v>La empresa capacita al personal en el manejo de residuos peligrosos</c:v>
                </c:pt>
                <c:pt idx="7">
                  <c:v>La empresa capacita al personal en el manejo de sustancias peligrosas</c:v>
                </c:pt>
                <c:pt idx="8">
                  <c:v>Existen registros de algún tipo de incidentes ambientales</c:v>
                </c:pt>
                <c:pt idx="9">
                  <c:v>Existen procedimientos para prevenir problemas de esa índole</c:v>
                </c:pt>
                <c:pt idx="10">
                  <c:v>Existe mantención y control de la documentación de relevancia ambiental</c:v>
                </c:pt>
                <c:pt idx="11">
                  <c:v>Usted realiza aseo de playas</c:v>
                </c:pt>
                <c:pt idx="12">
                  <c:v>Conoce la normativa asociada a la limpieza de playas</c:v>
                </c:pt>
                <c:pt idx="13">
                  <c:v>Posee un procedimiento de  transporte por tierra desde el centro de cultivo a planta que evite el escurrimiento de agua</c:v>
                </c:pt>
              </c:strCache>
            </c:strRef>
          </c:cat>
          <c:val>
            <c:numRef>
              <c:f>G.Ambiental!$H$21:$H$34</c:f>
              <c:numCache>
                <c:formatCode>0%</c:formatCode>
                <c:ptCount val="14"/>
                <c:pt idx="0">
                  <c:v>0</c:v>
                </c:pt>
                <c:pt idx="1">
                  <c:v>0</c:v>
                </c:pt>
                <c:pt idx="2">
                  <c:v>0</c:v>
                </c:pt>
                <c:pt idx="3">
                  <c:v>0</c:v>
                </c:pt>
                <c:pt idx="4">
                  <c:v>0</c:v>
                </c:pt>
                <c:pt idx="5">
                  <c:v>0</c:v>
                </c:pt>
                <c:pt idx="6">
                  <c:v>0</c:v>
                </c:pt>
                <c:pt idx="7">
                  <c:v>0</c:v>
                </c:pt>
                <c:pt idx="8">
                  <c:v>0</c:v>
                </c:pt>
                <c:pt idx="9">
                  <c:v>0</c:v>
                </c:pt>
                <c:pt idx="10">
                  <c:v>0</c:v>
                </c:pt>
                <c:pt idx="11">
                  <c:v>0</c:v>
                </c:pt>
                <c:pt idx="12">
                  <c:v>0</c:v>
                </c:pt>
                <c:pt idx="13">
                  <c:v>0</c:v>
                </c:pt>
              </c:numCache>
            </c:numRef>
          </c:val>
        </c:ser>
        <c:ser>
          <c:idx val="3"/>
          <c:order val="3"/>
          <c:tx>
            <c:strRef>
              <c:f>G.Ambiental!$I$20</c:f>
              <c:strCache>
                <c:ptCount val="1"/>
                <c:pt idx="0">
                  <c:v>NO SABE</c:v>
                </c:pt>
              </c:strCache>
            </c:strRef>
          </c:tx>
          <c:invertIfNegative val="0"/>
          <c:dLbls>
            <c:delete val="1"/>
          </c:dLbls>
          <c:cat>
            <c:strRef>
              <c:f>G.Ambiental!$A$21:$A$34</c:f>
              <c:strCache>
                <c:ptCount val="14"/>
                <c:pt idx="0">
                  <c:v>La instalación cuenta con algún tipo de certificación. En caso afirmativo indicar.</c:v>
                </c:pt>
                <c:pt idx="1">
                  <c:v>Existen problemas con la localización de la empresa. </c:v>
                </c:pt>
                <c:pt idx="2">
                  <c:v>Existen datos de anteriores evaluaciones de tipo ambiental</c:v>
                </c:pt>
                <c:pt idx="3">
                  <c:v>Existe algún estándar interno de tipo ambiental</c:v>
                </c:pt>
                <c:pt idx="4">
                  <c:v>Existen recursos financieros asignados a la gestión ambiental</c:v>
                </c:pt>
                <c:pt idx="5">
                  <c:v>Existe entrenamiento del personal en el manejo y prevención de la contaminación</c:v>
                </c:pt>
                <c:pt idx="6">
                  <c:v>La empresa capacita al personal en el manejo de residuos peligrosos</c:v>
                </c:pt>
                <c:pt idx="7">
                  <c:v>La empresa capacita al personal en el manejo de sustancias peligrosas</c:v>
                </c:pt>
                <c:pt idx="8">
                  <c:v>Existen registros de algún tipo de incidentes ambientales</c:v>
                </c:pt>
                <c:pt idx="9">
                  <c:v>Existen procedimientos para prevenir problemas de esa índole</c:v>
                </c:pt>
                <c:pt idx="10">
                  <c:v>Existe mantención y control de la documentación de relevancia ambiental</c:v>
                </c:pt>
                <c:pt idx="11">
                  <c:v>Usted realiza aseo de playas</c:v>
                </c:pt>
                <c:pt idx="12">
                  <c:v>Conoce la normativa asociada a la limpieza de playas</c:v>
                </c:pt>
                <c:pt idx="13">
                  <c:v>Posee un procedimiento de  transporte por tierra desde el centro de cultivo a planta que evite el escurrimiento de agua</c:v>
                </c:pt>
              </c:strCache>
            </c:strRef>
          </c:cat>
          <c:val>
            <c:numRef>
              <c:f>G.Ambiental!$I$21:$I$34</c:f>
              <c:numCache>
                <c:formatCode>0%</c:formatCode>
                <c:ptCount val="14"/>
                <c:pt idx="0">
                  <c:v>0</c:v>
                </c:pt>
                <c:pt idx="1">
                  <c:v>0</c:v>
                </c:pt>
                <c:pt idx="2">
                  <c:v>0</c:v>
                </c:pt>
                <c:pt idx="3">
                  <c:v>0</c:v>
                </c:pt>
                <c:pt idx="4">
                  <c:v>0</c:v>
                </c:pt>
                <c:pt idx="5">
                  <c:v>0</c:v>
                </c:pt>
                <c:pt idx="6">
                  <c:v>0</c:v>
                </c:pt>
                <c:pt idx="7">
                  <c:v>0</c:v>
                </c:pt>
                <c:pt idx="8">
                  <c:v>0</c:v>
                </c:pt>
                <c:pt idx="9">
                  <c:v>0</c:v>
                </c:pt>
                <c:pt idx="10">
                  <c:v>0</c:v>
                </c:pt>
                <c:pt idx="11">
                  <c:v>0</c:v>
                </c:pt>
                <c:pt idx="12">
                  <c:v>0</c:v>
                </c:pt>
                <c:pt idx="13">
                  <c:v>0</c:v>
                </c:pt>
              </c:numCache>
            </c:numRef>
          </c:val>
        </c:ser>
        <c:dLbls>
          <c:showLegendKey val="0"/>
          <c:showVal val="1"/>
          <c:showCatName val="0"/>
          <c:showSerName val="0"/>
          <c:showPercent val="0"/>
          <c:showBubbleSize val="0"/>
        </c:dLbls>
        <c:gapWidth val="95"/>
        <c:gapDepth val="95"/>
        <c:shape val="box"/>
        <c:axId val="353233152"/>
        <c:axId val="354496512"/>
        <c:axId val="0"/>
      </c:bar3DChart>
      <c:catAx>
        <c:axId val="353233152"/>
        <c:scaling>
          <c:orientation val="minMax"/>
        </c:scaling>
        <c:delete val="0"/>
        <c:axPos val="l"/>
        <c:majorTickMark val="none"/>
        <c:minorTickMark val="none"/>
        <c:tickLblPos val="nextTo"/>
        <c:txPr>
          <a:bodyPr/>
          <a:lstStyle/>
          <a:p>
            <a:pPr>
              <a:defRPr sz="650"/>
            </a:pPr>
            <a:endParaRPr lang="es-CL"/>
          </a:p>
        </c:txPr>
        <c:crossAx val="354496512"/>
        <c:crosses val="autoZero"/>
        <c:auto val="1"/>
        <c:lblAlgn val="ctr"/>
        <c:lblOffset val="100"/>
        <c:noMultiLvlLbl val="0"/>
      </c:catAx>
      <c:valAx>
        <c:axId val="354496512"/>
        <c:scaling>
          <c:orientation val="minMax"/>
        </c:scaling>
        <c:delete val="1"/>
        <c:axPos val="b"/>
        <c:numFmt formatCode="0%" sourceLinked="1"/>
        <c:majorTickMark val="out"/>
        <c:minorTickMark val="none"/>
        <c:tickLblPos val="nextTo"/>
        <c:crossAx val="353233152"/>
        <c:crosses val="autoZero"/>
        <c:crossBetween val="between"/>
      </c:valAx>
    </c:plotArea>
    <c:legend>
      <c:legendPos val="t"/>
      <c:layout>
        <c:manualLayout>
          <c:xMode val="edge"/>
          <c:yMode val="edge"/>
          <c:x val="0.11166255314430516"/>
          <c:y val="0.10639145964441865"/>
          <c:w val="0.81362466223087426"/>
          <c:h val="3.703858136695494E-2"/>
        </c:manualLayout>
      </c:layout>
      <c:overlay val="0"/>
      <c:txPr>
        <a:bodyPr/>
        <a:lstStyle/>
        <a:p>
          <a:pPr>
            <a:defRPr sz="700"/>
          </a:pPr>
          <a:endParaRPr lang="es-CL"/>
        </a:p>
      </c:txPr>
    </c:legend>
    <c:plotVisOnly val="1"/>
    <c:dispBlanksAs val="gap"/>
    <c:showDLblsOverMax val="0"/>
  </c:chart>
  <c:externalData r:id="rId1">
    <c:autoUpdate val="0"/>
  </c:externalData>
</c:chartSpace>
</file>

<file path=word/charts/chart54.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Grande: gestión ambiental (%)</a:t>
            </a:r>
          </a:p>
        </c:rich>
      </c:tx>
      <c:layout>
        <c:manualLayout>
          <c:xMode val="edge"/>
          <c:yMode val="edge"/>
          <c:x val="0.25129071308980688"/>
          <c:y val="4.913279105677229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5158799212598425"/>
          <c:y val="0.14434501510675249"/>
          <c:w val="0.45356452318460194"/>
          <c:h val="0.83674245886292908"/>
        </c:manualLayout>
      </c:layout>
      <c:bar3DChart>
        <c:barDir val="bar"/>
        <c:grouping val="stacked"/>
        <c:varyColors val="0"/>
        <c:ser>
          <c:idx val="0"/>
          <c:order val="0"/>
          <c:tx>
            <c:strRef>
              <c:f>G.Ambiental!$S$20</c:f>
              <c:strCache>
                <c:ptCount val="1"/>
                <c:pt idx="0">
                  <c:v>SI</c:v>
                </c:pt>
              </c:strCache>
            </c:strRef>
          </c:tx>
          <c:invertIfNegative val="0"/>
          <c:dLbls>
            <c:txPr>
              <a:bodyPr/>
              <a:lstStyle/>
              <a:p>
                <a:pPr>
                  <a:defRPr sz="700"/>
                </a:pPr>
                <a:endParaRPr lang="es-CL"/>
              </a:p>
            </c:txPr>
            <c:showLegendKey val="0"/>
            <c:showVal val="1"/>
            <c:showCatName val="0"/>
            <c:showSerName val="0"/>
            <c:showPercent val="0"/>
            <c:showBubbleSize val="0"/>
            <c:showLeaderLines val="0"/>
          </c:dLbls>
          <c:cat>
            <c:strRef>
              <c:f>G.Ambiental!$A$21:$A$34</c:f>
              <c:strCache>
                <c:ptCount val="14"/>
                <c:pt idx="0">
                  <c:v>La instalación cuenta con algún tipo de certificación. En caso afirmativo indicar.</c:v>
                </c:pt>
                <c:pt idx="1">
                  <c:v>Existen problemas con la localización de la empresa. </c:v>
                </c:pt>
                <c:pt idx="2">
                  <c:v>Existen datos de anteriores evaluaciones de tipo ambiental</c:v>
                </c:pt>
                <c:pt idx="3">
                  <c:v>Existe algún estándar interno de tipo ambiental</c:v>
                </c:pt>
                <c:pt idx="4">
                  <c:v>Existen recursos financieros asignados a la gestión ambiental</c:v>
                </c:pt>
                <c:pt idx="5">
                  <c:v>Existe entrenamiento del personal en el manejo y prevención de la contaminación</c:v>
                </c:pt>
                <c:pt idx="6">
                  <c:v>La empresa capacita al personal en el manejo de residuos peligrosos</c:v>
                </c:pt>
                <c:pt idx="7">
                  <c:v>La empresa capacita al personal en el manejo de sustancias peligrosas</c:v>
                </c:pt>
                <c:pt idx="8">
                  <c:v>Existen registros de algún tipo de incidentes ambientales</c:v>
                </c:pt>
                <c:pt idx="9">
                  <c:v>Existen procedimientos para prevenir problemas de esa índole</c:v>
                </c:pt>
                <c:pt idx="10">
                  <c:v>Existe mantención y control de la documentación de relevancia ambiental</c:v>
                </c:pt>
                <c:pt idx="11">
                  <c:v>Usted realiza aseo de playas</c:v>
                </c:pt>
                <c:pt idx="12">
                  <c:v>Conoce la normativa asociada a la limpieza de playas</c:v>
                </c:pt>
                <c:pt idx="13">
                  <c:v>Posee un procedimiento de  transporte por tierra desde el centro de cultivo a planta que evite el escurrimiento de agua</c:v>
                </c:pt>
              </c:strCache>
            </c:strRef>
          </c:cat>
          <c:val>
            <c:numRef>
              <c:f>G.Ambiental!$S$21:$S$34</c:f>
              <c:numCache>
                <c:formatCode>0%</c:formatCode>
                <c:ptCount val="14"/>
                <c:pt idx="0">
                  <c:v>0.5</c:v>
                </c:pt>
                <c:pt idx="1">
                  <c:v>0.3</c:v>
                </c:pt>
                <c:pt idx="2">
                  <c:v>0.6</c:v>
                </c:pt>
                <c:pt idx="3">
                  <c:v>0.1</c:v>
                </c:pt>
                <c:pt idx="4">
                  <c:v>0.5</c:v>
                </c:pt>
                <c:pt idx="5">
                  <c:v>0.9</c:v>
                </c:pt>
                <c:pt idx="6">
                  <c:v>0.7</c:v>
                </c:pt>
                <c:pt idx="7">
                  <c:v>0.7</c:v>
                </c:pt>
                <c:pt idx="8">
                  <c:v>0</c:v>
                </c:pt>
                <c:pt idx="9">
                  <c:v>0.7</c:v>
                </c:pt>
                <c:pt idx="10">
                  <c:v>0.9</c:v>
                </c:pt>
                <c:pt idx="11">
                  <c:v>1</c:v>
                </c:pt>
                <c:pt idx="12">
                  <c:v>0.9</c:v>
                </c:pt>
                <c:pt idx="13">
                  <c:v>0.2</c:v>
                </c:pt>
              </c:numCache>
            </c:numRef>
          </c:val>
        </c:ser>
        <c:ser>
          <c:idx val="1"/>
          <c:order val="1"/>
          <c:tx>
            <c:strRef>
              <c:f>G.Ambiental!$T$20</c:f>
              <c:strCache>
                <c:ptCount val="1"/>
                <c:pt idx="0">
                  <c:v>NO</c:v>
                </c:pt>
              </c:strCache>
            </c:strRef>
          </c:tx>
          <c:invertIfNegative val="0"/>
          <c:dLbls>
            <c:dLbl>
              <c:idx val="11"/>
              <c:delete val="1"/>
            </c:dLbl>
            <c:dLbl>
              <c:idx val="12"/>
              <c:delete val="1"/>
            </c:dLbl>
            <c:txPr>
              <a:bodyPr/>
              <a:lstStyle/>
              <a:p>
                <a:pPr>
                  <a:defRPr sz="700"/>
                </a:pPr>
                <a:endParaRPr lang="es-CL"/>
              </a:p>
            </c:txPr>
            <c:showLegendKey val="0"/>
            <c:showVal val="1"/>
            <c:showCatName val="0"/>
            <c:showSerName val="0"/>
            <c:showPercent val="0"/>
            <c:showBubbleSize val="0"/>
            <c:showLeaderLines val="0"/>
          </c:dLbls>
          <c:cat>
            <c:strRef>
              <c:f>G.Ambiental!$A$21:$A$34</c:f>
              <c:strCache>
                <c:ptCount val="14"/>
                <c:pt idx="0">
                  <c:v>La instalación cuenta con algún tipo de certificación. En caso afirmativo indicar.</c:v>
                </c:pt>
                <c:pt idx="1">
                  <c:v>Existen problemas con la localización de la empresa. </c:v>
                </c:pt>
                <c:pt idx="2">
                  <c:v>Existen datos de anteriores evaluaciones de tipo ambiental</c:v>
                </c:pt>
                <c:pt idx="3">
                  <c:v>Existe algún estándar interno de tipo ambiental</c:v>
                </c:pt>
                <c:pt idx="4">
                  <c:v>Existen recursos financieros asignados a la gestión ambiental</c:v>
                </c:pt>
                <c:pt idx="5">
                  <c:v>Existe entrenamiento del personal en el manejo y prevención de la contaminación</c:v>
                </c:pt>
                <c:pt idx="6">
                  <c:v>La empresa capacita al personal en el manejo de residuos peligrosos</c:v>
                </c:pt>
                <c:pt idx="7">
                  <c:v>La empresa capacita al personal en el manejo de sustancias peligrosas</c:v>
                </c:pt>
                <c:pt idx="8">
                  <c:v>Existen registros de algún tipo de incidentes ambientales</c:v>
                </c:pt>
                <c:pt idx="9">
                  <c:v>Existen procedimientos para prevenir problemas de esa índole</c:v>
                </c:pt>
                <c:pt idx="10">
                  <c:v>Existe mantención y control de la documentación de relevancia ambiental</c:v>
                </c:pt>
                <c:pt idx="11">
                  <c:v>Usted realiza aseo de playas</c:v>
                </c:pt>
                <c:pt idx="12">
                  <c:v>Conoce la normativa asociada a la limpieza de playas</c:v>
                </c:pt>
                <c:pt idx="13">
                  <c:v>Posee un procedimiento de  transporte por tierra desde el centro de cultivo a planta que evite el escurrimiento de agua</c:v>
                </c:pt>
              </c:strCache>
            </c:strRef>
          </c:cat>
          <c:val>
            <c:numRef>
              <c:f>G.Ambiental!$T$21:$T$34</c:f>
              <c:numCache>
                <c:formatCode>0%</c:formatCode>
                <c:ptCount val="14"/>
                <c:pt idx="0">
                  <c:v>0.3</c:v>
                </c:pt>
                <c:pt idx="1">
                  <c:v>0.6</c:v>
                </c:pt>
                <c:pt idx="2">
                  <c:v>0.3</c:v>
                </c:pt>
                <c:pt idx="3">
                  <c:v>0.6</c:v>
                </c:pt>
                <c:pt idx="4">
                  <c:v>0.4</c:v>
                </c:pt>
                <c:pt idx="5">
                  <c:v>0.1</c:v>
                </c:pt>
                <c:pt idx="6">
                  <c:v>0.3</c:v>
                </c:pt>
                <c:pt idx="7">
                  <c:v>0.3</c:v>
                </c:pt>
                <c:pt idx="8">
                  <c:v>1</c:v>
                </c:pt>
                <c:pt idx="9">
                  <c:v>0.3</c:v>
                </c:pt>
                <c:pt idx="10">
                  <c:v>0.1</c:v>
                </c:pt>
                <c:pt idx="11">
                  <c:v>0</c:v>
                </c:pt>
                <c:pt idx="12">
                  <c:v>0</c:v>
                </c:pt>
                <c:pt idx="13">
                  <c:v>0.6</c:v>
                </c:pt>
              </c:numCache>
            </c:numRef>
          </c:val>
        </c:ser>
        <c:ser>
          <c:idx val="2"/>
          <c:order val="2"/>
          <c:tx>
            <c:strRef>
              <c:f>G.Ambiental!$U$20</c:f>
              <c:strCache>
                <c:ptCount val="1"/>
                <c:pt idx="0">
                  <c:v>NO INFORMA</c:v>
                </c:pt>
              </c:strCache>
            </c:strRef>
          </c:tx>
          <c:invertIfNegative val="0"/>
          <c:dLbls>
            <c:dLbl>
              <c:idx val="5"/>
              <c:delete val="1"/>
            </c:dLbl>
            <c:dLbl>
              <c:idx val="6"/>
              <c:delete val="1"/>
            </c:dLbl>
            <c:dLbl>
              <c:idx val="7"/>
              <c:delete val="1"/>
            </c:dLbl>
            <c:dLbl>
              <c:idx val="8"/>
              <c:delete val="1"/>
            </c:dLbl>
            <c:dLbl>
              <c:idx val="9"/>
              <c:delete val="1"/>
            </c:dLbl>
            <c:dLbl>
              <c:idx val="10"/>
              <c:delete val="1"/>
            </c:dLbl>
            <c:dLbl>
              <c:idx val="11"/>
              <c:delete val="1"/>
            </c:dLbl>
            <c:txPr>
              <a:bodyPr/>
              <a:lstStyle/>
              <a:p>
                <a:pPr>
                  <a:defRPr sz="700"/>
                </a:pPr>
                <a:endParaRPr lang="es-CL"/>
              </a:p>
            </c:txPr>
            <c:showLegendKey val="0"/>
            <c:showVal val="1"/>
            <c:showCatName val="0"/>
            <c:showSerName val="0"/>
            <c:showPercent val="0"/>
            <c:showBubbleSize val="0"/>
            <c:showLeaderLines val="0"/>
          </c:dLbls>
          <c:cat>
            <c:strRef>
              <c:f>G.Ambiental!$A$21:$A$34</c:f>
              <c:strCache>
                <c:ptCount val="14"/>
                <c:pt idx="0">
                  <c:v>La instalación cuenta con algún tipo de certificación. En caso afirmativo indicar.</c:v>
                </c:pt>
                <c:pt idx="1">
                  <c:v>Existen problemas con la localización de la empresa. </c:v>
                </c:pt>
                <c:pt idx="2">
                  <c:v>Existen datos de anteriores evaluaciones de tipo ambiental</c:v>
                </c:pt>
                <c:pt idx="3">
                  <c:v>Existe algún estándar interno de tipo ambiental</c:v>
                </c:pt>
                <c:pt idx="4">
                  <c:v>Existen recursos financieros asignados a la gestión ambiental</c:v>
                </c:pt>
                <c:pt idx="5">
                  <c:v>Existe entrenamiento del personal en el manejo y prevención de la contaminación</c:v>
                </c:pt>
                <c:pt idx="6">
                  <c:v>La empresa capacita al personal en el manejo de residuos peligrosos</c:v>
                </c:pt>
                <c:pt idx="7">
                  <c:v>La empresa capacita al personal en el manejo de sustancias peligrosas</c:v>
                </c:pt>
                <c:pt idx="8">
                  <c:v>Existen registros de algún tipo de incidentes ambientales</c:v>
                </c:pt>
                <c:pt idx="9">
                  <c:v>Existen procedimientos para prevenir problemas de esa índole</c:v>
                </c:pt>
                <c:pt idx="10">
                  <c:v>Existe mantención y control de la documentación de relevancia ambiental</c:v>
                </c:pt>
                <c:pt idx="11">
                  <c:v>Usted realiza aseo de playas</c:v>
                </c:pt>
                <c:pt idx="12">
                  <c:v>Conoce la normativa asociada a la limpieza de playas</c:v>
                </c:pt>
                <c:pt idx="13">
                  <c:v>Posee un procedimiento de  transporte por tierra desde el centro de cultivo a planta que evite el escurrimiento de agua</c:v>
                </c:pt>
              </c:strCache>
            </c:strRef>
          </c:cat>
          <c:val>
            <c:numRef>
              <c:f>G.Ambiental!$U$21:$U$34</c:f>
              <c:numCache>
                <c:formatCode>0%</c:formatCode>
                <c:ptCount val="14"/>
                <c:pt idx="0">
                  <c:v>0.2</c:v>
                </c:pt>
                <c:pt idx="1">
                  <c:v>0.1</c:v>
                </c:pt>
                <c:pt idx="2">
                  <c:v>0.1</c:v>
                </c:pt>
                <c:pt idx="3">
                  <c:v>0.2</c:v>
                </c:pt>
                <c:pt idx="4">
                  <c:v>0.1</c:v>
                </c:pt>
                <c:pt idx="5">
                  <c:v>0</c:v>
                </c:pt>
                <c:pt idx="6">
                  <c:v>0</c:v>
                </c:pt>
                <c:pt idx="7">
                  <c:v>0</c:v>
                </c:pt>
                <c:pt idx="8">
                  <c:v>0</c:v>
                </c:pt>
                <c:pt idx="9">
                  <c:v>0</c:v>
                </c:pt>
                <c:pt idx="10">
                  <c:v>0</c:v>
                </c:pt>
                <c:pt idx="11">
                  <c:v>0</c:v>
                </c:pt>
                <c:pt idx="12">
                  <c:v>0.1</c:v>
                </c:pt>
                <c:pt idx="13">
                  <c:v>0.2</c:v>
                </c:pt>
              </c:numCache>
            </c:numRef>
          </c:val>
        </c:ser>
        <c:ser>
          <c:idx val="3"/>
          <c:order val="3"/>
          <c:tx>
            <c:strRef>
              <c:f>G.Ambiental!$V$20</c:f>
              <c:strCache>
                <c:ptCount val="1"/>
                <c:pt idx="0">
                  <c:v>NO SABE</c:v>
                </c:pt>
              </c:strCache>
            </c:strRef>
          </c:tx>
          <c:invertIfNegative val="0"/>
          <c:dLbls>
            <c:dLbl>
              <c:idx val="0"/>
              <c:delete val="1"/>
            </c:dLbl>
            <c:dLbl>
              <c:idx val="1"/>
              <c:delete val="1"/>
            </c:dLbl>
            <c:dLbl>
              <c:idx val="2"/>
              <c:delete val="1"/>
            </c:dLbl>
            <c:dLbl>
              <c:idx val="3"/>
              <c:layout>
                <c:manualLayout>
                  <c:x val="1.9753086419753086E-2"/>
                  <c:y val="0"/>
                </c:manualLayout>
              </c:layout>
              <c:showLegendKey val="0"/>
              <c:showVal val="1"/>
              <c:showCatName val="0"/>
              <c:showSerName val="0"/>
              <c:showPercent val="0"/>
              <c:showBubbleSize val="0"/>
            </c:dLbl>
            <c:dLbl>
              <c:idx val="4"/>
              <c:delete val="1"/>
            </c:dLbl>
            <c:dLbl>
              <c:idx val="5"/>
              <c:delete val="1"/>
            </c:dLbl>
            <c:dLbl>
              <c:idx val="6"/>
              <c:delete val="1"/>
            </c:dLbl>
            <c:dLbl>
              <c:idx val="7"/>
              <c:delete val="1"/>
            </c:dLbl>
            <c:dLbl>
              <c:idx val="8"/>
              <c:delete val="1"/>
            </c:dLbl>
            <c:dLbl>
              <c:idx val="9"/>
              <c:delete val="1"/>
            </c:dLbl>
            <c:dLbl>
              <c:idx val="10"/>
              <c:delete val="1"/>
            </c:dLbl>
            <c:dLbl>
              <c:idx val="11"/>
              <c:delete val="1"/>
            </c:dLbl>
            <c:dLbl>
              <c:idx val="12"/>
              <c:delete val="1"/>
            </c:dLbl>
            <c:dLbl>
              <c:idx val="13"/>
              <c:delete val="1"/>
            </c:dLbl>
            <c:txPr>
              <a:bodyPr/>
              <a:lstStyle/>
              <a:p>
                <a:pPr>
                  <a:defRPr sz="700"/>
                </a:pPr>
                <a:endParaRPr lang="es-CL"/>
              </a:p>
            </c:txPr>
            <c:showLegendKey val="0"/>
            <c:showVal val="1"/>
            <c:showCatName val="0"/>
            <c:showSerName val="0"/>
            <c:showPercent val="0"/>
            <c:showBubbleSize val="0"/>
            <c:showLeaderLines val="0"/>
          </c:dLbls>
          <c:cat>
            <c:strRef>
              <c:f>G.Ambiental!$A$21:$A$34</c:f>
              <c:strCache>
                <c:ptCount val="14"/>
                <c:pt idx="0">
                  <c:v>La instalación cuenta con algún tipo de certificación. En caso afirmativo indicar.</c:v>
                </c:pt>
                <c:pt idx="1">
                  <c:v>Existen problemas con la localización de la empresa. </c:v>
                </c:pt>
                <c:pt idx="2">
                  <c:v>Existen datos de anteriores evaluaciones de tipo ambiental</c:v>
                </c:pt>
                <c:pt idx="3">
                  <c:v>Existe algún estándar interno de tipo ambiental</c:v>
                </c:pt>
                <c:pt idx="4">
                  <c:v>Existen recursos financieros asignados a la gestión ambiental</c:v>
                </c:pt>
                <c:pt idx="5">
                  <c:v>Existe entrenamiento del personal en el manejo y prevención de la contaminación</c:v>
                </c:pt>
                <c:pt idx="6">
                  <c:v>La empresa capacita al personal en el manejo de residuos peligrosos</c:v>
                </c:pt>
                <c:pt idx="7">
                  <c:v>La empresa capacita al personal en el manejo de sustancias peligrosas</c:v>
                </c:pt>
                <c:pt idx="8">
                  <c:v>Existen registros de algún tipo de incidentes ambientales</c:v>
                </c:pt>
                <c:pt idx="9">
                  <c:v>Existen procedimientos para prevenir problemas de esa índole</c:v>
                </c:pt>
                <c:pt idx="10">
                  <c:v>Existe mantención y control de la documentación de relevancia ambiental</c:v>
                </c:pt>
                <c:pt idx="11">
                  <c:v>Usted realiza aseo de playas</c:v>
                </c:pt>
                <c:pt idx="12">
                  <c:v>Conoce la normativa asociada a la limpieza de playas</c:v>
                </c:pt>
                <c:pt idx="13">
                  <c:v>Posee un procedimiento de  transporte por tierra desde el centro de cultivo a planta que evite el escurrimiento de agua</c:v>
                </c:pt>
              </c:strCache>
            </c:strRef>
          </c:cat>
          <c:val>
            <c:numRef>
              <c:f>G.Ambiental!$V$21:$V$34</c:f>
              <c:numCache>
                <c:formatCode>0%</c:formatCode>
                <c:ptCount val="14"/>
                <c:pt idx="0">
                  <c:v>0</c:v>
                </c:pt>
                <c:pt idx="1">
                  <c:v>0</c:v>
                </c:pt>
                <c:pt idx="2">
                  <c:v>0</c:v>
                </c:pt>
                <c:pt idx="3">
                  <c:v>0.1</c:v>
                </c:pt>
                <c:pt idx="4">
                  <c:v>0</c:v>
                </c:pt>
                <c:pt idx="5">
                  <c:v>0</c:v>
                </c:pt>
                <c:pt idx="6">
                  <c:v>0</c:v>
                </c:pt>
                <c:pt idx="7">
                  <c:v>0</c:v>
                </c:pt>
                <c:pt idx="8">
                  <c:v>0</c:v>
                </c:pt>
                <c:pt idx="9">
                  <c:v>0</c:v>
                </c:pt>
                <c:pt idx="10">
                  <c:v>0</c:v>
                </c:pt>
                <c:pt idx="11">
                  <c:v>0</c:v>
                </c:pt>
                <c:pt idx="12">
                  <c:v>0</c:v>
                </c:pt>
                <c:pt idx="13">
                  <c:v>0</c:v>
                </c:pt>
              </c:numCache>
            </c:numRef>
          </c:val>
        </c:ser>
        <c:dLbls>
          <c:showLegendKey val="0"/>
          <c:showVal val="1"/>
          <c:showCatName val="0"/>
          <c:showSerName val="0"/>
          <c:showPercent val="0"/>
          <c:showBubbleSize val="0"/>
        </c:dLbls>
        <c:gapWidth val="95"/>
        <c:gapDepth val="95"/>
        <c:shape val="box"/>
        <c:axId val="356848000"/>
        <c:axId val="356849536"/>
        <c:axId val="0"/>
      </c:bar3DChart>
      <c:catAx>
        <c:axId val="356848000"/>
        <c:scaling>
          <c:orientation val="minMax"/>
        </c:scaling>
        <c:delete val="0"/>
        <c:axPos val="l"/>
        <c:majorTickMark val="none"/>
        <c:minorTickMark val="none"/>
        <c:tickLblPos val="nextTo"/>
        <c:txPr>
          <a:bodyPr/>
          <a:lstStyle/>
          <a:p>
            <a:pPr>
              <a:defRPr sz="650"/>
            </a:pPr>
            <a:endParaRPr lang="es-CL"/>
          </a:p>
        </c:txPr>
        <c:crossAx val="356849536"/>
        <c:crosses val="autoZero"/>
        <c:auto val="1"/>
        <c:lblAlgn val="ctr"/>
        <c:lblOffset val="100"/>
        <c:noMultiLvlLbl val="0"/>
      </c:catAx>
      <c:valAx>
        <c:axId val="356849536"/>
        <c:scaling>
          <c:orientation val="minMax"/>
        </c:scaling>
        <c:delete val="1"/>
        <c:axPos val="b"/>
        <c:numFmt formatCode="0%" sourceLinked="1"/>
        <c:majorTickMark val="out"/>
        <c:minorTickMark val="none"/>
        <c:tickLblPos val="nextTo"/>
        <c:crossAx val="356848000"/>
        <c:crosses val="autoZero"/>
        <c:crossBetween val="between"/>
      </c:valAx>
    </c:plotArea>
    <c:legend>
      <c:legendPos val="t"/>
      <c:layout>
        <c:manualLayout>
          <c:xMode val="edge"/>
          <c:yMode val="edge"/>
          <c:x val="0.15082593189640686"/>
          <c:y val="0.10403986032876768"/>
          <c:w val="0.72588393117526973"/>
          <c:h val="3.703858136695494E-2"/>
        </c:manualLayout>
      </c:layout>
      <c:overlay val="0"/>
      <c:txPr>
        <a:bodyPr/>
        <a:lstStyle/>
        <a:p>
          <a:pPr>
            <a:defRPr sz="700"/>
          </a:pPr>
          <a:endParaRPr lang="es-CL"/>
        </a:p>
      </c:txPr>
    </c:legend>
    <c:plotVisOnly val="1"/>
    <c:dispBlanksAs val="gap"/>
    <c:showDLblsOverMax val="0"/>
  </c:chart>
  <c:externalData r:id="rId1">
    <c:autoUpdate val="0"/>
  </c:externalData>
</c:chartSpace>
</file>

<file path=word/charts/chart55.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PYME: emisiones de ruido (%)</a:t>
            </a:r>
          </a:p>
        </c:rich>
      </c:tx>
      <c:overlay val="1"/>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'Luminarias y ruido'!$F$12</c:f>
              <c:strCache>
                <c:ptCount val="1"/>
                <c:pt idx="0">
                  <c:v>SI</c:v>
                </c:pt>
              </c:strCache>
            </c:strRef>
          </c:tx>
          <c:invertIfNegative val="0"/>
          <c:dLbls>
            <c:dLbl>
              <c:idx val="1"/>
              <c:delete val="1"/>
            </c:dLbl>
            <c:dLbl>
              <c:idx val="2"/>
              <c:delete val="1"/>
            </c:dLbl>
            <c:dLbl>
              <c:idx val="3"/>
              <c:delete val="1"/>
            </c:dLbl>
            <c:txPr>
              <a:bodyPr/>
              <a:lstStyle/>
              <a:p>
                <a:pPr>
                  <a:defRPr sz="750"/>
                </a:pPr>
                <a:endParaRPr lang="es-CL"/>
              </a:p>
            </c:txPr>
            <c:showLegendKey val="0"/>
            <c:showVal val="1"/>
            <c:showCatName val="0"/>
            <c:showSerName val="0"/>
            <c:showPercent val="0"/>
            <c:showBubbleSize val="0"/>
            <c:showLeaderLines val="0"/>
          </c:dLbls>
          <c:cat>
            <c:strRef>
              <c:f>'Luminarias y ruido'!$A$13:$A$16</c:f>
              <c:strCache>
                <c:ptCount val="4"/>
                <c:pt idx="0">
                  <c:v>Conoce la normativa ambiental aplicable a ruidos</c:v>
                </c:pt>
                <c:pt idx="1">
                  <c:v>Se han realizado mediciones de ruido dentro del ambiente de trabajo</c:v>
                </c:pt>
                <c:pt idx="2">
                  <c:v>Mantiene registros actualizados de las mediciones de ruido</c:v>
                </c:pt>
                <c:pt idx="3">
                  <c:v>Los niveles de ruido medidos cumplen la normativa vigente</c:v>
                </c:pt>
              </c:strCache>
            </c:strRef>
          </c:cat>
          <c:val>
            <c:numRef>
              <c:f>'Luminarias y ruido'!$F$13:$F$16</c:f>
              <c:numCache>
                <c:formatCode>0%</c:formatCode>
                <c:ptCount val="4"/>
                <c:pt idx="0">
                  <c:v>0.15384615384615385</c:v>
                </c:pt>
                <c:pt idx="1">
                  <c:v>0</c:v>
                </c:pt>
                <c:pt idx="2">
                  <c:v>0</c:v>
                </c:pt>
                <c:pt idx="3">
                  <c:v>0</c:v>
                </c:pt>
              </c:numCache>
            </c:numRef>
          </c:val>
        </c:ser>
        <c:ser>
          <c:idx val="1"/>
          <c:order val="1"/>
          <c:tx>
            <c:strRef>
              <c:f>'Luminarias y ruido'!$G$12</c:f>
              <c:strCache>
                <c:ptCount val="1"/>
                <c:pt idx="0">
                  <c:v>NO</c:v>
                </c:pt>
              </c:strCache>
            </c:strRef>
          </c:tx>
          <c:invertIfNegative val="0"/>
          <c:dLbls>
            <c:dLbl>
              <c:idx val="3"/>
              <c:layout>
                <c:manualLayout>
                  <c:x val="9.8806848948446158E-3"/>
                  <c:y val="0"/>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'Luminarias y ruido'!$A$13:$A$16</c:f>
              <c:strCache>
                <c:ptCount val="4"/>
                <c:pt idx="0">
                  <c:v>Conoce la normativa ambiental aplicable a ruidos</c:v>
                </c:pt>
                <c:pt idx="1">
                  <c:v>Se han realizado mediciones de ruido dentro del ambiente de trabajo</c:v>
                </c:pt>
                <c:pt idx="2">
                  <c:v>Mantiene registros actualizados de las mediciones de ruido</c:v>
                </c:pt>
                <c:pt idx="3">
                  <c:v>Los niveles de ruido medidos cumplen la normativa vigente</c:v>
                </c:pt>
              </c:strCache>
            </c:strRef>
          </c:cat>
          <c:val>
            <c:numRef>
              <c:f>'Luminarias y ruido'!$G$13:$G$16</c:f>
              <c:numCache>
                <c:formatCode>0%</c:formatCode>
                <c:ptCount val="4"/>
                <c:pt idx="0">
                  <c:v>0.84615384615384615</c:v>
                </c:pt>
                <c:pt idx="1">
                  <c:v>1</c:v>
                </c:pt>
                <c:pt idx="2">
                  <c:v>1</c:v>
                </c:pt>
                <c:pt idx="3">
                  <c:v>7.6923076923076927E-2</c:v>
                </c:pt>
              </c:numCache>
            </c:numRef>
          </c:val>
        </c:ser>
        <c:ser>
          <c:idx val="2"/>
          <c:order val="2"/>
          <c:tx>
            <c:strRef>
              <c:f>'Luminarias y ruido'!$H$12</c:f>
              <c:strCache>
                <c:ptCount val="1"/>
                <c:pt idx="0">
                  <c:v>NO INFORMA</c:v>
                </c:pt>
              </c:strCache>
            </c:strRef>
          </c:tx>
          <c:invertIfNegative val="0"/>
          <c:dLbls>
            <c:delete val="1"/>
          </c:dLbls>
          <c:cat>
            <c:strRef>
              <c:f>'Luminarias y ruido'!$A$13:$A$16</c:f>
              <c:strCache>
                <c:ptCount val="4"/>
                <c:pt idx="0">
                  <c:v>Conoce la normativa ambiental aplicable a ruidos</c:v>
                </c:pt>
                <c:pt idx="1">
                  <c:v>Se han realizado mediciones de ruido dentro del ambiente de trabajo</c:v>
                </c:pt>
                <c:pt idx="2">
                  <c:v>Mantiene registros actualizados de las mediciones de ruido</c:v>
                </c:pt>
                <c:pt idx="3">
                  <c:v>Los niveles de ruido medidos cumplen la normativa vigente</c:v>
                </c:pt>
              </c:strCache>
            </c:strRef>
          </c:cat>
          <c:val>
            <c:numRef>
              <c:f>'Luminarias y ruido'!$H$13:$H$16</c:f>
              <c:numCache>
                <c:formatCode>0%</c:formatCode>
                <c:ptCount val="4"/>
                <c:pt idx="0">
                  <c:v>0</c:v>
                </c:pt>
                <c:pt idx="1">
                  <c:v>0</c:v>
                </c:pt>
                <c:pt idx="2">
                  <c:v>0</c:v>
                </c:pt>
                <c:pt idx="3">
                  <c:v>0</c:v>
                </c:pt>
              </c:numCache>
            </c:numRef>
          </c:val>
        </c:ser>
        <c:ser>
          <c:idx val="3"/>
          <c:order val="3"/>
          <c:tx>
            <c:strRef>
              <c:f>'Luminarias y ruido'!$I$12</c:f>
              <c:strCache>
                <c:ptCount val="1"/>
                <c:pt idx="0">
                  <c:v>NO SABE</c:v>
                </c:pt>
              </c:strCache>
            </c:strRef>
          </c:tx>
          <c:invertIfNegative val="0"/>
          <c:dLbls>
            <c:dLbl>
              <c:idx val="0"/>
              <c:delete val="1"/>
            </c:dLbl>
            <c:dLbl>
              <c:idx val="1"/>
              <c:delete val="1"/>
            </c:dLbl>
            <c:dLbl>
              <c:idx val="2"/>
              <c:delete val="1"/>
            </c:dLbl>
            <c:txPr>
              <a:bodyPr/>
              <a:lstStyle/>
              <a:p>
                <a:pPr>
                  <a:defRPr sz="750"/>
                </a:pPr>
                <a:endParaRPr lang="es-CL"/>
              </a:p>
            </c:txPr>
            <c:showLegendKey val="0"/>
            <c:showVal val="1"/>
            <c:showCatName val="0"/>
            <c:showSerName val="0"/>
            <c:showPercent val="0"/>
            <c:showBubbleSize val="0"/>
            <c:showLeaderLines val="0"/>
          </c:dLbls>
          <c:cat>
            <c:strRef>
              <c:f>'Luminarias y ruido'!$A$13:$A$16</c:f>
              <c:strCache>
                <c:ptCount val="4"/>
                <c:pt idx="0">
                  <c:v>Conoce la normativa ambiental aplicable a ruidos</c:v>
                </c:pt>
                <c:pt idx="1">
                  <c:v>Se han realizado mediciones de ruido dentro del ambiente de trabajo</c:v>
                </c:pt>
                <c:pt idx="2">
                  <c:v>Mantiene registros actualizados de las mediciones de ruido</c:v>
                </c:pt>
                <c:pt idx="3">
                  <c:v>Los niveles de ruido medidos cumplen la normativa vigente</c:v>
                </c:pt>
              </c:strCache>
            </c:strRef>
          </c:cat>
          <c:val>
            <c:numRef>
              <c:f>'Luminarias y ruido'!$I$13:$I$16</c:f>
              <c:numCache>
                <c:formatCode>0%</c:formatCode>
                <c:ptCount val="4"/>
                <c:pt idx="0">
                  <c:v>0</c:v>
                </c:pt>
                <c:pt idx="1">
                  <c:v>0</c:v>
                </c:pt>
                <c:pt idx="2">
                  <c:v>0</c:v>
                </c:pt>
                <c:pt idx="3">
                  <c:v>0.92307692307692313</c:v>
                </c:pt>
              </c:numCache>
            </c:numRef>
          </c:val>
        </c:ser>
        <c:dLbls>
          <c:showLegendKey val="0"/>
          <c:showVal val="1"/>
          <c:showCatName val="0"/>
          <c:showSerName val="0"/>
          <c:showPercent val="0"/>
          <c:showBubbleSize val="0"/>
        </c:dLbls>
        <c:gapWidth val="150"/>
        <c:shape val="box"/>
        <c:axId val="358193024"/>
        <c:axId val="358194560"/>
        <c:axId val="0"/>
      </c:bar3DChart>
      <c:catAx>
        <c:axId val="358193024"/>
        <c:scaling>
          <c:orientation val="minMax"/>
        </c:scaling>
        <c:delete val="0"/>
        <c:axPos val="l"/>
        <c:majorTickMark val="none"/>
        <c:minorTickMark val="none"/>
        <c:tickLblPos val="nextTo"/>
        <c:txPr>
          <a:bodyPr/>
          <a:lstStyle/>
          <a:p>
            <a:pPr>
              <a:defRPr sz="800"/>
            </a:pPr>
            <a:endParaRPr lang="es-CL"/>
          </a:p>
        </c:txPr>
        <c:crossAx val="358194560"/>
        <c:crosses val="autoZero"/>
        <c:auto val="1"/>
        <c:lblAlgn val="l"/>
        <c:lblOffset val="100"/>
        <c:noMultiLvlLbl val="0"/>
      </c:catAx>
      <c:valAx>
        <c:axId val="358194560"/>
        <c:scaling>
          <c:orientation val="minMax"/>
        </c:scaling>
        <c:delete val="1"/>
        <c:axPos val="b"/>
        <c:numFmt formatCode="0%" sourceLinked="1"/>
        <c:majorTickMark val="out"/>
        <c:minorTickMark val="none"/>
        <c:tickLblPos val="nextTo"/>
        <c:crossAx val="358193024"/>
        <c:crosses val="autoZero"/>
        <c:crossBetween val="between"/>
      </c:valAx>
    </c:plotArea>
    <c:legend>
      <c:legendPos val="t"/>
      <c:layout>
        <c:manualLayout>
          <c:xMode val="edge"/>
          <c:yMode val="edge"/>
          <c:x val="0.24855074365704288"/>
          <c:y val="0.10185185185185185"/>
          <c:w val="0.63628770998400419"/>
          <c:h val="7.2533902012248463E-2"/>
        </c:manualLayout>
      </c:layout>
      <c:overlay val="0"/>
      <c:txPr>
        <a:bodyPr/>
        <a:lstStyle/>
        <a:p>
          <a:pPr>
            <a:defRPr sz="750"/>
          </a:pPr>
          <a:endParaRPr lang="es-CL"/>
        </a:p>
      </c:txPr>
    </c:legend>
    <c:plotVisOnly val="1"/>
    <c:dispBlanksAs val="gap"/>
    <c:showDLblsOverMax val="0"/>
  </c:chart>
  <c:externalData r:id="rId1">
    <c:autoUpdate val="0"/>
  </c:externalData>
</c:chartSpace>
</file>

<file path=word/charts/chart56.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Grande: emisiones de ruido (%)</a:t>
            </a:r>
          </a:p>
        </c:rich>
      </c:tx>
      <c:overlay val="1"/>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'Luminarias y ruido'!$T$12</c:f>
              <c:strCache>
                <c:ptCount val="1"/>
                <c:pt idx="0">
                  <c:v>SI</c:v>
                </c:pt>
              </c:strCache>
            </c:strRef>
          </c:tx>
          <c:invertIfNegative val="0"/>
          <c:dLbls>
            <c:txPr>
              <a:bodyPr/>
              <a:lstStyle/>
              <a:p>
                <a:pPr>
                  <a:defRPr sz="750"/>
                </a:pPr>
                <a:endParaRPr lang="es-CL"/>
              </a:p>
            </c:txPr>
            <c:showLegendKey val="0"/>
            <c:showVal val="1"/>
            <c:showCatName val="0"/>
            <c:showSerName val="0"/>
            <c:showPercent val="0"/>
            <c:showBubbleSize val="0"/>
            <c:showLeaderLines val="0"/>
          </c:dLbls>
          <c:cat>
            <c:strRef>
              <c:f>'Luminarias y ruido'!$A$13:$A$16</c:f>
              <c:strCache>
                <c:ptCount val="4"/>
                <c:pt idx="0">
                  <c:v>Conoce la normativa ambiental aplicable a ruidos</c:v>
                </c:pt>
                <c:pt idx="1">
                  <c:v>Se han realizado mediciones de ruido dentro del ambiente de trabajo</c:v>
                </c:pt>
                <c:pt idx="2">
                  <c:v>Mantiene registros actualizados de las mediciones de ruido</c:v>
                </c:pt>
                <c:pt idx="3">
                  <c:v>Los niveles de ruido medidos cumplen la normativa vigente</c:v>
                </c:pt>
              </c:strCache>
            </c:strRef>
          </c:cat>
          <c:val>
            <c:numRef>
              <c:f>'Luminarias y ruido'!$T$13:$T$16</c:f>
              <c:numCache>
                <c:formatCode>0%</c:formatCode>
                <c:ptCount val="4"/>
                <c:pt idx="0">
                  <c:v>0.7</c:v>
                </c:pt>
                <c:pt idx="1">
                  <c:v>0.7</c:v>
                </c:pt>
                <c:pt idx="2">
                  <c:v>0.5</c:v>
                </c:pt>
                <c:pt idx="3">
                  <c:v>0.5</c:v>
                </c:pt>
              </c:numCache>
            </c:numRef>
          </c:val>
        </c:ser>
        <c:ser>
          <c:idx val="1"/>
          <c:order val="1"/>
          <c:tx>
            <c:strRef>
              <c:f>'Luminarias y ruido'!$U$12</c:f>
              <c:strCache>
                <c:ptCount val="1"/>
                <c:pt idx="0">
                  <c:v>NO</c:v>
                </c:pt>
              </c:strCache>
            </c:strRef>
          </c:tx>
          <c:invertIfNegative val="0"/>
          <c:dLbls>
            <c:dLbl>
              <c:idx val="3"/>
              <c:layout>
                <c:manualLayout>
                  <c:x val="-9.8806848948447077E-3"/>
                  <c:y val="0"/>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'Luminarias y ruido'!$A$13:$A$16</c:f>
              <c:strCache>
                <c:ptCount val="4"/>
                <c:pt idx="0">
                  <c:v>Conoce la normativa ambiental aplicable a ruidos</c:v>
                </c:pt>
                <c:pt idx="1">
                  <c:v>Se han realizado mediciones de ruido dentro del ambiente de trabajo</c:v>
                </c:pt>
                <c:pt idx="2">
                  <c:v>Mantiene registros actualizados de las mediciones de ruido</c:v>
                </c:pt>
                <c:pt idx="3">
                  <c:v>Los niveles de ruido medidos cumplen la normativa vigente</c:v>
                </c:pt>
              </c:strCache>
            </c:strRef>
          </c:cat>
          <c:val>
            <c:numRef>
              <c:f>'Luminarias y ruido'!$U$13:$U$16</c:f>
              <c:numCache>
                <c:formatCode>0%</c:formatCode>
                <c:ptCount val="4"/>
                <c:pt idx="0">
                  <c:v>0.2</c:v>
                </c:pt>
                <c:pt idx="1">
                  <c:v>0.2</c:v>
                </c:pt>
                <c:pt idx="2">
                  <c:v>0.3</c:v>
                </c:pt>
                <c:pt idx="3">
                  <c:v>0.1</c:v>
                </c:pt>
              </c:numCache>
            </c:numRef>
          </c:val>
        </c:ser>
        <c:ser>
          <c:idx val="2"/>
          <c:order val="2"/>
          <c:tx>
            <c:strRef>
              <c:f>'Luminarias y ruido'!$V$12</c:f>
              <c:strCache>
                <c:ptCount val="1"/>
                <c:pt idx="0">
                  <c:v>NO INFORMA</c:v>
                </c:pt>
              </c:strCache>
            </c:strRef>
          </c:tx>
          <c:invertIfNegative val="0"/>
          <c:dLbls>
            <c:dLbl>
              <c:idx val="0"/>
              <c:layout>
                <c:manualLayout>
                  <c:x val="1.9761369789689232E-2"/>
                  <c:y val="0"/>
                </c:manualLayout>
              </c:layout>
              <c:showLegendKey val="0"/>
              <c:showVal val="1"/>
              <c:showCatName val="0"/>
              <c:showSerName val="0"/>
              <c:showPercent val="0"/>
              <c:showBubbleSize val="0"/>
            </c:dLbl>
            <c:dLbl>
              <c:idx val="1"/>
              <c:layout>
                <c:manualLayout>
                  <c:x val="1.4821027342266925E-2"/>
                  <c:y val="0"/>
                </c:manualLayout>
              </c:layout>
              <c:showLegendKey val="0"/>
              <c:showVal val="1"/>
              <c:showCatName val="0"/>
              <c:showSerName val="0"/>
              <c:showPercent val="0"/>
              <c:showBubbleSize val="0"/>
            </c:dLbl>
            <c:dLbl>
              <c:idx val="3"/>
              <c:layout>
                <c:manualLayout>
                  <c:x val="1.2658557762328293E-2"/>
                  <c:y val="0"/>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'Luminarias y ruido'!$A$13:$A$16</c:f>
              <c:strCache>
                <c:ptCount val="4"/>
                <c:pt idx="0">
                  <c:v>Conoce la normativa ambiental aplicable a ruidos</c:v>
                </c:pt>
                <c:pt idx="1">
                  <c:v>Se han realizado mediciones de ruido dentro del ambiente de trabajo</c:v>
                </c:pt>
                <c:pt idx="2">
                  <c:v>Mantiene registros actualizados de las mediciones de ruido</c:v>
                </c:pt>
                <c:pt idx="3">
                  <c:v>Los niveles de ruido medidos cumplen la normativa vigente</c:v>
                </c:pt>
              </c:strCache>
            </c:strRef>
          </c:cat>
          <c:val>
            <c:numRef>
              <c:f>'Luminarias y ruido'!$V$13:$V$16</c:f>
              <c:numCache>
                <c:formatCode>0%</c:formatCode>
                <c:ptCount val="4"/>
                <c:pt idx="0">
                  <c:v>0.1</c:v>
                </c:pt>
                <c:pt idx="1">
                  <c:v>0.1</c:v>
                </c:pt>
                <c:pt idx="2">
                  <c:v>0.1</c:v>
                </c:pt>
                <c:pt idx="3">
                  <c:v>0.1</c:v>
                </c:pt>
              </c:numCache>
            </c:numRef>
          </c:val>
        </c:ser>
        <c:ser>
          <c:idx val="3"/>
          <c:order val="3"/>
          <c:tx>
            <c:strRef>
              <c:f>'Luminarias y ruido'!$W$12</c:f>
              <c:strCache>
                <c:ptCount val="1"/>
                <c:pt idx="0">
                  <c:v>NO SABE</c:v>
                </c:pt>
              </c:strCache>
            </c:strRef>
          </c:tx>
          <c:invertIfNegative val="0"/>
          <c:dLbls>
            <c:dLbl>
              <c:idx val="0"/>
              <c:delete val="1"/>
            </c:dLbl>
            <c:dLbl>
              <c:idx val="1"/>
              <c:delete val="1"/>
            </c:dLbl>
            <c:dLbl>
              <c:idx val="2"/>
              <c:layout>
                <c:manualLayout>
                  <c:x val="2.0370878115122237E-2"/>
                  <c:y val="5.771046012910551E-6"/>
                </c:manualLayout>
              </c:layout>
              <c:showLegendKey val="0"/>
              <c:showVal val="1"/>
              <c:showCatName val="0"/>
              <c:showSerName val="0"/>
              <c:showPercent val="0"/>
              <c:showBubbleSize val="0"/>
            </c:dLbl>
            <c:dLbl>
              <c:idx val="3"/>
              <c:layout>
                <c:manualLayout>
                  <c:x val="1.9761369789689325E-2"/>
                  <c:y val="0"/>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'Luminarias y ruido'!$A$13:$A$16</c:f>
              <c:strCache>
                <c:ptCount val="4"/>
                <c:pt idx="0">
                  <c:v>Conoce la normativa ambiental aplicable a ruidos</c:v>
                </c:pt>
                <c:pt idx="1">
                  <c:v>Se han realizado mediciones de ruido dentro del ambiente de trabajo</c:v>
                </c:pt>
                <c:pt idx="2">
                  <c:v>Mantiene registros actualizados de las mediciones de ruido</c:v>
                </c:pt>
                <c:pt idx="3">
                  <c:v>Los niveles de ruido medidos cumplen la normativa vigente</c:v>
                </c:pt>
              </c:strCache>
            </c:strRef>
          </c:cat>
          <c:val>
            <c:numRef>
              <c:f>'Luminarias y ruido'!$W$13:$W$16</c:f>
              <c:numCache>
                <c:formatCode>0%</c:formatCode>
                <c:ptCount val="4"/>
                <c:pt idx="0">
                  <c:v>0</c:v>
                </c:pt>
                <c:pt idx="1">
                  <c:v>0</c:v>
                </c:pt>
                <c:pt idx="2">
                  <c:v>0.1</c:v>
                </c:pt>
                <c:pt idx="3">
                  <c:v>0.3</c:v>
                </c:pt>
              </c:numCache>
            </c:numRef>
          </c:val>
        </c:ser>
        <c:dLbls>
          <c:showLegendKey val="0"/>
          <c:showVal val="1"/>
          <c:showCatName val="0"/>
          <c:showSerName val="0"/>
          <c:showPercent val="0"/>
          <c:showBubbleSize val="0"/>
        </c:dLbls>
        <c:gapWidth val="150"/>
        <c:shape val="box"/>
        <c:axId val="360718336"/>
        <c:axId val="360719872"/>
        <c:axId val="0"/>
      </c:bar3DChart>
      <c:catAx>
        <c:axId val="360718336"/>
        <c:scaling>
          <c:orientation val="minMax"/>
        </c:scaling>
        <c:delete val="0"/>
        <c:axPos val="l"/>
        <c:majorTickMark val="none"/>
        <c:minorTickMark val="none"/>
        <c:tickLblPos val="nextTo"/>
        <c:txPr>
          <a:bodyPr/>
          <a:lstStyle/>
          <a:p>
            <a:pPr>
              <a:defRPr sz="800"/>
            </a:pPr>
            <a:endParaRPr lang="es-CL"/>
          </a:p>
        </c:txPr>
        <c:crossAx val="360719872"/>
        <c:crosses val="autoZero"/>
        <c:auto val="1"/>
        <c:lblAlgn val="l"/>
        <c:lblOffset val="100"/>
        <c:noMultiLvlLbl val="0"/>
      </c:catAx>
      <c:valAx>
        <c:axId val="360719872"/>
        <c:scaling>
          <c:orientation val="minMax"/>
        </c:scaling>
        <c:delete val="1"/>
        <c:axPos val="b"/>
        <c:numFmt formatCode="0%" sourceLinked="1"/>
        <c:majorTickMark val="out"/>
        <c:minorTickMark val="none"/>
        <c:tickLblPos val="nextTo"/>
        <c:crossAx val="360718336"/>
        <c:crosses val="autoZero"/>
        <c:crossBetween val="between"/>
      </c:valAx>
    </c:plotArea>
    <c:legend>
      <c:legendPos val="t"/>
      <c:layout>
        <c:manualLayout>
          <c:xMode val="edge"/>
          <c:yMode val="edge"/>
          <c:x val="0.19403608923884516"/>
          <c:y val="9.2592592592592587E-2"/>
          <c:w val="0.62859448818897634"/>
          <c:h val="8.3717191601049873E-2"/>
        </c:manualLayout>
      </c:layout>
      <c:overlay val="0"/>
      <c:txPr>
        <a:bodyPr/>
        <a:lstStyle/>
        <a:p>
          <a:pPr>
            <a:defRPr sz="750"/>
          </a:pPr>
          <a:endParaRPr lang="es-CL"/>
        </a:p>
      </c:txPr>
    </c:legend>
    <c:plotVisOnly val="1"/>
    <c:dispBlanksAs val="gap"/>
    <c:showDLblsOverMax val="0"/>
  </c:chart>
  <c:externalData r:id="rId1">
    <c:autoUpdate val="0"/>
  </c:externalData>
</c:chartSpace>
</file>

<file path=word/charts/chart57.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PYME: luminancia</a:t>
            </a:r>
            <a:r>
              <a:rPr lang="es-CL" sz="800" baseline="0"/>
              <a:t> e iluminancia</a:t>
            </a:r>
            <a:r>
              <a:rPr lang="es-CL" sz="800"/>
              <a:t> (%)</a:t>
            </a:r>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5042209228442972"/>
          <c:y val="0.23708958717940046"/>
          <c:w val="0.44992618110236221"/>
          <c:h val="0.71773565104340031"/>
        </c:manualLayout>
      </c:layout>
      <c:bar3DChart>
        <c:barDir val="bar"/>
        <c:grouping val="stacked"/>
        <c:varyColors val="0"/>
        <c:ser>
          <c:idx val="0"/>
          <c:order val="0"/>
          <c:tx>
            <c:strRef>
              <c:f>'Luminarias y ruido'!$F$44</c:f>
              <c:strCache>
                <c:ptCount val="1"/>
                <c:pt idx="0">
                  <c:v>SI</c:v>
                </c:pt>
              </c:strCache>
            </c:strRef>
          </c:tx>
          <c:invertIfNegative val="0"/>
          <c:dLbls>
            <c:dLbl>
              <c:idx val="0"/>
              <c:layout>
                <c:manualLayout>
                  <c:x val="1.0212418300653595E-2"/>
                  <c:y val="0"/>
                </c:manualLayout>
              </c:layout>
              <c:showLegendKey val="0"/>
              <c:showVal val="1"/>
              <c:showCatName val="0"/>
              <c:showSerName val="0"/>
              <c:showPercent val="0"/>
              <c:showBubbleSize val="0"/>
            </c:dLbl>
            <c:dLbl>
              <c:idx val="1"/>
              <c:delete val="1"/>
            </c:dLbl>
            <c:dLbl>
              <c:idx val="2"/>
              <c:delete val="1"/>
            </c:dLbl>
            <c:dLbl>
              <c:idx val="3"/>
              <c:delete val="1"/>
            </c:dLbl>
            <c:txPr>
              <a:bodyPr/>
              <a:lstStyle/>
              <a:p>
                <a:pPr>
                  <a:defRPr sz="800"/>
                </a:pPr>
                <a:endParaRPr lang="es-CL"/>
              </a:p>
            </c:txPr>
            <c:showLegendKey val="0"/>
            <c:showVal val="1"/>
            <c:showCatName val="0"/>
            <c:showSerName val="0"/>
            <c:showPercent val="0"/>
            <c:showBubbleSize val="0"/>
            <c:showLeaderLines val="0"/>
          </c:dLbls>
          <c:cat>
            <c:strRef>
              <c:f>'Luminarias y ruido'!$A$45:$A$48</c:f>
              <c:strCache>
                <c:ptCount val="4"/>
                <c:pt idx="0">
                  <c:v>Conoce la normativa ambiental aplicable a luminancia en lugares de trabajo</c:v>
                </c:pt>
                <c:pt idx="1">
                  <c:v>Se han realizado mediciones de iluminancia y luminancia en el lugar de trabajo</c:v>
                </c:pt>
                <c:pt idx="2">
                  <c:v>Mantiene registros actualizados de las mediciones iluminancia y luminancia</c:v>
                </c:pt>
                <c:pt idx="3">
                  <c:v>Los niveles de luminancia e iluminancia cumplen la normativa vigente</c:v>
                </c:pt>
              </c:strCache>
            </c:strRef>
          </c:cat>
          <c:val>
            <c:numRef>
              <c:f>'Luminarias y ruido'!$F$45:$F$48</c:f>
              <c:numCache>
                <c:formatCode>0%</c:formatCode>
                <c:ptCount val="4"/>
                <c:pt idx="0">
                  <c:v>7.6923076923076927E-2</c:v>
                </c:pt>
                <c:pt idx="1">
                  <c:v>0</c:v>
                </c:pt>
                <c:pt idx="2">
                  <c:v>0</c:v>
                </c:pt>
                <c:pt idx="3">
                  <c:v>0</c:v>
                </c:pt>
              </c:numCache>
            </c:numRef>
          </c:val>
        </c:ser>
        <c:ser>
          <c:idx val="1"/>
          <c:order val="1"/>
          <c:tx>
            <c:strRef>
              <c:f>'Luminarias y ruido'!$G$44</c:f>
              <c:strCache>
                <c:ptCount val="1"/>
                <c:pt idx="0">
                  <c:v>NO</c:v>
                </c:pt>
              </c:strCache>
            </c:strRef>
          </c:tx>
          <c:invertIfNegative val="0"/>
          <c:dLbls>
            <c:dLbl>
              <c:idx val="3"/>
              <c:layout>
                <c:manualLayout>
                  <c:x val="7.8840673408471004E-3"/>
                  <c:y val="0"/>
                </c:manualLayout>
              </c:layout>
              <c:showLegendKey val="0"/>
              <c:showVal val="1"/>
              <c:showCatName val="0"/>
              <c:showSerName val="0"/>
              <c:showPercent val="0"/>
              <c:showBubbleSize val="0"/>
            </c:dLbl>
            <c:txPr>
              <a:bodyPr/>
              <a:lstStyle/>
              <a:p>
                <a:pPr>
                  <a:defRPr sz="800"/>
                </a:pPr>
                <a:endParaRPr lang="es-CL"/>
              </a:p>
            </c:txPr>
            <c:showLegendKey val="0"/>
            <c:showVal val="1"/>
            <c:showCatName val="0"/>
            <c:showSerName val="0"/>
            <c:showPercent val="0"/>
            <c:showBubbleSize val="0"/>
            <c:showLeaderLines val="0"/>
          </c:dLbls>
          <c:cat>
            <c:strRef>
              <c:f>'Luminarias y ruido'!$A$45:$A$48</c:f>
              <c:strCache>
                <c:ptCount val="4"/>
                <c:pt idx="0">
                  <c:v>Conoce la normativa ambiental aplicable a luminancia en lugares de trabajo</c:v>
                </c:pt>
                <c:pt idx="1">
                  <c:v>Se han realizado mediciones de iluminancia y luminancia en el lugar de trabajo</c:v>
                </c:pt>
                <c:pt idx="2">
                  <c:v>Mantiene registros actualizados de las mediciones iluminancia y luminancia</c:v>
                </c:pt>
                <c:pt idx="3">
                  <c:v>Los niveles de luminancia e iluminancia cumplen la normativa vigente</c:v>
                </c:pt>
              </c:strCache>
            </c:strRef>
          </c:cat>
          <c:val>
            <c:numRef>
              <c:f>'Luminarias y ruido'!$G$45:$G$48</c:f>
              <c:numCache>
                <c:formatCode>0%</c:formatCode>
                <c:ptCount val="4"/>
                <c:pt idx="0">
                  <c:v>0.61538461538461542</c:v>
                </c:pt>
                <c:pt idx="1">
                  <c:v>1</c:v>
                </c:pt>
                <c:pt idx="2">
                  <c:v>1</c:v>
                </c:pt>
                <c:pt idx="3">
                  <c:v>7.6923076923076927E-2</c:v>
                </c:pt>
              </c:numCache>
            </c:numRef>
          </c:val>
        </c:ser>
        <c:ser>
          <c:idx val="2"/>
          <c:order val="2"/>
          <c:tx>
            <c:strRef>
              <c:f>'Luminarias y ruido'!$H$44</c:f>
              <c:strCache>
                <c:ptCount val="1"/>
                <c:pt idx="0">
                  <c:v>NO INFORMA</c:v>
                </c:pt>
              </c:strCache>
            </c:strRef>
          </c:tx>
          <c:invertIfNegative val="0"/>
          <c:dLbls>
            <c:delete val="1"/>
          </c:dLbls>
          <c:cat>
            <c:strRef>
              <c:f>'Luminarias y ruido'!$A$45:$A$48</c:f>
              <c:strCache>
                <c:ptCount val="4"/>
                <c:pt idx="0">
                  <c:v>Conoce la normativa ambiental aplicable a luminancia en lugares de trabajo</c:v>
                </c:pt>
                <c:pt idx="1">
                  <c:v>Se han realizado mediciones de iluminancia y luminancia en el lugar de trabajo</c:v>
                </c:pt>
                <c:pt idx="2">
                  <c:v>Mantiene registros actualizados de las mediciones iluminancia y luminancia</c:v>
                </c:pt>
                <c:pt idx="3">
                  <c:v>Los niveles de luminancia e iluminancia cumplen la normativa vigente</c:v>
                </c:pt>
              </c:strCache>
            </c:strRef>
          </c:cat>
          <c:val>
            <c:numRef>
              <c:f>'Luminarias y ruido'!$H$45:$H$48</c:f>
              <c:numCache>
                <c:formatCode>0%</c:formatCode>
                <c:ptCount val="4"/>
                <c:pt idx="0">
                  <c:v>0</c:v>
                </c:pt>
                <c:pt idx="1">
                  <c:v>0</c:v>
                </c:pt>
                <c:pt idx="2">
                  <c:v>0</c:v>
                </c:pt>
                <c:pt idx="3">
                  <c:v>0</c:v>
                </c:pt>
              </c:numCache>
            </c:numRef>
          </c:val>
        </c:ser>
        <c:ser>
          <c:idx val="3"/>
          <c:order val="3"/>
          <c:tx>
            <c:strRef>
              <c:f>'Luminarias y ruido'!$I$44</c:f>
              <c:strCache>
                <c:ptCount val="1"/>
                <c:pt idx="0">
                  <c:v>NO SABE</c:v>
                </c:pt>
              </c:strCache>
            </c:strRef>
          </c:tx>
          <c:invertIfNegative val="0"/>
          <c:dLbls>
            <c:dLbl>
              <c:idx val="1"/>
              <c:delete val="1"/>
            </c:dLbl>
            <c:dLbl>
              <c:idx val="2"/>
              <c:delete val="1"/>
            </c:dLbl>
            <c:txPr>
              <a:bodyPr/>
              <a:lstStyle/>
              <a:p>
                <a:pPr>
                  <a:defRPr sz="800"/>
                </a:pPr>
                <a:endParaRPr lang="es-CL"/>
              </a:p>
            </c:txPr>
            <c:showLegendKey val="0"/>
            <c:showVal val="1"/>
            <c:showCatName val="0"/>
            <c:showSerName val="0"/>
            <c:showPercent val="0"/>
            <c:showBubbleSize val="0"/>
            <c:showLeaderLines val="0"/>
          </c:dLbls>
          <c:cat>
            <c:strRef>
              <c:f>'Luminarias y ruido'!$A$45:$A$48</c:f>
              <c:strCache>
                <c:ptCount val="4"/>
                <c:pt idx="0">
                  <c:v>Conoce la normativa ambiental aplicable a luminancia en lugares de trabajo</c:v>
                </c:pt>
                <c:pt idx="1">
                  <c:v>Se han realizado mediciones de iluminancia y luminancia en el lugar de trabajo</c:v>
                </c:pt>
                <c:pt idx="2">
                  <c:v>Mantiene registros actualizados de las mediciones iluminancia y luminancia</c:v>
                </c:pt>
                <c:pt idx="3">
                  <c:v>Los niveles de luminancia e iluminancia cumplen la normativa vigente</c:v>
                </c:pt>
              </c:strCache>
            </c:strRef>
          </c:cat>
          <c:val>
            <c:numRef>
              <c:f>'Luminarias y ruido'!$I$45:$I$48</c:f>
              <c:numCache>
                <c:formatCode>0%</c:formatCode>
                <c:ptCount val="4"/>
                <c:pt idx="0">
                  <c:v>0.30769230769230771</c:v>
                </c:pt>
                <c:pt idx="1">
                  <c:v>0</c:v>
                </c:pt>
                <c:pt idx="2">
                  <c:v>0</c:v>
                </c:pt>
                <c:pt idx="3">
                  <c:v>0.92307692307692313</c:v>
                </c:pt>
              </c:numCache>
            </c:numRef>
          </c:val>
        </c:ser>
        <c:dLbls>
          <c:showLegendKey val="0"/>
          <c:showVal val="1"/>
          <c:showCatName val="0"/>
          <c:showSerName val="0"/>
          <c:showPercent val="0"/>
          <c:showBubbleSize val="0"/>
        </c:dLbls>
        <c:gapWidth val="95"/>
        <c:gapDepth val="95"/>
        <c:shape val="box"/>
        <c:axId val="360875520"/>
        <c:axId val="360877056"/>
        <c:axId val="0"/>
      </c:bar3DChart>
      <c:catAx>
        <c:axId val="360875520"/>
        <c:scaling>
          <c:orientation val="minMax"/>
        </c:scaling>
        <c:delete val="0"/>
        <c:axPos val="l"/>
        <c:majorTickMark val="none"/>
        <c:minorTickMark val="none"/>
        <c:tickLblPos val="nextTo"/>
        <c:txPr>
          <a:bodyPr/>
          <a:lstStyle/>
          <a:p>
            <a:pPr>
              <a:defRPr sz="750"/>
            </a:pPr>
            <a:endParaRPr lang="es-CL"/>
          </a:p>
        </c:txPr>
        <c:crossAx val="360877056"/>
        <c:crosses val="autoZero"/>
        <c:auto val="1"/>
        <c:lblAlgn val="ctr"/>
        <c:lblOffset val="100"/>
        <c:noMultiLvlLbl val="0"/>
      </c:catAx>
      <c:valAx>
        <c:axId val="360877056"/>
        <c:scaling>
          <c:orientation val="minMax"/>
        </c:scaling>
        <c:delete val="1"/>
        <c:axPos val="b"/>
        <c:numFmt formatCode="0%" sourceLinked="1"/>
        <c:majorTickMark val="out"/>
        <c:minorTickMark val="none"/>
        <c:tickLblPos val="nextTo"/>
        <c:crossAx val="360875520"/>
        <c:crosses val="autoZero"/>
        <c:crossBetween val="between"/>
      </c:valAx>
    </c:plotArea>
    <c:legend>
      <c:legendPos val="t"/>
      <c:overlay val="0"/>
      <c:txPr>
        <a:bodyPr/>
        <a:lstStyle/>
        <a:p>
          <a:pPr>
            <a:defRPr sz="750"/>
          </a:pPr>
          <a:endParaRPr lang="es-CL"/>
        </a:p>
      </c:txPr>
    </c:legend>
    <c:plotVisOnly val="1"/>
    <c:dispBlanksAs val="gap"/>
    <c:showDLblsOverMax val="0"/>
  </c:chart>
  <c:externalData r:id="rId1">
    <c:autoUpdate val="0"/>
  </c:externalData>
</c:chartSpace>
</file>

<file path=word/charts/chart58.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Grande: luminancia e iluminancia</a:t>
            </a:r>
            <a:r>
              <a:rPr lang="es-CL" sz="800" baseline="0"/>
              <a:t> </a:t>
            </a:r>
            <a:r>
              <a:rPr lang="es-CL" sz="800"/>
              <a:t>(%)</a:t>
            </a:r>
          </a:p>
        </c:rich>
      </c:tx>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'Luminarias y ruido'!$T$44</c:f>
              <c:strCache>
                <c:ptCount val="1"/>
                <c:pt idx="0">
                  <c:v>SI</c:v>
                </c:pt>
              </c:strCache>
            </c:strRef>
          </c:tx>
          <c:invertIfNegative val="0"/>
          <c:dLbls>
            <c:dLbl>
              <c:idx val="1"/>
              <c:delete val="1"/>
            </c:dLbl>
            <c:dLbl>
              <c:idx val="2"/>
              <c:delete val="1"/>
            </c:dLbl>
            <c:dLbl>
              <c:idx val="3"/>
              <c:delete val="1"/>
            </c:dLbl>
            <c:txPr>
              <a:bodyPr/>
              <a:lstStyle/>
              <a:p>
                <a:pPr>
                  <a:defRPr sz="800"/>
                </a:pPr>
                <a:endParaRPr lang="es-CL"/>
              </a:p>
            </c:txPr>
            <c:showLegendKey val="0"/>
            <c:showVal val="1"/>
            <c:showCatName val="0"/>
            <c:showSerName val="0"/>
            <c:showPercent val="0"/>
            <c:showBubbleSize val="0"/>
            <c:showLeaderLines val="0"/>
          </c:dLbls>
          <c:cat>
            <c:strRef>
              <c:f>'Luminarias y ruido'!$A$45:$A$48</c:f>
              <c:strCache>
                <c:ptCount val="4"/>
                <c:pt idx="0">
                  <c:v>Conoce la normativa ambiental aplicable a luminancia en lugares de trabajo</c:v>
                </c:pt>
                <c:pt idx="1">
                  <c:v>Se han realizado mediciones de iluminancia y luminancia en el lugar de trabajo</c:v>
                </c:pt>
                <c:pt idx="2">
                  <c:v>Mantiene registros actualizados de las mediciones iluminancia y luminancia</c:v>
                </c:pt>
                <c:pt idx="3">
                  <c:v>Los niveles de luminancia e iluminancia cumplen la normativa vigente</c:v>
                </c:pt>
              </c:strCache>
            </c:strRef>
          </c:cat>
          <c:val>
            <c:numRef>
              <c:f>'Luminarias y ruido'!$T$45:$T$48</c:f>
              <c:numCache>
                <c:formatCode>0%</c:formatCode>
                <c:ptCount val="4"/>
                <c:pt idx="0">
                  <c:v>0.3</c:v>
                </c:pt>
                <c:pt idx="1">
                  <c:v>0</c:v>
                </c:pt>
                <c:pt idx="2">
                  <c:v>0</c:v>
                </c:pt>
                <c:pt idx="3">
                  <c:v>0</c:v>
                </c:pt>
              </c:numCache>
            </c:numRef>
          </c:val>
        </c:ser>
        <c:ser>
          <c:idx val="1"/>
          <c:order val="1"/>
          <c:tx>
            <c:strRef>
              <c:f>'Luminarias y ruido'!$U$44</c:f>
              <c:strCache>
                <c:ptCount val="1"/>
                <c:pt idx="0">
                  <c:v>NO</c:v>
                </c:pt>
              </c:strCache>
            </c:strRef>
          </c:tx>
          <c:invertIfNegative val="0"/>
          <c:dLbls>
            <c:dLbl>
              <c:idx val="3"/>
              <c:layout>
                <c:manualLayout>
                  <c:x val="-2.2528338761176495E-2"/>
                  <c:y val="0"/>
                </c:manualLayout>
              </c:layout>
              <c:showLegendKey val="0"/>
              <c:showVal val="1"/>
              <c:showCatName val="0"/>
              <c:showSerName val="0"/>
              <c:showPercent val="0"/>
              <c:showBubbleSize val="0"/>
            </c:dLbl>
            <c:txPr>
              <a:bodyPr/>
              <a:lstStyle/>
              <a:p>
                <a:pPr>
                  <a:defRPr sz="800"/>
                </a:pPr>
                <a:endParaRPr lang="es-CL"/>
              </a:p>
            </c:txPr>
            <c:showLegendKey val="0"/>
            <c:showVal val="1"/>
            <c:showCatName val="0"/>
            <c:showSerName val="0"/>
            <c:showPercent val="0"/>
            <c:showBubbleSize val="0"/>
            <c:showLeaderLines val="0"/>
          </c:dLbls>
          <c:cat>
            <c:strRef>
              <c:f>'Luminarias y ruido'!$A$45:$A$48</c:f>
              <c:strCache>
                <c:ptCount val="4"/>
                <c:pt idx="0">
                  <c:v>Conoce la normativa ambiental aplicable a luminancia en lugares de trabajo</c:v>
                </c:pt>
                <c:pt idx="1">
                  <c:v>Se han realizado mediciones de iluminancia y luminancia en el lugar de trabajo</c:v>
                </c:pt>
                <c:pt idx="2">
                  <c:v>Mantiene registros actualizados de las mediciones iluminancia y luminancia</c:v>
                </c:pt>
                <c:pt idx="3">
                  <c:v>Los niveles de luminancia e iluminancia cumplen la normativa vigente</c:v>
                </c:pt>
              </c:strCache>
            </c:strRef>
          </c:cat>
          <c:val>
            <c:numRef>
              <c:f>'Luminarias y ruido'!$U$45:$U$48</c:f>
              <c:numCache>
                <c:formatCode>0%</c:formatCode>
                <c:ptCount val="4"/>
                <c:pt idx="0">
                  <c:v>0.5</c:v>
                </c:pt>
                <c:pt idx="1">
                  <c:v>0.9</c:v>
                </c:pt>
                <c:pt idx="2">
                  <c:v>0.9</c:v>
                </c:pt>
                <c:pt idx="3">
                  <c:v>0.1</c:v>
                </c:pt>
              </c:numCache>
            </c:numRef>
          </c:val>
        </c:ser>
        <c:ser>
          <c:idx val="2"/>
          <c:order val="2"/>
          <c:tx>
            <c:strRef>
              <c:f>'Luminarias y ruido'!$V$44</c:f>
              <c:strCache>
                <c:ptCount val="1"/>
                <c:pt idx="0">
                  <c:v>NO INFORMA</c:v>
                </c:pt>
              </c:strCache>
            </c:strRef>
          </c:tx>
          <c:invertIfNegative val="0"/>
          <c:dLbls>
            <c:dLbl>
              <c:idx val="0"/>
              <c:layout>
                <c:manualLayout>
                  <c:x val="9.2787681128907545E-17"/>
                  <c:y val="0"/>
                </c:manualLayout>
              </c:layout>
              <c:showLegendKey val="0"/>
              <c:showVal val="1"/>
              <c:showCatName val="0"/>
              <c:showSerName val="0"/>
              <c:showPercent val="0"/>
              <c:showBubbleSize val="0"/>
            </c:dLbl>
            <c:dLbl>
              <c:idx val="3"/>
              <c:layout>
                <c:manualLayout>
                  <c:x val="2.8579410899624329E-2"/>
                  <c:y val="0"/>
                </c:manualLayout>
              </c:layout>
              <c:showLegendKey val="0"/>
              <c:showVal val="1"/>
              <c:showCatName val="0"/>
              <c:showSerName val="0"/>
              <c:showPercent val="0"/>
              <c:showBubbleSize val="0"/>
            </c:dLbl>
            <c:txPr>
              <a:bodyPr/>
              <a:lstStyle/>
              <a:p>
                <a:pPr>
                  <a:defRPr sz="800"/>
                </a:pPr>
                <a:endParaRPr lang="es-CL"/>
              </a:p>
            </c:txPr>
            <c:showLegendKey val="0"/>
            <c:showVal val="1"/>
            <c:showCatName val="0"/>
            <c:showSerName val="0"/>
            <c:showPercent val="0"/>
            <c:showBubbleSize val="0"/>
            <c:showLeaderLines val="0"/>
          </c:dLbls>
          <c:cat>
            <c:strRef>
              <c:f>'Luminarias y ruido'!$A$45:$A$48</c:f>
              <c:strCache>
                <c:ptCount val="4"/>
                <c:pt idx="0">
                  <c:v>Conoce la normativa ambiental aplicable a luminancia en lugares de trabajo</c:v>
                </c:pt>
                <c:pt idx="1">
                  <c:v>Se han realizado mediciones de iluminancia y luminancia en el lugar de trabajo</c:v>
                </c:pt>
                <c:pt idx="2">
                  <c:v>Mantiene registros actualizados de las mediciones iluminancia y luminancia</c:v>
                </c:pt>
                <c:pt idx="3">
                  <c:v>Los niveles de luminancia e iluminancia cumplen la normativa vigente</c:v>
                </c:pt>
              </c:strCache>
            </c:strRef>
          </c:cat>
          <c:val>
            <c:numRef>
              <c:f>'Luminarias y ruido'!$V$45:$V$48</c:f>
              <c:numCache>
                <c:formatCode>0%</c:formatCode>
                <c:ptCount val="4"/>
                <c:pt idx="0">
                  <c:v>0.1</c:v>
                </c:pt>
                <c:pt idx="1">
                  <c:v>0.1</c:v>
                </c:pt>
                <c:pt idx="2">
                  <c:v>0.1</c:v>
                </c:pt>
                <c:pt idx="3">
                  <c:v>0.1</c:v>
                </c:pt>
              </c:numCache>
            </c:numRef>
          </c:val>
        </c:ser>
        <c:ser>
          <c:idx val="3"/>
          <c:order val="3"/>
          <c:tx>
            <c:strRef>
              <c:f>'Luminarias y ruido'!$W$44</c:f>
              <c:strCache>
                <c:ptCount val="1"/>
                <c:pt idx="0">
                  <c:v>NO SABE</c:v>
                </c:pt>
              </c:strCache>
            </c:strRef>
          </c:tx>
          <c:invertIfNegative val="0"/>
          <c:dLbls>
            <c:dLbl>
              <c:idx val="0"/>
              <c:layout>
                <c:manualLayout>
                  <c:x val="5.894589851128848E-2"/>
                  <c:y val="3.8039634903371841E-3"/>
                </c:manualLayout>
              </c:layout>
              <c:showLegendKey val="0"/>
              <c:showVal val="1"/>
              <c:showCatName val="0"/>
              <c:showSerName val="0"/>
              <c:showPercent val="0"/>
              <c:showBubbleSize val="0"/>
            </c:dLbl>
            <c:dLbl>
              <c:idx val="1"/>
              <c:delete val="1"/>
            </c:dLbl>
            <c:dLbl>
              <c:idx val="2"/>
              <c:delete val="1"/>
            </c:dLbl>
            <c:txPr>
              <a:bodyPr/>
              <a:lstStyle/>
              <a:p>
                <a:pPr>
                  <a:defRPr sz="800"/>
                </a:pPr>
                <a:endParaRPr lang="es-CL"/>
              </a:p>
            </c:txPr>
            <c:showLegendKey val="0"/>
            <c:showVal val="1"/>
            <c:showCatName val="0"/>
            <c:showSerName val="0"/>
            <c:showPercent val="0"/>
            <c:showBubbleSize val="0"/>
            <c:showLeaderLines val="0"/>
          </c:dLbls>
          <c:cat>
            <c:strRef>
              <c:f>'Luminarias y ruido'!$A$45:$A$48</c:f>
              <c:strCache>
                <c:ptCount val="4"/>
                <c:pt idx="0">
                  <c:v>Conoce la normativa ambiental aplicable a luminancia en lugares de trabajo</c:v>
                </c:pt>
                <c:pt idx="1">
                  <c:v>Se han realizado mediciones de iluminancia y luminancia en el lugar de trabajo</c:v>
                </c:pt>
                <c:pt idx="2">
                  <c:v>Mantiene registros actualizados de las mediciones iluminancia y luminancia</c:v>
                </c:pt>
                <c:pt idx="3">
                  <c:v>Los niveles de luminancia e iluminancia cumplen la normativa vigente</c:v>
                </c:pt>
              </c:strCache>
            </c:strRef>
          </c:cat>
          <c:val>
            <c:numRef>
              <c:f>'Luminarias y ruido'!$W$45:$W$48</c:f>
              <c:numCache>
                <c:formatCode>0%</c:formatCode>
                <c:ptCount val="4"/>
                <c:pt idx="0">
                  <c:v>0.1</c:v>
                </c:pt>
                <c:pt idx="1">
                  <c:v>0</c:v>
                </c:pt>
                <c:pt idx="2">
                  <c:v>0</c:v>
                </c:pt>
                <c:pt idx="3">
                  <c:v>0.8</c:v>
                </c:pt>
              </c:numCache>
            </c:numRef>
          </c:val>
        </c:ser>
        <c:dLbls>
          <c:showLegendKey val="0"/>
          <c:showVal val="1"/>
          <c:showCatName val="0"/>
          <c:showSerName val="0"/>
          <c:showPercent val="0"/>
          <c:showBubbleSize val="0"/>
        </c:dLbls>
        <c:gapWidth val="95"/>
        <c:gapDepth val="95"/>
        <c:shape val="box"/>
        <c:axId val="360947072"/>
        <c:axId val="361063552"/>
        <c:axId val="0"/>
      </c:bar3DChart>
      <c:catAx>
        <c:axId val="360947072"/>
        <c:scaling>
          <c:orientation val="minMax"/>
        </c:scaling>
        <c:delete val="0"/>
        <c:axPos val="l"/>
        <c:majorTickMark val="none"/>
        <c:minorTickMark val="none"/>
        <c:tickLblPos val="nextTo"/>
        <c:txPr>
          <a:bodyPr/>
          <a:lstStyle/>
          <a:p>
            <a:pPr>
              <a:defRPr sz="750"/>
            </a:pPr>
            <a:endParaRPr lang="es-CL"/>
          </a:p>
        </c:txPr>
        <c:crossAx val="361063552"/>
        <c:crosses val="autoZero"/>
        <c:auto val="1"/>
        <c:lblAlgn val="ctr"/>
        <c:lblOffset val="100"/>
        <c:noMultiLvlLbl val="0"/>
      </c:catAx>
      <c:valAx>
        <c:axId val="361063552"/>
        <c:scaling>
          <c:orientation val="minMax"/>
        </c:scaling>
        <c:delete val="1"/>
        <c:axPos val="b"/>
        <c:numFmt formatCode="0%" sourceLinked="1"/>
        <c:majorTickMark val="out"/>
        <c:minorTickMark val="none"/>
        <c:tickLblPos val="nextTo"/>
        <c:crossAx val="360947072"/>
        <c:crosses val="autoZero"/>
        <c:crossBetween val="between"/>
      </c:valAx>
    </c:plotArea>
    <c:legend>
      <c:legendPos val="t"/>
      <c:overlay val="0"/>
      <c:txPr>
        <a:bodyPr/>
        <a:lstStyle/>
        <a:p>
          <a:pPr>
            <a:defRPr sz="750"/>
          </a:pPr>
          <a:endParaRPr lang="es-CL"/>
        </a:p>
      </c:txPr>
    </c:legend>
    <c:plotVisOnly val="1"/>
    <c:dispBlanksAs val="gap"/>
    <c:showDLblsOverMax val="0"/>
  </c:chart>
  <c:externalData r:id="rId1">
    <c:autoUpdate val="0"/>
  </c:externalData>
</c:chartSpace>
</file>

<file path=word/charts/chart59.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MYPES (%)</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G.Ambiental!$B$77</c:f>
              <c:strCache>
                <c:ptCount val="1"/>
                <c:pt idx="0">
                  <c:v>MYPES</c:v>
                </c:pt>
              </c:strCache>
            </c:strRef>
          </c:tx>
          <c:invertIfNegative val="0"/>
          <c:dLbls>
            <c:txPr>
              <a:bodyPr/>
              <a:lstStyle/>
              <a:p>
                <a:pPr>
                  <a:defRPr sz="800"/>
                </a:pPr>
                <a:endParaRPr lang="es-CL"/>
              </a:p>
            </c:txPr>
            <c:showLegendKey val="0"/>
            <c:showVal val="1"/>
            <c:showCatName val="0"/>
            <c:showSerName val="0"/>
            <c:showPercent val="0"/>
            <c:showBubbleSize val="0"/>
            <c:showLeaderLines val="0"/>
          </c:dLbls>
          <c:cat>
            <c:strRef>
              <c:f>G.Ambiental!$C$76:$I$76</c:f>
              <c:strCache>
                <c:ptCount val="7"/>
                <c:pt idx="0">
                  <c:v>Buenas Practicas Acuícolas (BAP)</c:v>
                </c:pt>
                <c:pt idx="1">
                  <c:v>Friend of Sea (FOS)</c:v>
                </c:pt>
                <c:pt idx="2">
                  <c:v>C. orgánica</c:v>
                </c:pt>
                <c:pt idx="3">
                  <c:v>NCh 3360/2014 (Choritos frescos-Evaluación de parámetros de calidad)</c:v>
                </c:pt>
                <c:pt idx="4">
                  <c:v>Marine Stewardship Council (MSC)</c:v>
                </c:pt>
                <c:pt idx="5">
                  <c:v>Aquaculture Stewardship Council (ASC)</c:v>
                </c:pt>
                <c:pt idx="6">
                  <c:v>Proceso implementación ASC</c:v>
                </c:pt>
              </c:strCache>
            </c:strRef>
          </c:cat>
          <c:val>
            <c:numRef>
              <c:f>G.Ambiental!$C$77:$I$77</c:f>
              <c:numCache>
                <c:formatCode>0%</c:formatCode>
                <c:ptCount val="7"/>
                <c:pt idx="0">
                  <c:v>0</c:v>
                </c:pt>
                <c:pt idx="1">
                  <c:v>0</c:v>
                </c:pt>
                <c:pt idx="2">
                  <c:v>7.6923076923076927E-2</c:v>
                </c:pt>
                <c:pt idx="3">
                  <c:v>7.6923076923076927E-2</c:v>
                </c:pt>
                <c:pt idx="4">
                  <c:v>0</c:v>
                </c:pt>
                <c:pt idx="5">
                  <c:v>0</c:v>
                </c:pt>
                <c:pt idx="6">
                  <c:v>7.6923076923076927E-2</c:v>
                </c:pt>
              </c:numCache>
            </c:numRef>
          </c:val>
        </c:ser>
        <c:dLbls>
          <c:showLegendKey val="0"/>
          <c:showVal val="1"/>
          <c:showCatName val="0"/>
          <c:showSerName val="0"/>
          <c:showPercent val="0"/>
          <c:showBubbleSize val="0"/>
        </c:dLbls>
        <c:gapWidth val="150"/>
        <c:shape val="box"/>
        <c:axId val="365961984"/>
        <c:axId val="365964672"/>
        <c:axId val="0"/>
      </c:bar3DChart>
      <c:catAx>
        <c:axId val="365961984"/>
        <c:scaling>
          <c:orientation val="minMax"/>
        </c:scaling>
        <c:delete val="0"/>
        <c:axPos val="l"/>
        <c:majorTickMark val="none"/>
        <c:minorTickMark val="none"/>
        <c:tickLblPos val="nextTo"/>
        <c:txPr>
          <a:bodyPr/>
          <a:lstStyle/>
          <a:p>
            <a:pPr>
              <a:defRPr sz="800"/>
            </a:pPr>
            <a:endParaRPr lang="es-CL"/>
          </a:p>
        </c:txPr>
        <c:crossAx val="365964672"/>
        <c:crosses val="autoZero"/>
        <c:auto val="1"/>
        <c:lblAlgn val="ctr"/>
        <c:lblOffset val="100"/>
        <c:noMultiLvlLbl val="0"/>
      </c:catAx>
      <c:valAx>
        <c:axId val="365964672"/>
        <c:scaling>
          <c:orientation val="minMax"/>
        </c:scaling>
        <c:delete val="1"/>
        <c:axPos val="b"/>
        <c:numFmt formatCode="0%" sourceLinked="1"/>
        <c:majorTickMark val="out"/>
        <c:minorTickMark val="none"/>
        <c:tickLblPos val="nextTo"/>
        <c:crossAx val="365961984"/>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Total Trabajadores</a:t>
            </a:r>
            <a:r>
              <a:rPr lang="en-US" sz="800" baseline="0"/>
              <a:t> </a:t>
            </a:r>
            <a:r>
              <a:rPr lang="en-US" sz="800"/>
              <a:t>de centros de cultivo diagnosticados según</a:t>
            </a:r>
            <a:r>
              <a:rPr lang="en-US" sz="800" baseline="0"/>
              <a:t> tipo de contrato</a:t>
            </a:r>
            <a:r>
              <a:rPr lang="en-US" sz="800"/>
              <a:t>  (N°)</a:t>
            </a:r>
          </a:p>
        </c:rich>
      </c:tx>
      <c:layout>
        <c:manualLayout>
          <c:xMode val="edge"/>
          <c:yMode val="edge"/>
          <c:x val="0.1124582239720035"/>
          <c:y val="4.1666666666666664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'RRHH  '!$P$182</c:f>
              <c:strCache>
                <c:ptCount val="1"/>
                <c:pt idx="0">
                  <c:v>TOTAL</c:v>
                </c:pt>
              </c:strCache>
            </c:strRef>
          </c:tx>
          <c:invertIfNegative val="0"/>
          <c:dLbls>
            <c:dLbl>
              <c:idx val="0"/>
              <c:layout>
                <c:manualLayout>
                  <c:x val="2.5000000000000001E-2"/>
                  <c:y val="-2.7777777777777776E-2"/>
                </c:manualLayout>
              </c:layout>
              <c:showLegendKey val="0"/>
              <c:showVal val="1"/>
              <c:showCatName val="0"/>
              <c:showSerName val="0"/>
              <c:showPercent val="0"/>
              <c:showBubbleSize val="0"/>
            </c:dLbl>
            <c:dLbl>
              <c:idx val="1"/>
              <c:layout>
                <c:manualLayout>
                  <c:x val="2.5000000000000001E-2"/>
                  <c:y val="-3.2407407407407406E-2"/>
                </c:manualLayout>
              </c:layout>
              <c:showLegendKey val="0"/>
              <c:showVal val="1"/>
              <c:showCatName val="0"/>
              <c:showSerName val="0"/>
              <c:showPercent val="0"/>
              <c:showBubbleSize val="0"/>
            </c:dLbl>
            <c:dLbl>
              <c:idx val="2"/>
              <c:layout>
                <c:manualLayout>
                  <c:x val="2.5000000000000001E-2"/>
                  <c:y val="-2.7777777777777776E-2"/>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'RRHH  '!$T$181:$U$181</c:f>
              <c:strCache>
                <c:ptCount val="2"/>
                <c:pt idx="0">
                  <c:v>Temporal (N°)</c:v>
                </c:pt>
                <c:pt idx="1">
                  <c:v>Indefinido (N°)</c:v>
                </c:pt>
              </c:strCache>
            </c:strRef>
          </c:cat>
          <c:val>
            <c:numRef>
              <c:f>'RRHH  '!$T$182:$U$182</c:f>
              <c:numCache>
                <c:formatCode>General</c:formatCode>
                <c:ptCount val="2"/>
                <c:pt idx="0">
                  <c:v>37</c:v>
                </c:pt>
                <c:pt idx="1">
                  <c:v>165</c:v>
                </c:pt>
              </c:numCache>
            </c:numRef>
          </c:val>
        </c:ser>
        <c:dLbls>
          <c:showLegendKey val="0"/>
          <c:showVal val="1"/>
          <c:showCatName val="0"/>
          <c:showSerName val="0"/>
          <c:showPercent val="0"/>
          <c:showBubbleSize val="0"/>
        </c:dLbls>
        <c:gapWidth val="150"/>
        <c:shape val="box"/>
        <c:axId val="155691264"/>
        <c:axId val="155989120"/>
        <c:axId val="0"/>
      </c:bar3DChart>
      <c:catAx>
        <c:axId val="155691264"/>
        <c:scaling>
          <c:orientation val="minMax"/>
        </c:scaling>
        <c:delete val="0"/>
        <c:axPos val="b"/>
        <c:majorTickMark val="none"/>
        <c:minorTickMark val="none"/>
        <c:tickLblPos val="nextTo"/>
        <c:txPr>
          <a:bodyPr/>
          <a:lstStyle/>
          <a:p>
            <a:pPr>
              <a:defRPr sz="750"/>
            </a:pPr>
            <a:endParaRPr lang="es-CL"/>
          </a:p>
        </c:txPr>
        <c:crossAx val="155989120"/>
        <c:crosses val="autoZero"/>
        <c:auto val="1"/>
        <c:lblAlgn val="ctr"/>
        <c:lblOffset val="100"/>
        <c:noMultiLvlLbl val="0"/>
      </c:catAx>
      <c:valAx>
        <c:axId val="155989120"/>
        <c:scaling>
          <c:orientation val="minMax"/>
        </c:scaling>
        <c:delete val="1"/>
        <c:axPos val="l"/>
        <c:numFmt formatCode="General" sourceLinked="1"/>
        <c:majorTickMark val="out"/>
        <c:minorTickMark val="none"/>
        <c:tickLblPos val="nextTo"/>
        <c:crossAx val="155691264"/>
        <c:crosses val="autoZero"/>
        <c:crossBetween val="between"/>
      </c:valAx>
    </c:plotArea>
    <c:plotVisOnly val="1"/>
    <c:dispBlanksAs val="gap"/>
    <c:showDLblsOverMax val="0"/>
  </c:chart>
  <c:externalData r:id="rId1">
    <c:autoUpdate val="0"/>
  </c:externalData>
</c:chartSpace>
</file>

<file path=word/charts/chart60.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Grandes (%)</a:t>
            </a:r>
          </a:p>
        </c:rich>
      </c:tx>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G.Ambiental!$B$78</c:f>
              <c:strCache>
                <c:ptCount val="1"/>
                <c:pt idx="0">
                  <c:v>GRANDES</c:v>
                </c:pt>
              </c:strCache>
            </c:strRef>
          </c:tx>
          <c:invertIfNegative val="0"/>
          <c:dLbls>
            <c:txPr>
              <a:bodyPr/>
              <a:lstStyle/>
              <a:p>
                <a:pPr>
                  <a:defRPr sz="800"/>
                </a:pPr>
                <a:endParaRPr lang="es-CL"/>
              </a:p>
            </c:txPr>
            <c:showLegendKey val="0"/>
            <c:showVal val="1"/>
            <c:showCatName val="0"/>
            <c:showSerName val="0"/>
            <c:showPercent val="0"/>
            <c:showBubbleSize val="0"/>
            <c:showLeaderLines val="0"/>
          </c:dLbls>
          <c:cat>
            <c:strRef>
              <c:f>G.Ambiental!$C$76:$I$76</c:f>
              <c:strCache>
                <c:ptCount val="7"/>
                <c:pt idx="0">
                  <c:v>Buenas Practicas Acuícolas (BAP)</c:v>
                </c:pt>
                <c:pt idx="1">
                  <c:v>Friend of Sea (FOS)</c:v>
                </c:pt>
                <c:pt idx="2">
                  <c:v>C. orgánica</c:v>
                </c:pt>
                <c:pt idx="3">
                  <c:v>NCh 3360/2014 (Choritos frescos-Evaluación de parámetros de calidad)</c:v>
                </c:pt>
                <c:pt idx="4">
                  <c:v>Marine Stewardship Council (MSC)</c:v>
                </c:pt>
                <c:pt idx="5">
                  <c:v>Aquaculture Stewardship Council (ASC)</c:v>
                </c:pt>
                <c:pt idx="6">
                  <c:v>Proceso implementación ASC</c:v>
                </c:pt>
              </c:strCache>
            </c:strRef>
          </c:cat>
          <c:val>
            <c:numRef>
              <c:f>G.Ambiental!$C$78:$I$78</c:f>
              <c:numCache>
                <c:formatCode>0%</c:formatCode>
                <c:ptCount val="7"/>
                <c:pt idx="0">
                  <c:v>0.55555555555555558</c:v>
                </c:pt>
                <c:pt idx="1">
                  <c:v>0.66666666666666663</c:v>
                </c:pt>
                <c:pt idx="2">
                  <c:v>0.22222222222222221</c:v>
                </c:pt>
                <c:pt idx="3">
                  <c:v>0.1111111111111111</c:v>
                </c:pt>
                <c:pt idx="4">
                  <c:v>0.22222222222222221</c:v>
                </c:pt>
                <c:pt idx="5">
                  <c:v>0.22222222222222221</c:v>
                </c:pt>
                <c:pt idx="6">
                  <c:v>0.44444444444444442</c:v>
                </c:pt>
              </c:numCache>
            </c:numRef>
          </c:val>
        </c:ser>
        <c:dLbls>
          <c:showLegendKey val="0"/>
          <c:showVal val="1"/>
          <c:showCatName val="0"/>
          <c:showSerName val="0"/>
          <c:showPercent val="0"/>
          <c:showBubbleSize val="0"/>
        </c:dLbls>
        <c:gapWidth val="150"/>
        <c:shape val="box"/>
        <c:axId val="365988480"/>
        <c:axId val="366003712"/>
        <c:axId val="0"/>
      </c:bar3DChart>
      <c:catAx>
        <c:axId val="365988480"/>
        <c:scaling>
          <c:orientation val="minMax"/>
        </c:scaling>
        <c:delete val="0"/>
        <c:axPos val="l"/>
        <c:majorTickMark val="none"/>
        <c:minorTickMark val="none"/>
        <c:tickLblPos val="nextTo"/>
        <c:txPr>
          <a:bodyPr/>
          <a:lstStyle/>
          <a:p>
            <a:pPr>
              <a:defRPr sz="800"/>
            </a:pPr>
            <a:endParaRPr lang="es-CL"/>
          </a:p>
        </c:txPr>
        <c:crossAx val="366003712"/>
        <c:crosses val="autoZero"/>
        <c:auto val="1"/>
        <c:lblAlgn val="ctr"/>
        <c:lblOffset val="100"/>
        <c:noMultiLvlLbl val="0"/>
      </c:catAx>
      <c:valAx>
        <c:axId val="366003712"/>
        <c:scaling>
          <c:orientation val="minMax"/>
        </c:scaling>
        <c:delete val="1"/>
        <c:axPos val="b"/>
        <c:numFmt formatCode="0%" sourceLinked="1"/>
        <c:majorTickMark val="out"/>
        <c:minorTickMark val="none"/>
        <c:tickLblPos val="nextTo"/>
        <c:crossAx val="365988480"/>
        <c:crosses val="autoZero"/>
        <c:crossBetween val="between"/>
      </c:valAx>
    </c:plotArea>
    <c:plotVisOnly val="1"/>
    <c:dispBlanksAs val="gap"/>
    <c:showDLblsOverMax val="0"/>
  </c:chart>
  <c:externalData r:id="rId1">
    <c:autoUpdate val="0"/>
  </c:externalData>
</c:chartSpace>
</file>

<file path=word/charts/chart61.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750"/>
            </a:pPr>
            <a:r>
              <a:rPr lang="es-CL" sz="750"/>
              <a:t>MYPE (%)</a:t>
            </a:r>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50604041627663676"/>
          <c:y val="8.2170401107943658E-2"/>
          <c:w val="0.46874385167687727"/>
          <c:h val="0.89958636004272707"/>
        </c:manualLayout>
      </c:layout>
      <c:bar3DChart>
        <c:barDir val="bar"/>
        <c:grouping val="stacked"/>
        <c:varyColors val="0"/>
        <c:ser>
          <c:idx val="0"/>
          <c:order val="0"/>
          <c:tx>
            <c:strRef>
              <c:f>SSO!$F$31</c:f>
              <c:strCache>
                <c:ptCount val="1"/>
                <c:pt idx="0">
                  <c:v>SI</c:v>
                </c:pt>
              </c:strCache>
            </c:strRef>
          </c:tx>
          <c:invertIfNegative val="0"/>
          <c:dLbls>
            <c:dLbl>
              <c:idx val="3"/>
              <c:delete val="1"/>
            </c:dLbl>
            <c:dLbl>
              <c:idx val="7"/>
              <c:delete val="1"/>
            </c:dLbl>
            <c:dLbl>
              <c:idx val="8"/>
              <c:delete val="1"/>
            </c:dLbl>
            <c:dLbl>
              <c:idx val="9"/>
              <c:delete val="1"/>
            </c:dLbl>
            <c:dLbl>
              <c:idx val="16"/>
              <c:delete val="1"/>
            </c:dLbl>
            <c:dLbl>
              <c:idx val="19"/>
              <c:delete val="1"/>
            </c:dLbl>
            <c:dLbl>
              <c:idx val="20"/>
              <c:delete val="1"/>
            </c:dLbl>
            <c:dLbl>
              <c:idx val="21"/>
              <c:delete val="1"/>
            </c:dLbl>
            <c:dLbl>
              <c:idx val="22"/>
              <c:delete val="1"/>
            </c:dLbl>
            <c:txPr>
              <a:bodyPr/>
              <a:lstStyle/>
              <a:p>
                <a:pPr>
                  <a:defRPr sz="700"/>
                </a:pPr>
                <a:endParaRPr lang="es-CL"/>
              </a:p>
            </c:txPr>
            <c:showLegendKey val="0"/>
            <c:showVal val="1"/>
            <c:showCatName val="0"/>
            <c:showSerName val="0"/>
            <c:showPercent val="0"/>
            <c:showBubbleSize val="0"/>
            <c:showLeaderLines val="0"/>
          </c:dLbls>
          <c:cat>
            <c:strRef>
              <c:f>SSO!$A$32:$A$54</c:f>
              <c:strCache>
                <c:ptCount val="23"/>
                <c:pt idx="0">
                  <c:v>La empresa está afiliada a alguna mutual de seguridad </c:v>
                </c:pt>
                <c:pt idx="1">
                  <c:v>Se mantienen registros de la tasa de accidentabilidad histórica</c:v>
                </c:pt>
                <c:pt idx="2">
                  <c:v>Se mantienen registros de la tasa de accidentabilidad actual</c:v>
                </c:pt>
                <c:pt idx="3">
                  <c:v>Existe un comité paritario de higiene y seguridad </c:v>
                </c:pt>
                <c:pt idx="4">
                  <c:v>Existe un reglamento interno de higiene y seguridad</c:v>
                </c:pt>
                <c:pt idx="5">
                  <c:v>Existe identificación y evaluación de riesgos de seguridad ambiental de la empresa (Ley 16.744, DS 594, DS 40, DS 76)</c:v>
                </c:pt>
                <c:pt idx="6">
                  <c:v>Posee Plan de Contingencia de hombre al agua</c:v>
                </c:pt>
                <c:pt idx="7">
                  <c:v>Posee Plan de Contingencia contra incendio</c:v>
                </c:pt>
                <c:pt idx="8">
                  <c:v>Posee Plan de Contingencia de buceo</c:v>
                </c:pt>
                <c:pt idx="9">
                  <c:v>Posee Plan de Contingencia Mal tiempo</c:v>
                </c:pt>
                <c:pt idx="10">
                  <c:v>Posee Plan de Contingencia para centro de cultivo</c:v>
                </c:pt>
                <c:pt idx="11">
                  <c:v>Conoce la normativa asociada a los Planes de Contingencia</c:v>
                </c:pt>
                <c:pt idx="12">
                  <c:v>La empresa ha recibido sanciones por incumplimiento del DS 594</c:v>
                </c:pt>
                <c:pt idx="13">
                  <c:v>Existen procedimientos de trabajo seguro para los trabajadores</c:v>
                </c:pt>
                <c:pt idx="14">
                  <c:v>Posee instalaciones higiénicas en tierra para sus trabajadores </c:v>
                </c:pt>
                <c:pt idx="15">
                  <c:v>Posee instalaciones higiénicas en plataformas en el mar</c:v>
                </c:pt>
                <c:pt idx="16">
                  <c:v>Existe un cronograma establecido de capacitaciones para el personal</c:v>
                </c:pt>
                <c:pt idx="17">
                  <c:v>Existen registros de capacitaciones, DAS, entrega de elementos de protección personal.</c:v>
                </c:pt>
                <c:pt idx="18">
                  <c:v>Cumplen con lo establecido en la Ley 20.123 (Ley subcontratación)</c:v>
                </c:pt>
                <c:pt idx="19">
                  <c:v>Cumple con la norma técnica TMERT</c:v>
                </c:pt>
                <c:pt idx="20">
                  <c:v>Cumple con el Protocolo PREXOR</c:v>
                </c:pt>
                <c:pt idx="21">
                  <c:v>Cumple con el Protocolo Psicosocial</c:v>
                </c:pt>
                <c:pt idx="22">
                  <c:v>Protocolo para la Evaluación de la Luminancia e Iluminancia</c:v>
                </c:pt>
              </c:strCache>
            </c:strRef>
          </c:cat>
          <c:val>
            <c:numRef>
              <c:f>SSO!$F$32:$F$54</c:f>
              <c:numCache>
                <c:formatCode>0%</c:formatCode>
                <c:ptCount val="23"/>
                <c:pt idx="0">
                  <c:v>1</c:v>
                </c:pt>
                <c:pt idx="1">
                  <c:v>1</c:v>
                </c:pt>
                <c:pt idx="2">
                  <c:v>1</c:v>
                </c:pt>
                <c:pt idx="3">
                  <c:v>0</c:v>
                </c:pt>
                <c:pt idx="4">
                  <c:v>0.46153846153846156</c:v>
                </c:pt>
                <c:pt idx="5">
                  <c:v>0.15384615384615385</c:v>
                </c:pt>
                <c:pt idx="6">
                  <c:v>0.23076923076923078</c:v>
                </c:pt>
                <c:pt idx="7">
                  <c:v>0</c:v>
                </c:pt>
                <c:pt idx="8">
                  <c:v>0</c:v>
                </c:pt>
                <c:pt idx="9">
                  <c:v>0</c:v>
                </c:pt>
                <c:pt idx="10">
                  <c:v>0.53846153846153844</c:v>
                </c:pt>
                <c:pt idx="11">
                  <c:v>0.46153846153846156</c:v>
                </c:pt>
                <c:pt idx="12">
                  <c:v>7.6923076923076927E-2</c:v>
                </c:pt>
                <c:pt idx="13">
                  <c:v>0.30769230769230771</c:v>
                </c:pt>
                <c:pt idx="14">
                  <c:v>0.76923076923076927</c:v>
                </c:pt>
                <c:pt idx="15">
                  <c:v>0.23076923076923078</c:v>
                </c:pt>
                <c:pt idx="16">
                  <c:v>0</c:v>
                </c:pt>
                <c:pt idx="17">
                  <c:v>0.38461538461538464</c:v>
                </c:pt>
                <c:pt idx="18">
                  <c:v>7.6923076923076927E-2</c:v>
                </c:pt>
                <c:pt idx="19">
                  <c:v>0</c:v>
                </c:pt>
                <c:pt idx="20">
                  <c:v>0</c:v>
                </c:pt>
                <c:pt idx="21">
                  <c:v>0</c:v>
                </c:pt>
                <c:pt idx="22">
                  <c:v>0</c:v>
                </c:pt>
              </c:numCache>
            </c:numRef>
          </c:val>
        </c:ser>
        <c:ser>
          <c:idx val="1"/>
          <c:order val="1"/>
          <c:tx>
            <c:strRef>
              <c:f>SSO!$G$31</c:f>
              <c:strCache>
                <c:ptCount val="1"/>
                <c:pt idx="0">
                  <c:v>NO</c:v>
                </c:pt>
              </c:strCache>
            </c:strRef>
          </c:tx>
          <c:invertIfNegative val="0"/>
          <c:dLbls>
            <c:dLbl>
              <c:idx val="0"/>
              <c:delete val="1"/>
            </c:dLbl>
            <c:dLbl>
              <c:idx val="1"/>
              <c:delete val="1"/>
            </c:dLbl>
            <c:dLbl>
              <c:idx val="2"/>
              <c:delete val="1"/>
            </c:dLbl>
            <c:txPr>
              <a:bodyPr/>
              <a:lstStyle/>
              <a:p>
                <a:pPr>
                  <a:defRPr sz="700"/>
                </a:pPr>
                <a:endParaRPr lang="es-CL"/>
              </a:p>
            </c:txPr>
            <c:showLegendKey val="0"/>
            <c:showVal val="1"/>
            <c:showCatName val="0"/>
            <c:showSerName val="0"/>
            <c:showPercent val="0"/>
            <c:showBubbleSize val="0"/>
            <c:showLeaderLines val="0"/>
          </c:dLbls>
          <c:cat>
            <c:strRef>
              <c:f>SSO!$A$32:$A$54</c:f>
              <c:strCache>
                <c:ptCount val="23"/>
                <c:pt idx="0">
                  <c:v>La empresa está afiliada a alguna mutual de seguridad </c:v>
                </c:pt>
                <c:pt idx="1">
                  <c:v>Se mantienen registros de la tasa de accidentabilidad histórica</c:v>
                </c:pt>
                <c:pt idx="2">
                  <c:v>Se mantienen registros de la tasa de accidentabilidad actual</c:v>
                </c:pt>
                <c:pt idx="3">
                  <c:v>Existe un comité paritario de higiene y seguridad </c:v>
                </c:pt>
                <c:pt idx="4">
                  <c:v>Existe un reglamento interno de higiene y seguridad</c:v>
                </c:pt>
                <c:pt idx="5">
                  <c:v>Existe identificación y evaluación de riesgos de seguridad ambiental de la empresa (Ley 16.744, DS 594, DS 40, DS 76)</c:v>
                </c:pt>
                <c:pt idx="6">
                  <c:v>Posee Plan de Contingencia de hombre al agua</c:v>
                </c:pt>
                <c:pt idx="7">
                  <c:v>Posee Plan de Contingencia contra incendio</c:v>
                </c:pt>
                <c:pt idx="8">
                  <c:v>Posee Plan de Contingencia de buceo</c:v>
                </c:pt>
                <c:pt idx="9">
                  <c:v>Posee Plan de Contingencia Mal tiempo</c:v>
                </c:pt>
                <c:pt idx="10">
                  <c:v>Posee Plan de Contingencia para centro de cultivo</c:v>
                </c:pt>
                <c:pt idx="11">
                  <c:v>Conoce la normativa asociada a los Planes de Contingencia</c:v>
                </c:pt>
                <c:pt idx="12">
                  <c:v>La empresa ha recibido sanciones por incumplimiento del DS 594</c:v>
                </c:pt>
                <c:pt idx="13">
                  <c:v>Existen procedimientos de trabajo seguro para los trabajadores</c:v>
                </c:pt>
                <c:pt idx="14">
                  <c:v>Posee instalaciones higiénicas en tierra para sus trabajadores </c:v>
                </c:pt>
                <c:pt idx="15">
                  <c:v>Posee instalaciones higiénicas en plataformas en el mar</c:v>
                </c:pt>
                <c:pt idx="16">
                  <c:v>Existe un cronograma establecido de capacitaciones para el personal</c:v>
                </c:pt>
                <c:pt idx="17">
                  <c:v>Existen registros de capacitaciones, DAS, entrega de elementos de protección personal.</c:v>
                </c:pt>
                <c:pt idx="18">
                  <c:v>Cumplen con lo establecido en la Ley 20.123 (Ley subcontratación)</c:v>
                </c:pt>
                <c:pt idx="19">
                  <c:v>Cumple con la norma técnica TMERT</c:v>
                </c:pt>
                <c:pt idx="20">
                  <c:v>Cumple con el Protocolo PREXOR</c:v>
                </c:pt>
                <c:pt idx="21">
                  <c:v>Cumple con el Protocolo Psicosocial</c:v>
                </c:pt>
                <c:pt idx="22">
                  <c:v>Protocolo para la Evaluación de la Luminancia e Iluminancia</c:v>
                </c:pt>
              </c:strCache>
            </c:strRef>
          </c:cat>
          <c:val>
            <c:numRef>
              <c:f>SSO!$G$32:$G$54</c:f>
              <c:numCache>
                <c:formatCode>0%</c:formatCode>
                <c:ptCount val="23"/>
                <c:pt idx="0">
                  <c:v>0</c:v>
                </c:pt>
                <c:pt idx="1">
                  <c:v>0</c:v>
                </c:pt>
                <c:pt idx="2">
                  <c:v>0</c:v>
                </c:pt>
                <c:pt idx="3">
                  <c:v>0</c:v>
                </c:pt>
                <c:pt idx="4">
                  <c:v>0.46153846153846156</c:v>
                </c:pt>
                <c:pt idx="5">
                  <c:v>0.76923076923076927</c:v>
                </c:pt>
                <c:pt idx="6">
                  <c:v>0.76923076923076927</c:v>
                </c:pt>
                <c:pt idx="7">
                  <c:v>1</c:v>
                </c:pt>
                <c:pt idx="8">
                  <c:v>1</c:v>
                </c:pt>
                <c:pt idx="9">
                  <c:v>1</c:v>
                </c:pt>
                <c:pt idx="10">
                  <c:v>0.46153846153846156</c:v>
                </c:pt>
                <c:pt idx="11">
                  <c:v>0.53846153846153844</c:v>
                </c:pt>
                <c:pt idx="12">
                  <c:v>0.92307692307692313</c:v>
                </c:pt>
                <c:pt idx="13">
                  <c:v>0.69230769230769229</c:v>
                </c:pt>
                <c:pt idx="14">
                  <c:v>0.23076923076923078</c:v>
                </c:pt>
                <c:pt idx="15">
                  <c:v>0.76923076923076927</c:v>
                </c:pt>
                <c:pt idx="16">
                  <c:v>1</c:v>
                </c:pt>
                <c:pt idx="17">
                  <c:v>0.61538461538461542</c:v>
                </c:pt>
                <c:pt idx="18">
                  <c:v>0.69230769230769229</c:v>
                </c:pt>
                <c:pt idx="19">
                  <c:v>1</c:v>
                </c:pt>
                <c:pt idx="20">
                  <c:v>1</c:v>
                </c:pt>
                <c:pt idx="21">
                  <c:v>0.92307692307692313</c:v>
                </c:pt>
                <c:pt idx="22">
                  <c:v>0.92307692307692313</c:v>
                </c:pt>
              </c:numCache>
            </c:numRef>
          </c:val>
        </c:ser>
        <c:ser>
          <c:idx val="2"/>
          <c:order val="2"/>
          <c:tx>
            <c:strRef>
              <c:f>SSO!$H$31</c:f>
              <c:strCache>
                <c:ptCount val="1"/>
                <c:pt idx="0">
                  <c:v>NO INFORMA</c:v>
                </c:pt>
              </c:strCache>
            </c:strRef>
          </c:tx>
          <c:invertIfNegative val="0"/>
          <c:dLbls>
            <c:delete val="1"/>
          </c:dLbls>
          <c:cat>
            <c:strRef>
              <c:f>SSO!$A$32:$A$54</c:f>
              <c:strCache>
                <c:ptCount val="23"/>
                <c:pt idx="0">
                  <c:v>La empresa está afiliada a alguna mutual de seguridad </c:v>
                </c:pt>
                <c:pt idx="1">
                  <c:v>Se mantienen registros de la tasa de accidentabilidad histórica</c:v>
                </c:pt>
                <c:pt idx="2">
                  <c:v>Se mantienen registros de la tasa de accidentabilidad actual</c:v>
                </c:pt>
                <c:pt idx="3">
                  <c:v>Existe un comité paritario de higiene y seguridad </c:v>
                </c:pt>
                <c:pt idx="4">
                  <c:v>Existe un reglamento interno de higiene y seguridad</c:v>
                </c:pt>
                <c:pt idx="5">
                  <c:v>Existe identificación y evaluación de riesgos de seguridad ambiental de la empresa (Ley 16.744, DS 594, DS 40, DS 76)</c:v>
                </c:pt>
                <c:pt idx="6">
                  <c:v>Posee Plan de Contingencia de hombre al agua</c:v>
                </c:pt>
                <c:pt idx="7">
                  <c:v>Posee Plan de Contingencia contra incendio</c:v>
                </c:pt>
                <c:pt idx="8">
                  <c:v>Posee Plan de Contingencia de buceo</c:v>
                </c:pt>
                <c:pt idx="9">
                  <c:v>Posee Plan de Contingencia Mal tiempo</c:v>
                </c:pt>
                <c:pt idx="10">
                  <c:v>Posee Plan de Contingencia para centro de cultivo</c:v>
                </c:pt>
                <c:pt idx="11">
                  <c:v>Conoce la normativa asociada a los Planes de Contingencia</c:v>
                </c:pt>
                <c:pt idx="12">
                  <c:v>La empresa ha recibido sanciones por incumplimiento del DS 594</c:v>
                </c:pt>
                <c:pt idx="13">
                  <c:v>Existen procedimientos de trabajo seguro para los trabajadores</c:v>
                </c:pt>
                <c:pt idx="14">
                  <c:v>Posee instalaciones higiénicas en tierra para sus trabajadores </c:v>
                </c:pt>
                <c:pt idx="15">
                  <c:v>Posee instalaciones higiénicas en plataformas en el mar</c:v>
                </c:pt>
                <c:pt idx="16">
                  <c:v>Existe un cronograma establecido de capacitaciones para el personal</c:v>
                </c:pt>
                <c:pt idx="17">
                  <c:v>Existen registros de capacitaciones, DAS, entrega de elementos de protección personal.</c:v>
                </c:pt>
                <c:pt idx="18">
                  <c:v>Cumplen con lo establecido en la Ley 20.123 (Ley subcontratación)</c:v>
                </c:pt>
                <c:pt idx="19">
                  <c:v>Cumple con la norma técnica TMERT</c:v>
                </c:pt>
                <c:pt idx="20">
                  <c:v>Cumple con el Protocolo PREXOR</c:v>
                </c:pt>
                <c:pt idx="21">
                  <c:v>Cumple con el Protocolo Psicosocial</c:v>
                </c:pt>
                <c:pt idx="22">
                  <c:v>Protocolo para la Evaluación de la Luminancia e Iluminancia</c:v>
                </c:pt>
              </c:strCache>
            </c:strRef>
          </c:cat>
          <c:val>
            <c:numRef>
              <c:f>SSO!$H$32:$H$54</c:f>
              <c:numCache>
                <c:formatCode>0%</c:formatCode>
                <c:ptCount val="23"/>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numCache>
            </c:numRef>
          </c:val>
        </c:ser>
        <c:ser>
          <c:idx val="3"/>
          <c:order val="3"/>
          <c:tx>
            <c:strRef>
              <c:f>SSO!$I$31</c:f>
              <c:strCache>
                <c:ptCount val="1"/>
                <c:pt idx="0">
                  <c:v>NO SABE</c:v>
                </c:pt>
              </c:strCache>
            </c:strRef>
          </c:tx>
          <c:invertIfNegative val="0"/>
          <c:dLbls>
            <c:dLbl>
              <c:idx val="0"/>
              <c:delete val="1"/>
            </c:dLbl>
            <c:dLbl>
              <c:idx val="1"/>
              <c:delete val="1"/>
            </c:dLbl>
            <c:dLbl>
              <c:idx val="2"/>
              <c:delete val="1"/>
            </c:dLbl>
            <c:dLbl>
              <c:idx val="6"/>
              <c:delete val="1"/>
            </c:dLbl>
            <c:dLbl>
              <c:idx val="7"/>
              <c:delete val="1"/>
            </c:dLbl>
            <c:dLbl>
              <c:idx val="8"/>
              <c:delete val="1"/>
            </c:dLbl>
            <c:dLbl>
              <c:idx val="9"/>
              <c:delete val="1"/>
            </c:dLbl>
            <c:dLbl>
              <c:idx val="10"/>
              <c:delete val="1"/>
            </c:dLbl>
            <c:dLbl>
              <c:idx val="11"/>
              <c:delete val="1"/>
            </c:dLbl>
            <c:dLbl>
              <c:idx val="12"/>
              <c:delete val="1"/>
            </c:dLbl>
            <c:dLbl>
              <c:idx val="13"/>
              <c:delete val="1"/>
            </c:dLbl>
            <c:dLbl>
              <c:idx val="14"/>
              <c:delete val="1"/>
            </c:dLbl>
            <c:dLbl>
              <c:idx val="15"/>
              <c:delete val="1"/>
            </c:dLbl>
            <c:dLbl>
              <c:idx val="16"/>
              <c:delete val="1"/>
            </c:dLbl>
            <c:dLbl>
              <c:idx val="17"/>
              <c:delete val="1"/>
            </c:dLbl>
            <c:dLbl>
              <c:idx val="19"/>
              <c:delete val="1"/>
            </c:dLbl>
            <c:dLbl>
              <c:idx val="20"/>
              <c:delete val="1"/>
            </c:dLbl>
            <c:txPr>
              <a:bodyPr/>
              <a:lstStyle/>
              <a:p>
                <a:pPr>
                  <a:defRPr sz="700"/>
                </a:pPr>
                <a:endParaRPr lang="es-CL"/>
              </a:p>
            </c:txPr>
            <c:showLegendKey val="0"/>
            <c:showVal val="1"/>
            <c:showCatName val="0"/>
            <c:showSerName val="0"/>
            <c:showPercent val="0"/>
            <c:showBubbleSize val="0"/>
            <c:showLeaderLines val="0"/>
          </c:dLbls>
          <c:cat>
            <c:strRef>
              <c:f>SSO!$A$32:$A$54</c:f>
              <c:strCache>
                <c:ptCount val="23"/>
                <c:pt idx="0">
                  <c:v>La empresa está afiliada a alguna mutual de seguridad </c:v>
                </c:pt>
                <c:pt idx="1">
                  <c:v>Se mantienen registros de la tasa de accidentabilidad histórica</c:v>
                </c:pt>
                <c:pt idx="2">
                  <c:v>Se mantienen registros de la tasa de accidentabilidad actual</c:v>
                </c:pt>
                <c:pt idx="3">
                  <c:v>Existe un comité paritario de higiene y seguridad </c:v>
                </c:pt>
                <c:pt idx="4">
                  <c:v>Existe un reglamento interno de higiene y seguridad</c:v>
                </c:pt>
                <c:pt idx="5">
                  <c:v>Existe identificación y evaluación de riesgos de seguridad ambiental de la empresa (Ley 16.744, DS 594, DS 40, DS 76)</c:v>
                </c:pt>
                <c:pt idx="6">
                  <c:v>Posee Plan de Contingencia de hombre al agua</c:v>
                </c:pt>
                <c:pt idx="7">
                  <c:v>Posee Plan de Contingencia contra incendio</c:v>
                </c:pt>
                <c:pt idx="8">
                  <c:v>Posee Plan de Contingencia de buceo</c:v>
                </c:pt>
                <c:pt idx="9">
                  <c:v>Posee Plan de Contingencia Mal tiempo</c:v>
                </c:pt>
                <c:pt idx="10">
                  <c:v>Posee Plan de Contingencia para centro de cultivo</c:v>
                </c:pt>
                <c:pt idx="11">
                  <c:v>Conoce la normativa asociada a los Planes de Contingencia</c:v>
                </c:pt>
                <c:pt idx="12">
                  <c:v>La empresa ha recibido sanciones por incumplimiento del DS 594</c:v>
                </c:pt>
                <c:pt idx="13">
                  <c:v>Existen procedimientos de trabajo seguro para los trabajadores</c:v>
                </c:pt>
                <c:pt idx="14">
                  <c:v>Posee instalaciones higiénicas en tierra para sus trabajadores </c:v>
                </c:pt>
                <c:pt idx="15">
                  <c:v>Posee instalaciones higiénicas en plataformas en el mar</c:v>
                </c:pt>
                <c:pt idx="16">
                  <c:v>Existe un cronograma establecido de capacitaciones para el personal</c:v>
                </c:pt>
                <c:pt idx="17">
                  <c:v>Existen registros de capacitaciones, DAS, entrega de elementos de protección personal.</c:v>
                </c:pt>
                <c:pt idx="18">
                  <c:v>Cumplen con lo establecido en la Ley 20.123 (Ley subcontratación)</c:v>
                </c:pt>
                <c:pt idx="19">
                  <c:v>Cumple con la norma técnica TMERT</c:v>
                </c:pt>
                <c:pt idx="20">
                  <c:v>Cumple con el Protocolo PREXOR</c:v>
                </c:pt>
                <c:pt idx="21">
                  <c:v>Cumple con el Protocolo Psicosocial</c:v>
                </c:pt>
                <c:pt idx="22">
                  <c:v>Protocolo para la Evaluación de la Luminancia e Iluminancia</c:v>
                </c:pt>
              </c:strCache>
            </c:strRef>
          </c:cat>
          <c:val>
            <c:numRef>
              <c:f>SSO!$I$32:$I$54</c:f>
              <c:numCache>
                <c:formatCode>0%</c:formatCode>
                <c:ptCount val="23"/>
                <c:pt idx="0">
                  <c:v>0</c:v>
                </c:pt>
                <c:pt idx="1">
                  <c:v>0</c:v>
                </c:pt>
                <c:pt idx="2">
                  <c:v>0</c:v>
                </c:pt>
                <c:pt idx="3">
                  <c:v>0</c:v>
                </c:pt>
                <c:pt idx="4">
                  <c:v>7.6923076923076927E-2</c:v>
                </c:pt>
                <c:pt idx="5">
                  <c:v>7.6923076923076927E-2</c:v>
                </c:pt>
                <c:pt idx="6">
                  <c:v>0</c:v>
                </c:pt>
                <c:pt idx="7">
                  <c:v>0</c:v>
                </c:pt>
                <c:pt idx="8">
                  <c:v>0</c:v>
                </c:pt>
                <c:pt idx="9">
                  <c:v>0</c:v>
                </c:pt>
                <c:pt idx="10">
                  <c:v>0</c:v>
                </c:pt>
                <c:pt idx="11">
                  <c:v>0</c:v>
                </c:pt>
                <c:pt idx="12">
                  <c:v>0</c:v>
                </c:pt>
                <c:pt idx="13">
                  <c:v>0</c:v>
                </c:pt>
                <c:pt idx="14">
                  <c:v>0</c:v>
                </c:pt>
                <c:pt idx="15">
                  <c:v>0</c:v>
                </c:pt>
                <c:pt idx="16">
                  <c:v>0</c:v>
                </c:pt>
                <c:pt idx="17">
                  <c:v>0</c:v>
                </c:pt>
                <c:pt idx="18">
                  <c:v>0.23076923076923078</c:v>
                </c:pt>
                <c:pt idx="19">
                  <c:v>0</c:v>
                </c:pt>
                <c:pt idx="20">
                  <c:v>0</c:v>
                </c:pt>
                <c:pt idx="21">
                  <c:v>7.6923076923076927E-2</c:v>
                </c:pt>
                <c:pt idx="22">
                  <c:v>7.6923076923076927E-2</c:v>
                </c:pt>
              </c:numCache>
            </c:numRef>
          </c:val>
        </c:ser>
        <c:dLbls>
          <c:showLegendKey val="0"/>
          <c:showVal val="1"/>
          <c:showCatName val="0"/>
          <c:showSerName val="0"/>
          <c:showPercent val="0"/>
          <c:showBubbleSize val="0"/>
        </c:dLbls>
        <c:gapWidth val="95"/>
        <c:gapDepth val="95"/>
        <c:shape val="box"/>
        <c:axId val="366168704"/>
        <c:axId val="366190976"/>
        <c:axId val="0"/>
      </c:bar3DChart>
      <c:catAx>
        <c:axId val="366168704"/>
        <c:scaling>
          <c:orientation val="minMax"/>
        </c:scaling>
        <c:delete val="0"/>
        <c:axPos val="l"/>
        <c:majorTickMark val="none"/>
        <c:minorTickMark val="none"/>
        <c:tickLblPos val="nextTo"/>
        <c:txPr>
          <a:bodyPr/>
          <a:lstStyle/>
          <a:p>
            <a:pPr>
              <a:defRPr sz="700"/>
            </a:pPr>
            <a:endParaRPr lang="es-CL"/>
          </a:p>
        </c:txPr>
        <c:crossAx val="366190976"/>
        <c:crosses val="autoZero"/>
        <c:auto val="1"/>
        <c:lblAlgn val="ctr"/>
        <c:lblOffset val="100"/>
        <c:noMultiLvlLbl val="0"/>
      </c:catAx>
      <c:valAx>
        <c:axId val="366190976"/>
        <c:scaling>
          <c:orientation val="minMax"/>
        </c:scaling>
        <c:delete val="1"/>
        <c:axPos val="b"/>
        <c:numFmt formatCode="0%" sourceLinked="1"/>
        <c:majorTickMark val="out"/>
        <c:minorTickMark val="none"/>
        <c:tickLblPos val="nextTo"/>
        <c:crossAx val="366168704"/>
        <c:crosses val="autoZero"/>
        <c:crossBetween val="between"/>
      </c:valAx>
    </c:plotArea>
    <c:legend>
      <c:legendPos val="t"/>
      <c:overlay val="0"/>
      <c:txPr>
        <a:bodyPr/>
        <a:lstStyle/>
        <a:p>
          <a:pPr>
            <a:defRPr sz="700"/>
          </a:pPr>
          <a:endParaRPr lang="es-CL"/>
        </a:p>
      </c:txPr>
    </c:legend>
    <c:plotVisOnly val="1"/>
    <c:dispBlanksAs val="gap"/>
    <c:showDLblsOverMax val="0"/>
  </c:chart>
  <c:externalData r:id="rId1">
    <c:autoUpdate val="0"/>
  </c:externalData>
</c:chartSpace>
</file>

<file path=word/charts/chart62.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750"/>
            </a:pPr>
            <a:r>
              <a:rPr lang="es-CL" sz="750"/>
              <a:t>Grande (%)</a:t>
            </a:r>
          </a:p>
        </c:rich>
      </c:tx>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SSO!$S$31</c:f>
              <c:strCache>
                <c:ptCount val="1"/>
                <c:pt idx="0">
                  <c:v>SI</c:v>
                </c:pt>
              </c:strCache>
            </c:strRef>
          </c:tx>
          <c:invertIfNegative val="0"/>
          <c:dLbls>
            <c:txPr>
              <a:bodyPr/>
              <a:lstStyle/>
              <a:p>
                <a:pPr>
                  <a:defRPr sz="700"/>
                </a:pPr>
                <a:endParaRPr lang="es-CL"/>
              </a:p>
            </c:txPr>
            <c:showLegendKey val="0"/>
            <c:showVal val="1"/>
            <c:showCatName val="0"/>
            <c:showSerName val="0"/>
            <c:showPercent val="0"/>
            <c:showBubbleSize val="0"/>
            <c:showLeaderLines val="0"/>
          </c:dLbls>
          <c:cat>
            <c:strRef>
              <c:f>SSO!$A$32:$A$54</c:f>
              <c:strCache>
                <c:ptCount val="23"/>
                <c:pt idx="0">
                  <c:v>La empresa está afiliada a alguna mutual de seguridad </c:v>
                </c:pt>
                <c:pt idx="1">
                  <c:v>Se mantienen registros de la tasa de accidentabilidad histórica</c:v>
                </c:pt>
                <c:pt idx="2">
                  <c:v>Se mantienen registros de la tasa de accidentabilidad actual</c:v>
                </c:pt>
                <c:pt idx="3">
                  <c:v>Existe un comité paritario de higiene y seguridad </c:v>
                </c:pt>
                <c:pt idx="4">
                  <c:v>Existe un reglamento interno de higiene y seguridad</c:v>
                </c:pt>
                <c:pt idx="5">
                  <c:v>Existe identificación y evaluación de riesgos de seguridad ambiental de la empresa (Ley 16.744, DS 594, DS 40, DS 76)</c:v>
                </c:pt>
                <c:pt idx="6">
                  <c:v>Posee Plan de Contingencia de hombre al agua</c:v>
                </c:pt>
                <c:pt idx="7">
                  <c:v>Posee Plan de Contingencia contra incendio</c:v>
                </c:pt>
                <c:pt idx="8">
                  <c:v>Posee Plan de Contingencia de buceo</c:v>
                </c:pt>
                <c:pt idx="9">
                  <c:v>Posee Plan de Contingencia Mal tiempo</c:v>
                </c:pt>
                <c:pt idx="10">
                  <c:v>Posee Plan de Contingencia para centro de cultivo</c:v>
                </c:pt>
                <c:pt idx="11">
                  <c:v>Conoce la normativa asociada a los Planes de Contingencia</c:v>
                </c:pt>
                <c:pt idx="12">
                  <c:v>La empresa ha recibido sanciones por incumplimiento del DS 594</c:v>
                </c:pt>
                <c:pt idx="13">
                  <c:v>Existen procedimientos de trabajo seguro para los trabajadores</c:v>
                </c:pt>
                <c:pt idx="14">
                  <c:v>Posee instalaciones higiénicas en tierra para sus trabajadores </c:v>
                </c:pt>
                <c:pt idx="15">
                  <c:v>Posee instalaciones higiénicas en plataformas en el mar</c:v>
                </c:pt>
                <c:pt idx="16">
                  <c:v>Existe un cronograma establecido de capacitaciones para el personal</c:v>
                </c:pt>
                <c:pt idx="17">
                  <c:v>Existen registros de capacitaciones, DAS, entrega de elementos de protección personal.</c:v>
                </c:pt>
                <c:pt idx="18">
                  <c:v>Cumplen con lo establecido en la Ley 20.123 (Ley subcontratación)</c:v>
                </c:pt>
                <c:pt idx="19">
                  <c:v>Cumple con la norma técnica TMERT</c:v>
                </c:pt>
                <c:pt idx="20">
                  <c:v>Cumple con el Protocolo PREXOR</c:v>
                </c:pt>
                <c:pt idx="21">
                  <c:v>Cumple con el Protocolo Psicosocial</c:v>
                </c:pt>
                <c:pt idx="22">
                  <c:v>Protocolo para la Evaluación de la Luminancia e Iluminancia</c:v>
                </c:pt>
              </c:strCache>
            </c:strRef>
          </c:cat>
          <c:val>
            <c:numRef>
              <c:f>SSO!$S$32:$S$54</c:f>
              <c:numCache>
                <c:formatCode>0%</c:formatCode>
                <c:ptCount val="23"/>
                <c:pt idx="0">
                  <c:v>1</c:v>
                </c:pt>
                <c:pt idx="1">
                  <c:v>1</c:v>
                </c:pt>
                <c:pt idx="2">
                  <c:v>1</c:v>
                </c:pt>
                <c:pt idx="3">
                  <c:v>0.7</c:v>
                </c:pt>
                <c:pt idx="4">
                  <c:v>1</c:v>
                </c:pt>
                <c:pt idx="5">
                  <c:v>1</c:v>
                </c:pt>
                <c:pt idx="6">
                  <c:v>0.9</c:v>
                </c:pt>
                <c:pt idx="7">
                  <c:v>0.8</c:v>
                </c:pt>
                <c:pt idx="8">
                  <c:v>0.8</c:v>
                </c:pt>
                <c:pt idx="9">
                  <c:v>0.8</c:v>
                </c:pt>
                <c:pt idx="10">
                  <c:v>0.9</c:v>
                </c:pt>
                <c:pt idx="11">
                  <c:v>0.9</c:v>
                </c:pt>
                <c:pt idx="12">
                  <c:v>0.3</c:v>
                </c:pt>
                <c:pt idx="13">
                  <c:v>0.8</c:v>
                </c:pt>
                <c:pt idx="14">
                  <c:v>1</c:v>
                </c:pt>
                <c:pt idx="15">
                  <c:v>0.6</c:v>
                </c:pt>
                <c:pt idx="16">
                  <c:v>0.6</c:v>
                </c:pt>
                <c:pt idx="17">
                  <c:v>1</c:v>
                </c:pt>
                <c:pt idx="18">
                  <c:v>0.9</c:v>
                </c:pt>
                <c:pt idx="19">
                  <c:v>0.6</c:v>
                </c:pt>
                <c:pt idx="20">
                  <c:v>0.6</c:v>
                </c:pt>
                <c:pt idx="21">
                  <c:v>0.7</c:v>
                </c:pt>
                <c:pt idx="22">
                  <c:v>0.1</c:v>
                </c:pt>
              </c:numCache>
            </c:numRef>
          </c:val>
        </c:ser>
        <c:ser>
          <c:idx val="1"/>
          <c:order val="1"/>
          <c:tx>
            <c:strRef>
              <c:f>SSO!$T$31</c:f>
              <c:strCache>
                <c:ptCount val="1"/>
                <c:pt idx="0">
                  <c:v>NO</c:v>
                </c:pt>
              </c:strCache>
            </c:strRef>
          </c:tx>
          <c:invertIfNegative val="0"/>
          <c:dLbls>
            <c:dLbl>
              <c:idx val="5"/>
              <c:delete val="1"/>
            </c:dLbl>
            <c:dLbl>
              <c:idx val="14"/>
              <c:delete val="1"/>
            </c:dLbl>
            <c:dLbl>
              <c:idx val="17"/>
              <c:delete val="1"/>
            </c:dLbl>
            <c:dLbl>
              <c:idx val="18"/>
              <c:delete val="1"/>
            </c:dLbl>
            <c:txPr>
              <a:bodyPr/>
              <a:lstStyle/>
              <a:p>
                <a:pPr>
                  <a:defRPr sz="700"/>
                </a:pPr>
                <a:endParaRPr lang="es-CL"/>
              </a:p>
            </c:txPr>
            <c:showLegendKey val="0"/>
            <c:showVal val="1"/>
            <c:showCatName val="0"/>
            <c:showSerName val="0"/>
            <c:showPercent val="0"/>
            <c:showBubbleSize val="0"/>
            <c:showLeaderLines val="0"/>
          </c:dLbls>
          <c:cat>
            <c:strRef>
              <c:f>SSO!$A$32:$A$54</c:f>
              <c:strCache>
                <c:ptCount val="23"/>
                <c:pt idx="0">
                  <c:v>La empresa está afiliada a alguna mutual de seguridad </c:v>
                </c:pt>
                <c:pt idx="1">
                  <c:v>Se mantienen registros de la tasa de accidentabilidad histórica</c:v>
                </c:pt>
                <c:pt idx="2">
                  <c:v>Se mantienen registros de la tasa de accidentabilidad actual</c:v>
                </c:pt>
                <c:pt idx="3">
                  <c:v>Existe un comité paritario de higiene y seguridad </c:v>
                </c:pt>
                <c:pt idx="4">
                  <c:v>Existe un reglamento interno de higiene y seguridad</c:v>
                </c:pt>
                <c:pt idx="5">
                  <c:v>Existe identificación y evaluación de riesgos de seguridad ambiental de la empresa (Ley 16.744, DS 594, DS 40, DS 76)</c:v>
                </c:pt>
                <c:pt idx="6">
                  <c:v>Posee Plan de Contingencia de hombre al agua</c:v>
                </c:pt>
                <c:pt idx="7">
                  <c:v>Posee Plan de Contingencia contra incendio</c:v>
                </c:pt>
                <c:pt idx="8">
                  <c:v>Posee Plan de Contingencia de buceo</c:v>
                </c:pt>
                <c:pt idx="9">
                  <c:v>Posee Plan de Contingencia Mal tiempo</c:v>
                </c:pt>
                <c:pt idx="10">
                  <c:v>Posee Plan de Contingencia para centro de cultivo</c:v>
                </c:pt>
                <c:pt idx="11">
                  <c:v>Conoce la normativa asociada a los Planes de Contingencia</c:v>
                </c:pt>
                <c:pt idx="12">
                  <c:v>La empresa ha recibido sanciones por incumplimiento del DS 594</c:v>
                </c:pt>
                <c:pt idx="13">
                  <c:v>Existen procedimientos de trabajo seguro para los trabajadores</c:v>
                </c:pt>
                <c:pt idx="14">
                  <c:v>Posee instalaciones higiénicas en tierra para sus trabajadores </c:v>
                </c:pt>
                <c:pt idx="15">
                  <c:v>Posee instalaciones higiénicas en plataformas en el mar</c:v>
                </c:pt>
                <c:pt idx="16">
                  <c:v>Existe un cronograma establecido de capacitaciones para el personal</c:v>
                </c:pt>
                <c:pt idx="17">
                  <c:v>Existen registros de capacitaciones, DAS, entrega de elementos de protección personal.</c:v>
                </c:pt>
                <c:pt idx="18">
                  <c:v>Cumplen con lo establecido en la Ley 20.123 (Ley subcontratación)</c:v>
                </c:pt>
                <c:pt idx="19">
                  <c:v>Cumple con la norma técnica TMERT</c:v>
                </c:pt>
                <c:pt idx="20">
                  <c:v>Cumple con el Protocolo PREXOR</c:v>
                </c:pt>
                <c:pt idx="21">
                  <c:v>Cumple con el Protocolo Psicosocial</c:v>
                </c:pt>
                <c:pt idx="22">
                  <c:v>Protocolo para la Evaluación de la Luminancia e Iluminancia</c:v>
                </c:pt>
              </c:strCache>
            </c:strRef>
          </c:cat>
          <c:val>
            <c:numRef>
              <c:f>SSO!$T$32:$T$54</c:f>
              <c:numCache>
                <c:formatCode>0%</c:formatCode>
                <c:ptCount val="23"/>
                <c:pt idx="0">
                  <c:v>0</c:v>
                </c:pt>
                <c:pt idx="1">
                  <c:v>0</c:v>
                </c:pt>
                <c:pt idx="2">
                  <c:v>0</c:v>
                </c:pt>
                <c:pt idx="3">
                  <c:v>0.3</c:v>
                </c:pt>
                <c:pt idx="4">
                  <c:v>0</c:v>
                </c:pt>
                <c:pt idx="5">
                  <c:v>0</c:v>
                </c:pt>
                <c:pt idx="6">
                  <c:v>0.1</c:v>
                </c:pt>
                <c:pt idx="7">
                  <c:v>0.2</c:v>
                </c:pt>
                <c:pt idx="8">
                  <c:v>0.1</c:v>
                </c:pt>
                <c:pt idx="9">
                  <c:v>0.2</c:v>
                </c:pt>
                <c:pt idx="10">
                  <c:v>0.1</c:v>
                </c:pt>
                <c:pt idx="11">
                  <c:v>0.1</c:v>
                </c:pt>
                <c:pt idx="12">
                  <c:v>0.6</c:v>
                </c:pt>
                <c:pt idx="13">
                  <c:v>0.2</c:v>
                </c:pt>
                <c:pt idx="14">
                  <c:v>0</c:v>
                </c:pt>
                <c:pt idx="15">
                  <c:v>0.4</c:v>
                </c:pt>
                <c:pt idx="16">
                  <c:v>0.4</c:v>
                </c:pt>
                <c:pt idx="17">
                  <c:v>0</c:v>
                </c:pt>
                <c:pt idx="18">
                  <c:v>0</c:v>
                </c:pt>
                <c:pt idx="19">
                  <c:v>0.1</c:v>
                </c:pt>
                <c:pt idx="20">
                  <c:v>0.1</c:v>
                </c:pt>
                <c:pt idx="21">
                  <c:v>0.1</c:v>
                </c:pt>
                <c:pt idx="22">
                  <c:v>0.7</c:v>
                </c:pt>
              </c:numCache>
            </c:numRef>
          </c:val>
        </c:ser>
        <c:ser>
          <c:idx val="2"/>
          <c:order val="2"/>
          <c:tx>
            <c:strRef>
              <c:f>SSO!$U$31</c:f>
              <c:strCache>
                <c:ptCount val="1"/>
                <c:pt idx="0">
                  <c:v>NO INFORMA</c:v>
                </c:pt>
              </c:strCache>
            </c:strRef>
          </c:tx>
          <c:invertIfNegative val="0"/>
          <c:dLbls>
            <c:dLbl>
              <c:idx val="0"/>
              <c:delete val="1"/>
            </c:dLbl>
            <c:dLbl>
              <c:idx val="1"/>
              <c:delete val="1"/>
            </c:dLbl>
            <c:dLbl>
              <c:idx val="3"/>
              <c:delete val="1"/>
            </c:dLbl>
            <c:dLbl>
              <c:idx val="4"/>
              <c:delete val="1"/>
            </c:dLbl>
            <c:dLbl>
              <c:idx val="5"/>
              <c:delete val="1"/>
            </c:dLbl>
            <c:dLbl>
              <c:idx val="6"/>
              <c:delete val="1"/>
            </c:dLbl>
            <c:dLbl>
              <c:idx val="7"/>
              <c:delete val="1"/>
            </c:dLbl>
            <c:dLbl>
              <c:idx val="8"/>
              <c:delete val="1"/>
            </c:dLbl>
            <c:dLbl>
              <c:idx val="9"/>
              <c:delete val="1"/>
            </c:dLbl>
            <c:dLbl>
              <c:idx val="10"/>
              <c:delete val="1"/>
            </c:dLbl>
            <c:dLbl>
              <c:idx val="11"/>
              <c:delete val="1"/>
            </c:dLbl>
            <c:dLbl>
              <c:idx val="13"/>
              <c:delete val="1"/>
            </c:dLbl>
            <c:dLbl>
              <c:idx val="14"/>
              <c:delete val="1"/>
            </c:dLbl>
            <c:dLbl>
              <c:idx val="15"/>
              <c:delete val="1"/>
            </c:dLbl>
            <c:dLbl>
              <c:idx val="16"/>
              <c:delete val="1"/>
            </c:dLbl>
            <c:dLbl>
              <c:idx val="17"/>
              <c:delete val="1"/>
            </c:dLbl>
            <c:dLbl>
              <c:idx val="18"/>
              <c:delete val="1"/>
            </c:dLbl>
            <c:txPr>
              <a:bodyPr/>
              <a:lstStyle/>
              <a:p>
                <a:pPr>
                  <a:defRPr sz="700"/>
                </a:pPr>
                <a:endParaRPr lang="es-CL"/>
              </a:p>
            </c:txPr>
            <c:showLegendKey val="0"/>
            <c:showVal val="1"/>
            <c:showCatName val="0"/>
            <c:showSerName val="0"/>
            <c:showPercent val="0"/>
            <c:showBubbleSize val="0"/>
            <c:showLeaderLines val="0"/>
          </c:dLbls>
          <c:cat>
            <c:strRef>
              <c:f>SSO!$A$32:$A$54</c:f>
              <c:strCache>
                <c:ptCount val="23"/>
                <c:pt idx="0">
                  <c:v>La empresa está afiliada a alguna mutual de seguridad </c:v>
                </c:pt>
                <c:pt idx="1">
                  <c:v>Se mantienen registros de la tasa de accidentabilidad histórica</c:v>
                </c:pt>
                <c:pt idx="2">
                  <c:v>Se mantienen registros de la tasa de accidentabilidad actual</c:v>
                </c:pt>
                <c:pt idx="3">
                  <c:v>Existe un comité paritario de higiene y seguridad </c:v>
                </c:pt>
                <c:pt idx="4">
                  <c:v>Existe un reglamento interno de higiene y seguridad</c:v>
                </c:pt>
                <c:pt idx="5">
                  <c:v>Existe identificación y evaluación de riesgos de seguridad ambiental de la empresa (Ley 16.744, DS 594, DS 40, DS 76)</c:v>
                </c:pt>
                <c:pt idx="6">
                  <c:v>Posee Plan de Contingencia de hombre al agua</c:v>
                </c:pt>
                <c:pt idx="7">
                  <c:v>Posee Plan de Contingencia contra incendio</c:v>
                </c:pt>
                <c:pt idx="8">
                  <c:v>Posee Plan de Contingencia de buceo</c:v>
                </c:pt>
                <c:pt idx="9">
                  <c:v>Posee Plan de Contingencia Mal tiempo</c:v>
                </c:pt>
                <c:pt idx="10">
                  <c:v>Posee Plan de Contingencia para centro de cultivo</c:v>
                </c:pt>
                <c:pt idx="11">
                  <c:v>Conoce la normativa asociada a los Planes de Contingencia</c:v>
                </c:pt>
                <c:pt idx="12">
                  <c:v>La empresa ha recibido sanciones por incumplimiento del DS 594</c:v>
                </c:pt>
                <c:pt idx="13">
                  <c:v>Existen procedimientos de trabajo seguro para los trabajadores</c:v>
                </c:pt>
                <c:pt idx="14">
                  <c:v>Posee instalaciones higiénicas en tierra para sus trabajadores </c:v>
                </c:pt>
                <c:pt idx="15">
                  <c:v>Posee instalaciones higiénicas en plataformas en el mar</c:v>
                </c:pt>
                <c:pt idx="16">
                  <c:v>Existe un cronograma establecido de capacitaciones para el personal</c:v>
                </c:pt>
                <c:pt idx="17">
                  <c:v>Existen registros de capacitaciones, DAS, entrega de elementos de protección personal.</c:v>
                </c:pt>
                <c:pt idx="18">
                  <c:v>Cumplen con lo establecido en la Ley 20.123 (Ley subcontratación)</c:v>
                </c:pt>
                <c:pt idx="19">
                  <c:v>Cumple con la norma técnica TMERT</c:v>
                </c:pt>
                <c:pt idx="20">
                  <c:v>Cumple con el Protocolo PREXOR</c:v>
                </c:pt>
                <c:pt idx="21">
                  <c:v>Cumple con el Protocolo Psicosocial</c:v>
                </c:pt>
                <c:pt idx="22">
                  <c:v>Protocolo para la Evaluación de la Luminancia e Iluminancia</c:v>
                </c:pt>
              </c:strCache>
            </c:strRef>
          </c:cat>
          <c:val>
            <c:numRef>
              <c:f>SSO!$U$32:$U$54</c:f>
              <c:numCache>
                <c:formatCode>0%</c:formatCode>
                <c:ptCount val="23"/>
                <c:pt idx="0">
                  <c:v>0</c:v>
                </c:pt>
                <c:pt idx="1">
                  <c:v>0</c:v>
                </c:pt>
                <c:pt idx="2">
                  <c:v>0</c:v>
                </c:pt>
                <c:pt idx="3">
                  <c:v>0</c:v>
                </c:pt>
                <c:pt idx="4">
                  <c:v>0</c:v>
                </c:pt>
                <c:pt idx="5">
                  <c:v>0</c:v>
                </c:pt>
                <c:pt idx="6">
                  <c:v>0</c:v>
                </c:pt>
                <c:pt idx="7">
                  <c:v>0</c:v>
                </c:pt>
                <c:pt idx="8">
                  <c:v>0</c:v>
                </c:pt>
                <c:pt idx="9">
                  <c:v>0</c:v>
                </c:pt>
                <c:pt idx="10">
                  <c:v>0</c:v>
                </c:pt>
                <c:pt idx="11">
                  <c:v>0</c:v>
                </c:pt>
                <c:pt idx="12">
                  <c:v>0.1</c:v>
                </c:pt>
                <c:pt idx="13">
                  <c:v>0</c:v>
                </c:pt>
                <c:pt idx="14">
                  <c:v>0</c:v>
                </c:pt>
                <c:pt idx="15">
                  <c:v>0</c:v>
                </c:pt>
                <c:pt idx="16">
                  <c:v>0</c:v>
                </c:pt>
                <c:pt idx="17">
                  <c:v>0</c:v>
                </c:pt>
                <c:pt idx="18">
                  <c:v>0</c:v>
                </c:pt>
                <c:pt idx="19">
                  <c:v>0.3</c:v>
                </c:pt>
                <c:pt idx="20">
                  <c:v>0.3</c:v>
                </c:pt>
                <c:pt idx="21">
                  <c:v>0.2</c:v>
                </c:pt>
                <c:pt idx="22">
                  <c:v>0.2</c:v>
                </c:pt>
              </c:numCache>
            </c:numRef>
          </c:val>
        </c:ser>
        <c:ser>
          <c:idx val="3"/>
          <c:order val="3"/>
          <c:tx>
            <c:strRef>
              <c:f>SSO!$V$31</c:f>
              <c:strCache>
                <c:ptCount val="1"/>
                <c:pt idx="0">
                  <c:v>NO SABE</c:v>
                </c:pt>
              </c:strCache>
            </c:strRef>
          </c:tx>
          <c:invertIfNegative val="0"/>
          <c:dLbls>
            <c:dLbl>
              <c:idx val="0"/>
              <c:delete val="1"/>
            </c:dLbl>
            <c:dLbl>
              <c:idx val="2"/>
              <c:delete val="1"/>
            </c:dLbl>
            <c:dLbl>
              <c:idx val="3"/>
              <c:delete val="1"/>
            </c:dLbl>
            <c:dLbl>
              <c:idx val="4"/>
              <c:delete val="1"/>
            </c:dLbl>
            <c:dLbl>
              <c:idx val="5"/>
              <c:delete val="1"/>
            </c:dLbl>
            <c:dLbl>
              <c:idx val="6"/>
              <c:delete val="1"/>
            </c:dLbl>
            <c:dLbl>
              <c:idx val="7"/>
              <c:delete val="1"/>
            </c:dLbl>
            <c:dLbl>
              <c:idx val="8"/>
              <c:layout>
                <c:manualLayout>
                  <c:x val="6.3191153238546603E-3"/>
                  <c:y val="0"/>
                </c:manualLayout>
              </c:layout>
              <c:showLegendKey val="0"/>
              <c:showVal val="1"/>
              <c:showCatName val="0"/>
              <c:showSerName val="0"/>
              <c:showPercent val="0"/>
              <c:showBubbleSize val="0"/>
            </c:dLbl>
            <c:dLbl>
              <c:idx val="9"/>
              <c:delete val="1"/>
            </c:dLbl>
            <c:dLbl>
              <c:idx val="10"/>
              <c:delete val="1"/>
            </c:dLbl>
            <c:dLbl>
              <c:idx val="11"/>
              <c:delete val="1"/>
            </c:dLbl>
            <c:dLbl>
              <c:idx val="12"/>
              <c:delete val="1"/>
            </c:dLbl>
            <c:dLbl>
              <c:idx val="13"/>
              <c:delete val="1"/>
            </c:dLbl>
            <c:dLbl>
              <c:idx val="14"/>
              <c:delete val="1"/>
            </c:dLbl>
            <c:dLbl>
              <c:idx val="15"/>
              <c:delete val="1"/>
            </c:dLbl>
            <c:dLbl>
              <c:idx val="16"/>
              <c:delete val="1"/>
            </c:dLbl>
            <c:dLbl>
              <c:idx val="17"/>
              <c:delete val="1"/>
            </c:dLbl>
            <c:dLbl>
              <c:idx val="19"/>
              <c:delete val="1"/>
            </c:dLbl>
            <c:dLbl>
              <c:idx val="20"/>
              <c:delete val="1"/>
            </c:dLbl>
            <c:dLbl>
              <c:idx val="21"/>
              <c:delete val="1"/>
            </c:dLbl>
            <c:dLbl>
              <c:idx val="22"/>
              <c:delete val="1"/>
            </c:dLbl>
            <c:txPr>
              <a:bodyPr/>
              <a:lstStyle/>
              <a:p>
                <a:pPr>
                  <a:defRPr sz="700"/>
                </a:pPr>
                <a:endParaRPr lang="es-CL"/>
              </a:p>
            </c:txPr>
            <c:showLegendKey val="0"/>
            <c:showVal val="1"/>
            <c:showCatName val="0"/>
            <c:showSerName val="0"/>
            <c:showPercent val="0"/>
            <c:showBubbleSize val="0"/>
            <c:showLeaderLines val="0"/>
          </c:dLbls>
          <c:cat>
            <c:strRef>
              <c:f>SSO!$A$32:$A$54</c:f>
              <c:strCache>
                <c:ptCount val="23"/>
                <c:pt idx="0">
                  <c:v>La empresa está afiliada a alguna mutual de seguridad </c:v>
                </c:pt>
                <c:pt idx="1">
                  <c:v>Se mantienen registros de la tasa de accidentabilidad histórica</c:v>
                </c:pt>
                <c:pt idx="2">
                  <c:v>Se mantienen registros de la tasa de accidentabilidad actual</c:v>
                </c:pt>
                <c:pt idx="3">
                  <c:v>Existe un comité paritario de higiene y seguridad </c:v>
                </c:pt>
                <c:pt idx="4">
                  <c:v>Existe un reglamento interno de higiene y seguridad</c:v>
                </c:pt>
                <c:pt idx="5">
                  <c:v>Existe identificación y evaluación de riesgos de seguridad ambiental de la empresa (Ley 16.744, DS 594, DS 40, DS 76)</c:v>
                </c:pt>
                <c:pt idx="6">
                  <c:v>Posee Plan de Contingencia de hombre al agua</c:v>
                </c:pt>
                <c:pt idx="7">
                  <c:v>Posee Plan de Contingencia contra incendio</c:v>
                </c:pt>
                <c:pt idx="8">
                  <c:v>Posee Plan de Contingencia de buceo</c:v>
                </c:pt>
                <c:pt idx="9">
                  <c:v>Posee Plan de Contingencia Mal tiempo</c:v>
                </c:pt>
                <c:pt idx="10">
                  <c:v>Posee Plan de Contingencia para centro de cultivo</c:v>
                </c:pt>
                <c:pt idx="11">
                  <c:v>Conoce la normativa asociada a los Planes de Contingencia</c:v>
                </c:pt>
                <c:pt idx="12">
                  <c:v>La empresa ha recibido sanciones por incumplimiento del DS 594</c:v>
                </c:pt>
                <c:pt idx="13">
                  <c:v>Existen procedimientos de trabajo seguro para los trabajadores</c:v>
                </c:pt>
                <c:pt idx="14">
                  <c:v>Posee instalaciones higiénicas en tierra para sus trabajadores </c:v>
                </c:pt>
                <c:pt idx="15">
                  <c:v>Posee instalaciones higiénicas en plataformas en el mar</c:v>
                </c:pt>
                <c:pt idx="16">
                  <c:v>Existe un cronograma establecido de capacitaciones para el personal</c:v>
                </c:pt>
                <c:pt idx="17">
                  <c:v>Existen registros de capacitaciones, DAS, entrega de elementos de protección personal.</c:v>
                </c:pt>
                <c:pt idx="18">
                  <c:v>Cumplen con lo establecido en la Ley 20.123 (Ley subcontratación)</c:v>
                </c:pt>
                <c:pt idx="19">
                  <c:v>Cumple con la norma técnica TMERT</c:v>
                </c:pt>
                <c:pt idx="20">
                  <c:v>Cumple con el Protocolo PREXOR</c:v>
                </c:pt>
                <c:pt idx="21">
                  <c:v>Cumple con el Protocolo Psicosocial</c:v>
                </c:pt>
                <c:pt idx="22">
                  <c:v>Protocolo para la Evaluación de la Luminancia e Iluminancia</c:v>
                </c:pt>
              </c:strCache>
            </c:strRef>
          </c:cat>
          <c:val>
            <c:numRef>
              <c:f>SSO!$V$32:$V$54</c:f>
              <c:numCache>
                <c:formatCode>0%</c:formatCode>
                <c:ptCount val="23"/>
                <c:pt idx="0">
                  <c:v>0</c:v>
                </c:pt>
                <c:pt idx="1">
                  <c:v>0</c:v>
                </c:pt>
                <c:pt idx="2">
                  <c:v>0</c:v>
                </c:pt>
                <c:pt idx="3">
                  <c:v>0</c:v>
                </c:pt>
                <c:pt idx="4">
                  <c:v>0</c:v>
                </c:pt>
                <c:pt idx="5">
                  <c:v>0</c:v>
                </c:pt>
                <c:pt idx="6">
                  <c:v>0</c:v>
                </c:pt>
                <c:pt idx="7">
                  <c:v>0</c:v>
                </c:pt>
                <c:pt idx="8">
                  <c:v>0.1</c:v>
                </c:pt>
                <c:pt idx="9">
                  <c:v>0</c:v>
                </c:pt>
                <c:pt idx="10">
                  <c:v>0</c:v>
                </c:pt>
                <c:pt idx="11">
                  <c:v>0</c:v>
                </c:pt>
                <c:pt idx="12">
                  <c:v>0</c:v>
                </c:pt>
                <c:pt idx="13">
                  <c:v>0</c:v>
                </c:pt>
                <c:pt idx="14">
                  <c:v>0</c:v>
                </c:pt>
                <c:pt idx="15">
                  <c:v>0</c:v>
                </c:pt>
                <c:pt idx="16">
                  <c:v>0</c:v>
                </c:pt>
                <c:pt idx="17">
                  <c:v>0</c:v>
                </c:pt>
                <c:pt idx="18">
                  <c:v>0.1</c:v>
                </c:pt>
                <c:pt idx="19">
                  <c:v>0</c:v>
                </c:pt>
                <c:pt idx="20">
                  <c:v>0</c:v>
                </c:pt>
                <c:pt idx="21">
                  <c:v>0</c:v>
                </c:pt>
                <c:pt idx="22">
                  <c:v>0</c:v>
                </c:pt>
              </c:numCache>
            </c:numRef>
          </c:val>
        </c:ser>
        <c:dLbls>
          <c:showLegendKey val="0"/>
          <c:showVal val="1"/>
          <c:showCatName val="0"/>
          <c:showSerName val="0"/>
          <c:showPercent val="0"/>
          <c:showBubbleSize val="0"/>
        </c:dLbls>
        <c:gapWidth val="95"/>
        <c:gapDepth val="95"/>
        <c:shape val="box"/>
        <c:axId val="282342144"/>
        <c:axId val="282343680"/>
        <c:axId val="0"/>
      </c:bar3DChart>
      <c:catAx>
        <c:axId val="282342144"/>
        <c:scaling>
          <c:orientation val="minMax"/>
        </c:scaling>
        <c:delete val="0"/>
        <c:axPos val="l"/>
        <c:majorTickMark val="none"/>
        <c:minorTickMark val="none"/>
        <c:tickLblPos val="nextTo"/>
        <c:txPr>
          <a:bodyPr/>
          <a:lstStyle/>
          <a:p>
            <a:pPr>
              <a:defRPr sz="700"/>
            </a:pPr>
            <a:endParaRPr lang="es-CL"/>
          </a:p>
        </c:txPr>
        <c:crossAx val="282343680"/>
        <c:crosses val="autoZero"/>
        <c:auto val="1"/>
        <c:lblAlgn val="ctr"/>
        <c:lblOffset val="100"/>
        <c:noMultiLvlLbl val="0"/>
      </c:catAx>
      <c:valAx>
        <c:axId val="282343680"/>
        <c:scaling>
          <c:orientation val="minMax"/>
        </c:scaling>
        <c:delete val="1"/>
        <c:axPos val="b"/>
        <c:numFmt formatCode="0%" sourceLinked="1"/>
        <c:majorTickMark val="out"/>
        <c:minorTickMark val="none"/>
        <c:tickLblPos val="nextTo"/>
        <c:crossAx val="282342144"/>
        <c:crosses val="autoZero"/>
        <c:crossBetween val="between"/>
      </c:valAx>
    </c:plotArea>
    <c:legend>
      <c:legendPos val="t"/>
      <c:overlay val="0"/>
      <c:txPr>
        <a:bodyPr/>
        <a:lstStyle/>
        <a:p>
          <a:pPr>
            <a:defRPr sz="750"/>
          </a:pPr>
          <a:endParaRPr lang="es-CL"/>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n-US" sz="800"/>
              <a:t>Trabajadores promedio de centros de cultivo PYME</a:t>
            </a:r>
            <a:r>
              <a:rPr lang="en-US" sz="800" baseline="0"/>
              <a:t> y Grande </a:t>
            </a:r>
            <a:r>
              <a:rPr lang="en-US" sz="800"/>
              <a:t> (N°)</a:t>
            </a:r>
          </a:p>
        </c:rich>
      </c:tx>
      <c:layout>
        <c:manualLayout>
          <c:xMode val="edge"/>
          <c:yMode val="edge"/>
          <c:x val="0.12680820583073352"/>
          <c:y val="5.0847471199111493E-3"/>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'RRHH   (2)'!$A$44</c:f>
              <c:strCache>
                <c:ptCount val="1"/>
                <c:pt idx="0">
                  <c:v>Promedio</c:v>
                </c:pt>
              </c:strCache>
            </c:strRef>
          </c:tx>
          <c:invertIfNegative val="0"/>
          <c:dLbls>
            <c:dLbl>
              <c:idx val="0"/>
              <c:layout>
                <c:manualLayout>
                  <c:x val="5.0410582151740803E-2"/>
                  <c:y val="-3.0586365245742334E-2"/>
                </c:manualLayout>
              </c:layout>
              <c:showLegendKey val="0"/>
              <c:showVal val="1"/>
              <c:showCatName val="0"/>
              <c:showSerName val="0"/>
              <c:showPercent val="0"/>
              <c:showBubbleSize val="0"/>
            </c:dLbl>
            <c:dLbl>
              <c:idx val="1"/>
              <c:layout>
                <c:manualLayout>
                  <c:x val="4.567440358021882E-2"/>
                  <c:y val="-2.7169814549970531E-2"/>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'RRHH   (2)'!$B$43:$C$43</c:f>
              <c:strCache>
                <c:ptCount val="2"/>
                <c:pt idx="0">
                  <c:v>PYME</c:v>
                </c:pt>
                <c:pt idx="1">
                  <c:v>Grande</c:v>
                </c:pt>
              </c:strCache>
            </c:strRef>
          </c:cat>
          <c:val>
            <c:numRef>
              <c:f>'RRHH   (2)'!$B$44:$C$44</c:f>
              <c:numCache>
                <c:formatCode>General</c:formatCode>
                <c:ptCount val="2"/>
                <c:pt idx="0">
                  <c:v>5</c:v>
                </c:pt>
                <c:pt idx="1">
                  <c:v>20</c:v>
                </c:pt>
              </c:numCache>
            </c:numRef>
          </c:val>
        </c:ser>
        <c:dLbls>
          <c:showLegendKey val="0"/>
          <c:showVal val="1"/>
          <c:showCatName val="0"/>
          <c:showSerName val="0"/>
          <c:showPercent val="0"/>
          <c:showBubbleSize val="0"/>
        </c:dLbls>
        <c:gapWidth val="150"/>
        <c:shape val="box"/>
        <c:axId val="156033408"/>
        <c:axId val="156036096"/>
        <c:axId val="0"/>
      </c:bar3DChart>
      <c:catAx>
        <c:axId val="156033408"/>
        <c:scaling>
          <c:orientation val="minMax"/>
        </c:scaling>
        <c:delete val="0"/>
        <c:axPos val="b"/>
        <c:majorTickMark val="none"/>
        <c:minorTickMark val="none"/>
        <c:tickLblPos val="nextTo"/>
        <c:txPr>
          <a:bodyPr/>
          <a:lstStyle/>
          <a:p>
            <a:pPr>
              <a:defRPr sz="750"/>
            </a:pPr>
            <a:endParaRPr lang="es-CL"/>
          </a:p>
        </c:txPr>
        <c:crossAx val="156036096"/>
        <c:crosses val="autoZero"/>
        <c:auto val="1"/>
        <c:lblAlgn val="ctr"/>
        <c:lblOffset val="100"/>
        <c:noMultiLvlLbl val="0"/>
      </c:catAx>
      <c:valAx>
        <c:axId val="156036096"/>
        <c:scaling>
          <c:orientation val="minMax"/>
        </c:scaling>
        <c:delete val="1"/>
        <c:axPos val="l"/>
        <c:numFmt formatCode="General" sourceLinked="1"/>
        <c:majorTickMark val="out"/>
        <c:minorTickMark val="none"/>
        <c:tickLblPos val="nextTo"/>
        <c:crossAx val="156033408"/>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Trabajadores de</a:t>
            </a:r>
            <a:r>
              <a:rPr lang="es-CL" sz="800" baseline="0"/>
              <a:t> centros de cultivo PYME y Grande según género (N°)</a:t>
            </a:r>
            <a:endParaRPr lang="es-CL" sz="800"/>
          </a:p>
        </c:rich>
      </c:tx>
      <c:layout>
        <c:manualLayout>
          <c:xMode val="edge"/>
          <c:yMode val="edge"/>
          <c:x val="0.13588888888888889"/>
          <c:y val="0"/>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'RRHH   (2)'!$E$44</c:f>
              <c:strCache>
                <c:ptCount val="1"/>
                <c:pt idx="0">
                  <c:v>Hombre</c:v>
                </c:pt>
              </c:strCache>
            </c:strRef>
          </c:tx>
          <c:invertIfNegative val="0"/>
          <c:dLbls>
            <c:dLbl>
              <c:idx val="0"/>
              <c:layout>
                <c:manualLayout>
                  <c:x val="3.3391297031691164E-2"/>
                  <c:y val="-9.0566016207750486E-3"/>
                </c:manualLayout>
              </c:layout>
              <c:showLegendKey val="0"/>
              <c:showVal val="1"/>
              <c:showCatName val="0"/>
              <c:showSerName val="0"/>
              <c:showPercent val="0"/>
              <c:showBubbleSize val="0"/>
            </c:dLbl>
            <c:dLbl>
              <c:idx val="1"/>
              <c:layout>
                <c:manualLayout>
                  <c:x val="2.0869560644806905E-2"/>
                  <c:y val="-9.0566016207751718E-3"/>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'RRHH   (2)'!$F$43:$G$43</c:f>
              <c:strCache>
                <c:ptCount val="2"/>
                <c:pt idx="0">
                  <c:v>PYME</c:v>
                </c:pt>
                <c:pt idx="1">
                  <c:v>Grande</c:v>
                </c:pt>
              </c:strCache>
            </c:strRef>
          </c:cat>
          <c:val>
            <c:numRef>
              <c:f>'RRHH   (2)'!$F$44:$G$44</c:f>
              <c:numCache>
                <c:formatCode>General</c:formatCode>
                <c:ptCount val="2"/>
                <c:pt idx="0">
                  <c:v>4</c:v>
                </c:pt>
                <c:pt idx="1">
                  <c:v>17</c:v>
                </c:pt>
              </c:numCache>
            </c:numRef>
          </c:val>
        </c:ser>
        <c:ser>
          <c:idx val="1"/>
          <c:order val="1"/>
          <c:tx>
            <c:strRef>
              <c:f>'RRHH   (2)'!$E$45</c:f>
              <c:strCache>
                <c:ptCount val="1"/>
                <c:pt idx="0">
                  <c:v>mujer</c:v>
                </c:pt>
              </c:strCache>
            </c:strRef>
          </c:tx>
          <c:invertIfNegative val="0"/>
          <c:dLbls>
            <c:dLbl>
              <c:idx val="0"/>
              <c:layout>
                <c:manualLayout>
                  <c:x val="5.0149628634201256E-2"/>
                  <c:y val="-1.2892529912864535E-2"/>
                </c:manualLayout>
              </c:layout>
              <c:showLegendKey val="0"/>
              <c:showVal val="1"/>
              <c:showCatName val="0"/>
              <c:showSerName val="0"/>
              <c:showPercent val="0"/>
              <c:showBubbleSize val="0"/>
            </c:dLbl>
            <c:dLbl>
              <c:idx val="1"/>
              <c:layout>
                <c:manualLayout>
                  <c:x val="3.7565209160652563E-2"/>
                  <c:y val="-9.0566016207751301E-3"/>
                </c:manualLayout>
              </c:layout>
              <c:showLegendKey val="0"/>
              <c:showVal val="1"/>
              <c:showCatName val="0"/>
              <c:showSerName val="0"/>
              <c:showPercent val="0"/>
              <c:showBubbleSize val="0"/>
            </c:dLbl>
            <c:txPr>
              <a:bodyPr/>
              <a:lstStyle/>
              <a:p>
                <a:pPr>
                  <a:defRPr sz="750"/>
                </a:pPr>
                <a:endParaRPr lang="es-CL"/>
              </a:p>
            </c:txPr>
            <c:showLegendKey val="0"/>
            <c:showVal val="1"/>
            <c:showCatName val="0"/>
            <c:showSerName val="0"/>
            <c:showPercent val="0"/>
            <c:showBubbleSize val="0"/>
            <c:showLeaderLines val="0"/>
          </c:dLbls>
          <c:cat>
            <c:strRef>
              <c:f>'RRHH   (2)'!$F$43:$G$43</c:f>
              <c:strCache>
                <c:ptCount val="2"/>
                <c:pt idx="0">
                  <c:v>PYME</c:v>
                </c:pt>
                <c:pt idx="1">
                  <c:v>Grande</c:v>
                </c:pt>
              </c:strCache>
            </c:strRef>
          </c:cat>
          <c:val>
            <c:numRef>
              <c:f>'RRHH   (2)'!$F$45:$G$45</c:f>
              <c:numCache>
                <c:formatCode>General</c:formatCode>
                <c:ptCount val="2"/>
                <c:pt idx="0">
                  <c:v>1</c:v>
                </c:pt>
                <c:pt idx="1">
                  <c:v>3</c:v>
                </c:pt>
              </c:numCache>
            </c:numRef>
          </c:val>
        </c:ser>
        <c:dLbls>
          <c:showLegendKey val="0"/>
          <c:showVal val="1"/>
          <c:showCatName val="0"/>
          <c:showSerName val="0"/>
          <c:showPercent val="0"/>
          <c:showBubbleSize val="0"/>
        </c:dLbls>
        <c:gapWidth val="150"/>
        <c:shape val="box"/>
        <c:axId val="162763520"/>
        <c:axId val="162765056"/>
        <c:axId val="0"/>
      </c:bar3DChart>
      <c:catAx>
        <c:axId val="162763520"/>
        <c:scaling>
          <c:orientation val="minMax"/>
        </c:scaling>
        <c:delete val="0"/>
        <c:axPos val="b"/>
        <c:majorTickMark val="none"/>
        <c:minorTickMark val="none"/>
        <c:tickLblPos val="nextTo"/>
        <c:txPr>
          <a:bodyPr/>
          <a:lstStyle/>
          <a:p>
            <a:pPr>
              <a:defRPr sz="750"/>
            </a:pPr>
            <a:endParaRPr lang="es-CL"/>
          </a:p>
        </c:txPr>
        <c:crossAx val="162765056"/>
        <c:crosses val="autoZero"/>
        <c:auto val="1"/>
        <c:lblAlgn val="ctr"/>
        <c:lblOffset val="100"/>
        <c:noMultiLvlLbl val="0"/>
      </c:catAx>
      <c:valAx>
        <c:axId val="162765056"/>
        <c:scaling>
          <c:orientation val="minMax"/>
        </c:scaling>
        <c:delete val="1"/>
        <c:axPos val="l"/>
        <c:numFmt formatCode="General" sourceLinked="1"/>
        <c:majorTickMark val="out"/>
        <c:minorTickMark val="none"/>
        <c:tickLblPos val="nextTo"/>
        <c:crossAx val="162763520"/>
        <c:crosses val="autoZero"/>
        <c:crossBetween val="between"/>
      </c:valAx>
    </c:plotArea>
    <c:legend>
      <c:legendPos val="t"/>
      <c:layout>
        <c:manualLayout>
          <c:xMode val="edge"/>
          <c:yMode val="edge"/>
          <c:x val="0.28857611548556428"/>
          <c:y val="0.20323726101197637"/>
          <c:w val="0.42284776902887139"/>
          <c:h val="7.9664342764667995E-2"/>
        </c:manualLayout>
      </c:layout>
      <c:overlay val="0"/>
      <c:txPr>
        <a:bodyPr/>
        <a:lstStyle/>
        <a:p>
          <a:pPr>
            <a:defRPr sz="750"/>
          </a:pPr>
          <a:endParaRPr lang="es-CL"/>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sz="800"/>
            </a:pPr>
            <a:r>
              <a:rPr lang="es-CL" sz="800"/>
              <a:t>Trabajadores de</a:t>
            </a:r>
            <a:r>
              <a:rPr lang="es-CL" sz="800" baseline="0"/>
              <a:t> centros de cultivo PYME y Grande según tipo de contrato  (N°)</a:t>
            </a:r>
            <a:endParaRPr lang="es-CL" sz="800"/>
          </a:p>
        </c:rich>
      </c:tx>
      <c:layout>
        <c:manualLayout>
          <c:xMode val="edge"/>
          <c:yMode val="edge"/>
          <c:x val="0.13033333333333333"/>
          <c:y val="1.0169490168224988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'RRHH   (2)'!$I$44</c:f>
              <c:strCache>
                <c:ptCount val="1"/>
                <c:pt idx="0">
                  <c:v>Temporal</c:v>
                </c:pt>
              </c:strCache>
            </c:strRef>
          </c:tx>
          <c:invertIfNegative val="0"/>
          <c:dLbls>
            <c:dLbl>
              <c:idx val="0"/>
              <c:layout>
                <c:manualLayout>
                  <c:x val="1.2459248401526447E-2"/>
                  <c:y val="-9.056793643472609E-3"/>
                </c:manualLayout>
              </c:layout>
              <c:showLegendKey val="0"/>
              <c:showVal val="1"/>
              <c:showCatName val="0"/>
              <c:showSerName val="0"/>
              <c:showPercent val="0"/>
              <c:showBubbleSize val="0"/>
            </c:dLbl>
            <c:dLbl>
              <c:idx val="1"/>
              <c:layout>
                <c:manualLayout>
                  <c:x val="2.0869560644806905E-2"/>
                  <c:y val="-9.0566016207751718E-3"/>
                </c:manualLayout>
              </c:layout>
              <c:showLegendKey val="0"/>
              <c:showVal val="1"/>
              <c:showCatName val="0"/>
              <c:showSerName val="0"/>
              <c:showPercent val="0"/>
              <c:showBubbleSize val="0"/>
            </c:dLbl>
            <c:txPr>
              <a:bodyPr/>
              <a:lstStyle/>
              <a:p>
                <a:pPr>
                  <a:defRPr sz="800"/>
                </a:pPr>
                <a:endParaRPr lang="es-CL"/>
              </a:p>
            </c:txPr>
            <c:showLegendKey val="0"/>
            <c:showVal val="1"/>
            <c:showCatName val="0"/>
            <c:showSerName val="0"/>
            <c:showPercent val="0"/>
            <c:showBubbleSize val="0"/>
            <c:showLeaderLines val="0"/>
          </c:dLbls>
          <c:cat>
            <c:strRef>
              <c:f>'RRHH   (2)'!$J$43:$K$43</c:f>
              <c:strCache>
                <c:ptCount val="2"/>
                <c:pt idx="0">
                  <c:v>PYME</c:v>
                </c:pt>
                <c:pt idx="1">
                  <c:v>Grande</c:v>
                </c:pt>
              </c:strCache>
            </c:strRef>
          </c:cat>
          <c:val>
            <c:numRef>
              <c:f>'RRHH   (2)'!$J$44:$K$44</c:f>
              <c:numCache>
                <c:formatCode>General</c:formatCode>
                <c:ptCount val="2"/>
                <c:pt idx="0">
                  <c:v>1</c:v>
                </c:pt>
                <c:pt idx="1">
                  <c:v>4</c:v>
                </c:pt>
              </c:numCache>
            </c:numRef>
          </c:val>
        </c:ser>
        <c:ser>
          <c:idx val="1"/>
          <c:order val="1"/>
          <c:tx>
            <c:strRef>
              <c:f>'RRHH   (2)'!$I$45</c:f>
              <c:strCache>
                <c:ptCount val="1"/>
                <c:pt idx="0">
                  <c:v>Indefinido</c:v>
                </c:pt>
              </c:strCache>
            </c:strRef>
          </c:tx>
          <c:invertIfNegative val="0"/>
          <c:dLbls>
            <c:dLbl>
              <c:idx val="0"/>
              <c:layout>
                <c:manualLayout>
                  <c:x val="2.9217384902729772E-2"/>
                  <c:y val="-1.811320324155026E-2"/>
                </c:manualLayout>
              </c:layout>
              <c:showLegendKey val="0"/>
              <c:showVal val="1"/>
              <c:showCatName val="0"/>
              <c:showSerName val="0"/>
              <c:showPercent val="0"/>
              <c:showBubbleSize val="0"/>
            </c:dLbl>
            <c:dLbl>
              <c:idx val="1"/>
              <c:layout>
                <c:manualLayout>
                  <c:x val="3.7565209160652563E-2"/>
                  <c:y val="-9.0566016207751301E-3"/>
                </c:manualLayout>
              </c:layout>
              <c:showLegendKey val="0"/>
              <c:showVal val="1"/>
              <c:showCatName val="0"/>
              <c:showSerName val="0"/>
              <c:showPercent val="0"/>
              <c:showBubbleSize val="0"/>
            </c:dLbl>
            <c:txPr>
              <a:bodyPr/>
              <a:lstStyle/>
              <a:p>
                <a:pPr>
                  <a:defRPr sz="800"/>
                </a:pPr>
                <a:endParaRPr lang="es-CL"/>
              </a:p>
            </c:txPr>
            <c:showLegendKey val="0"/>
            <c:showVal val="1"/>
            <c:showCatName val="0"/>
            <c:showSerName val="0"/>
            <c:showPercent val="0"/>
            <c:showBubbleSize val="0"/>
            <c:showLeaderLines val="0"/>
          </c:dLbls>
          <c:cat>
            <c:strRef>
              <c:f>'RRHH   (2)'!$J$43:$K$43</c:f>
              <c:strCache>
                <c:ptCount val="2"/>
                <c:pt idx="0">
                  <c:v>PYME</c:v>
                </c:pt>
                <c:pt idx="1">
                  <c:v>Grande</c:v>
                </c:pt>
              </c:strCache>
            </c:strRef>
          </c:cat>
          <c:val>
            <c:numRef>
              <c:f>'RRHH   (2)'!$J$45:$K$45</c:f>
              <c:numCache>
                <c:formatCode>General</c:formatCode>
                <c:ptCount val="2"/>
                <c:pt idx="0">
                  <c:v>4</c:v>
                </c:pt>
                <c:pt idx="1">
                  <c:v>16</c:v>
                </c:pt>
              </c:numCache>
            </c:numRef>
          </c:val>
        </c:ser>
        <c:dLbls>
          <c:showLegendKey val="0"/>
          <c:showVal val="1"/>
          <c:showCatName val="0"/>
          <c:showSerName val="0"/>
          <c:showPercent val="0"/>
          <c:showBubbleSize val="0"/>
        </c:dLbls>
        <c:gapWidth val="150"/>
        <c:shape val="box"/>
        <c:axId val="197817088"/>
        <c:axId val="197818624"/>
        <c:axId val="0"/>
      </c:bar3DChart>
      <c:catAx>
        <c:axId val="197817088"/>
        <c:scaling>
          <c:orientation val="minMax"/>
        </c:scaling>
        <c:delete val="0"/>
        <c:axPos val="b"/>
        <c:majorTickMark val="none"/>
        <c:minorTickMark val="none"/>
        <c:tickLblPos val="nextTo"/>
        <c:txPr>
          <a:bodyPr/>
          <a:lstStyle/>
          <a:p>
            <a:pPr>
              <a:defRPr sz="750"/>
            </a:pPr>
            <a:endParaRPr lang="es-CL"/>
          </a:p>
        </c:txPr>
        <c:crossAx val="197818624"/>
        <c:crosses val="autoZero"/>
        <c:auto val="1"/>
        <c:lblAlgn val="ctr"/>
        <c:lblOffset val="100"/>
        <c:noMultiLvlLbl val="0"/>
      </c:catAx>
      <c:valAx>
        <c:axId val="197818624"/>
        <c:scaling>
          <c:orientation val="minMax"/>
        </c:scaling>
        <c:delete val="1"/>
        <c:axPos val="l"/>
        <c:numFmt formatCode="General" sourceLinked="1"/>
        <c:majorTickMark val="out"/>
        <c:minorTickMark val="none"/>
        <c:tickLblPos val="nextTo"/>
        <c:crossAx val="197817088"/>
        <c:crosses val="autoZero"/>
        <c:crossBetween val="between"/>
      </c:valAx>
    </c:plotArea>
    <c:legend>
      <c:legendPos val="t"/>
      <c:layout>
        <c:manualLayout>
          <c:xMode val="edge"/>
          <c:yMode val="edge"/>
          <c:x val="0.25215831013958007"/>
          <c:y val="0.19773085369285792"/>
          <c:w val="0.5458153980752406"/>
          <c:h val="7.9664342764667995E-2"/>
        </c:manualLayout>
      </c:layout>
      <c:overlay val="0"/>
      <c:txPr>
        <a:bodyPr/>
        <a:lstStyle/>
        <a:p>
          <a:pPr>
            <a:defRPr sz="750"/>
          </a:pPr>
          <a:endParaRPr lang="es-CL"/>
        </a:p>
      </c:txPr>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Ivonne Cartes,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AAF322-BC7D-4DCE-AE5C-8C1AA15AA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66</Pages>
  <Words>12690</Words>
  <Characters>69800</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Sistematización de la información existente sobre la industria mitilicultora en Chi</vt:lpstr>
    </vt:vector>
  </TitlesOfParts>
  <Company>Elaborado pr</Company>
  <LinksUpToDate>false</LinksUpToDate>
  <CharactersWithSpaces>82326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Sistematización de la información existente sobre la industria mitilicultora en Chi</dc:title>
  <dc:creator>Usuario de Microsoft Office</dc:creator>
  <cp:lastModifiedBy>Ivonne Cartes</cp:lastModifiedBy>
  <cp:revision>11</cp:revision>
  <cp:lastPrinted>2017-01-12T18:44:00Z</cp:lastPrinted>
  <dcterms:created xsi:type="dcterms:W3CDTF">2017-01-12T14:54:00Z</dcterms:created>
  <dcterms:modified xsi:type="dcterms:W3CDTF">2017-03-23T18:51:00Z</dcterms:modified>
</cp:coreProperties>
</file>