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theme/themeOverride2.xml" ContentType="application/vnd.openxmlformats-officedocument.themeOverride+xml"/>
  <Override PartName="/word/charts/chart9.xml" ContentType="application/vnd.openxmlformats-officedocument.drawingml.chart+xml"/>
  <Override PartName="/word/theme/themeOverride3.xml" ContentType="application/vnd.openxmlformats-officedocument.themeOverride+xml"/>
  <Override PartName="/word/charts/chart10.xml" ContentType="application/vnd.openxmlformats-officedocument.drawingml.chart+xml"/>
  <Override PartName="/word/theme/themeOverride4.xml" ContentType="application/vnd.openxmlformats-officedocument.themeOverride+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theme/themeOverride5.xml" ContentType="application/vnd.openxmlformats-officedocument.themeOverride+xml"/>
  <Override PartName="/word/charts/chart22.xml" ContentType="application/vnd.openxmlformats-officedocument.drawingml.chart+xml"/>
  <Override PartName="/word/theme/themeOverride6.xml" ContentType="application/vnd.openxmlformats-officedocument.themeOverride+xml"/>
  <Override PartName="/word/charts/chart23.xml" ContentType="application/vnd.openxmlformats-officedocument.drawingml.chart+xml"/>
  <Override PartName="/word/theme/themeOverride7.xml" ContentType="application/vnd.openxmlformats-officedocument.themeOverride+xml"/>
  <Override PartName="/word/charts/chart24.xml" ContentType="application/vnd.openxmlformats-officedocument.drawingml.chart+xml"/>
  <Override PartName="/word/theme/themeOverride8.xml" ContentType="application/vnd.openxmlformats-officedocument.themeOverride+xml"/>
  <Override PartName="/word/charts/chart25.xml" ContentType="application/vnd.openxmlformats-officedocument.drawingml.chart+xml"/>
  <Override PartName="/word/charts/chart26.xml" ContentType="application/vnd.openxmlformats-officedocument.drawingml.chart+xml"/>
  <Override PartName="/word/theme/themeOverride9.xml" ContentType="application/vnd.openxmlformats-officedocument.themeOverride+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theme/themeOverride10.xml" ContentType="application/vnd.openxmlformats-officedocument.themeOverride+xml"/>
  <Override PartName="/word/charts/chart31.xml" ContentType="application/vnd.openxmlformats-officedocument.drawingml.chart+xml"/>
  <Override PartName="/word/charts/chart32.xml" ContentType="application/vnd.openxmlformats-officedocument.drawingml.chart+xml"/>
  <Override PartName="/word/theme/themeOverride11.xml" ContentType="application/vnd.openxmlformats-officedocument.themeOverride+xml"/>
  <Override PartName="/word/charts/chart33.xml" ContentType="application/vnd.openxmlformats-officedocument.drawingml.chart+xml"/>
  <Override PartName="/word/theme/themeOverride12.xml" ContentType="application/vnd.openxmlformats-officedocument.themeOverride+xml"/>
  <Override PartName="/word/charts/chart34.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GoBack" w:displacedByCustomXml="next"/>
    <w:bookmarkEnd w:id="0" w:displacedByCustomXml="next"/>
    <w:bookmarkStart w:id="1" w:name="_Toc444477629" w:displacedByCustomXml="next"/>
    <w:sdt>
      <w:sdtPr>
        <w:id w:val="-1452774360"/>
        <w:docPartObj>
          <w:docPartGallery w:val="Cover Pages"/>
          <w:docPartUnique/>
        </w:docPartObj>
      </w:sdtPr>
      <w:sdtEndPr>
        <w:rPr>
          <w:sz w:val="36"/>
        </w:rPr>
      </w:sdtEndPr>
      <w:sdtContent>
        <w:p w14:paraId="73E83A1B" w14:textId="1F02212E" w:rsidR="005E1B54" w:rsidRPr="007A53AB" w:rsidRDefault="00B75230" w:rsidP="00CE62F9">
          <w:pPr>
            <w:spacing w:before="240" w:line="240" w:lineRule="auto"/>
          </w:pPr>
          <w:r w:rsidRPr="007A53AB">
            <w:rPr>
              <w:noProof/>
              <w:sz w:val="36"/>
              <w:lang w:val="es-CL" w:eastAsia="es-CL"/>
            </w:rPr>
            <w:drawing>
              <wp:anchor distT="0" distB="0" distL="114300" distR="114300" simplePos="0" relativeHeight="251701248" behindDoc="1" locked="0" layoutInCell="1" allowOverlap="1" wp14:anchorId="010F72FA" wp14:editId="63DB486E">
                <wp:simplePos x="0" y="0"/>
                <wp:positionH relativeFrom="page">
                  <wp:align>left</wp:align>
                </wp:positionH>
                <wp:positionV relativeFrom="paragraph">
                  <wp:posOffset>0</wp:posOffset>
                </wp:positionV>
                <wp:extent cx="8496935" cy="10981055"/>
                <wp:effectExtent l="0" t="0" r="0" b="0"/>
                <wp:wrapSquare wrapText="bothSides"/>
                <wp:docPr id="16" name="Imagen 16" descr="Portada%20Informes%20(maqueta).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rtada%20Informes%20(maqueta).pd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96935" cy="10981055"/>
                        </a:xfrm>
                        <a:prstGeom prst="rect">
                          <a:avLst/>
                        </a:prstGeom>
                        <a:noFill/>
                        <a:ln>
                          <a:noFill/>
                        </a:ln>
                      </pic:spPr>
                    </pic:pic>
                  </a:graphicData>
                </a:graphic>
                <wp14:sizeRelH relativeFrom="page">
                  <wp14:pctWidth>0</wp14:pctWidth>
                </wp14:sizeRelH>
                <wp14:sizeRelV relativeFrom="page">
                  <wp14:pctHeight>0</wp14:pctHeight>
                </wp14:sizeRelV>
              </wp:anchor>
            </w:drawing>
          </w:r>
          <w:r w:rsidR="000A16F7" w:rsidRPr="007A53AB">
            <w:rPr>
              <w:noProof/>
              <w:lang w:val="es-CL" w:eastAsia="es-CL"/>
            </w:rPr>
            <w:drawing>
              <wp:anchor distT="0" distB="0" distL="114300" distR="114300" simplePos="0" relativeHeight="251703296" behindDoc="0" locked="0" layoutInCell="1" allowOverlap="1" wp14:anchorId="7CA6653E" wp14:editId="665F641D">
                <wp:simplePos x="0" y="0"/>
                <wp:positionH relativeFrom="column">
                  <wp:posOffset>-514985</wp:posOffset>
                </wp:positionH>
                <wp:positionV relativeFrom="paragraph">
                  <wp:posOffset>5915025</wp:posOffset>
                </wp:positionV>
                <wp:extent cx="1931670" cy="1196975"/>
                <wp:effectExtent l="0" t="0" r="0" b="0"/>
                <wp:wrapSquare wrapText="bothSides"/>
                <wp:docPr id="17" name="Imagen 17" descr="../../../Downloads/carne%20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s/carne%20copia.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1670" cy="1196975"/>
                        </a:xfrm>
                        <a:prstGeom prst="rect">
                          <a:avLst/>
                        </a:prstGeom>
                        <a:noFill/>
                        <a:ln>
                          <a:noFill/>
                        </a:ln>
                      </pic:spPr>
                    </pic:pic>
                  </a:graphicData>
                </a:graphic>
                <wp14:sizeRelH relativeFrom="page">
                  <wp14:pctWidth>0</wp14:pctWidth>
                </wp14:sizeRelH>
                <wp14:sizeRelV relativeFrom="page">
                  <wp14:pctHeight>0</wp14:pctHeight>
                </wp14:sizeRelV>
              </wp:anchor>
            </w:drawing>
          </w:r>
          <w:r w:rsidR="000A16F7" w:rsidRPr="007A53AB">
            <w:rPr>
              <w:noProof/>
              <w:lang w:val="es-CL" w:eastAsia="es-CL"/>
            </w:rPr>
            <mc:AlternateContent>
              <mc:Choice Requires="wps">
                <w:drawing>
                  <wp:anchor distT="0" distB="0" distL="114300" distR="114300" simplePos="0" relativeHeight="251695104" behindDoc="0" locked="0" layoutInCell="1" allowOverlap="1" wp14:anchorId="1C04E7B6" wp14:editId="1CF73585">
                    <wp:simplePos x="0" y="0"/>
                    <wp:positionH relativeFrom="page">
                      <wp:posOffset>1605280</wp:posOffset>
                    </wp:positionH>
                    <wp:positionV relativeFrom="page">
                      <wp:posOffset>3905250</wp:posOffset>
                    </wp:positionV>
                    <wp:extent cx="5753100" cy="3253105"/>
                    <wp:effectExtent l="0" t="0" r="10160" b="4445"/>
                    <wp:wrapSquare wrapText="bothSides"/>
                    <wp:docPr id="113" name="Cuadro de texto 113"/>
                    <wp:cNvGraphicFramePr/>
                    <a:graphic xmlns:a="http://schemas.openxmlformats.org/drawingml/2006/main">
                      <a:graphicData uri="http://schemas.microsoft.com/office/word/2010/wordprocessingShape">
                        <wps:wsp>
                          <wps:cNvSpPr txBox="1"/>
                          <wps:spPr>
                            <a:xfrm>
                              <a:off x="0" y="0"/>
                              <a:ext cx="5753100" cy="32531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6EDC1E" w14:textId="102299B7" w:rsidR="00474B36" w:rsidRPr="005E1B54" w:rsidRDefault="00474B36">
                                <w:pPr>
                                  <w:pStyle w:val="Sinespaciado"/>
                                  <w:jc w:val="right"/>
                                  <w:rPr>
                                    <w:rFonts w:ascii="Titillium Bd" w:hAnsi="Titillium Bd"/>
                                    <w:b/>
                                    <w:bCs/>
                                    <w:smallCaps/>
                                    <w:color w:val="FFFFFF" w:themeColor="background1"/>
                                    <w:sz w:val="180"/>
                                    <w:szCs w:val="36"/>
                                  </w:rPr>
                                </w:pPr>
                                <w:r w:rsidRPr="00E44CFE">
                                  <w:rPr>
                                    <w:rFonts w:ascii="Titillium Bd" w:hAnsi="Titillium Bd" w:cs="Times New Roman"/>
                                    <w:b/>
                                    <w:bCs/>
                                    <w:color w:val="0070C0"/>
                                    <w:sz w:val="72"/>
                                    <w:szCs w:val="72"/>
                                  </w:rPr>
                                  <w:t>Diagnóstico de Producción Limpia en Plantas de Proceso de la Industria de Los Mitílidos</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13" o:spid="_x0000_s1026" type="#_x0000_t202" style="position:absolute;margin-left:126.4pt;margin-top:307.5pt;width:453pt;height:256.15pt;z-index:251695104;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" filled="f" stroked="f" strokeweight=".5pt">
                    <v:textbox inset="0,0,0,0">
                      <w:txbxContent>
                        <w:p w14:paraId="7D6EDC1E" w14:textId="102299B7" w:rsidR="009711EA" w:rsidRPr="005E1B54" w:rsidRDefault="009711EA">
                          <w:pPr>
                            <w:pStyle w:val="Sinespaciado"/>
                            <w:jc w:val="right"/>
                            <w:rPr>
                              <w:rFonts w:ascii="Titillium Bd" w:hAnsi="Titillium Bd"/>
                              <w:b/>
                              <w:bCs/>
                              <w:smallCaps/>
                              <w:color w:val="FFFFFF" w:themeColor="background1"/>
                              <w:sz w:val="180"/>
                              <w:szCs w:val="36"/>
                            </w:rPr>
                          </w:pPr>
                          <w:r w:rsidRPr="00E44CFE">
                            <w:rPr>
                              <w:rFonts w:ascii="Titillium Bd" w:hAnsi="Titillium Bd" w:cs="Times New Roman"/>
                              <w:b/>
                              <w:bCs/>
                              <w:color w:val="0070C0"/>
                              <w:sz w:val="72"/>
                              <w:szCs w:val="72"/>
                            </w:rPr>
                            <w:t>Diagnóstico de Producción Limpia en Plantas de Proceso de la Industria de Los Mitílidos</w:t>
                          </w:r>
                        </w:p>
                      </w:txbxContent>
                    </v:textbox>
                    <w10:wrap type="square" anchorx="page" anchory="page"/>
                  </v:shape>
                </w:pict>
              </mc:Fallback>
            </mc:AlternateContent>
          </w:r>
          <w:r w:rsidR="001A208D" w:rsidRPr="007A53AB">
            <w:rPr>
              <w:noProof/>
              <w:lang w:val="es-CL" w:eastAsia="es-CL"/>
            </w:rPr>
            <w:drawing>
              <wp:anchor distT="0" distB="0" distL="114300" distR="114300" simplePos="0" relativeHeight="251699200" behindDoc="0" locked="0" layoutInCell="1" allowOverlap="1" wp14:anchorId="06EBFC6B" wp14:editId="3D557321">
                <wp:simplePos x="0" y="0"/>
                <wp:positionH relativeFrom="column">
                  <wp:posOffset>2193925</wp:posOffset>
                </wp:positionH>
                <wp:positionV relativeFrom="paragraph">
                  <wp:posOffset>-160020</wp:posOffset>
                </wp:positionV>
                <wp:extent cx="1040765" cy="547370"/>
                <wp:effectExtent l="0" t="0" r="6985" b="5080"/>
                <wp:wrapSquare wrapText="bothSides"/>
                <wp:docPr id="23" name="Imagen 23" descr="Descripción: Descripción: Descripción: C:\Users\YohanaElizabeth\Pictures\LOGO AmiChile 2014\LOGO PAPELERIA AMICH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ción: Descripción: Descripción: C:\Users\YohanaElizabeth\Pictures\LOGO AmiChile 2014\LOGO PAPELERIA AMICHIL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40765" cy="547370"/>
                        </a:xfrm>
                        <a:prstGeom prst="rect">
                          <a:avLst/>
                        </a:prstGeom>
                        <a:noFill/>
                        <a:ln>
                          <a:noFill/>
                        </a:ln>
                      </pic:spPr>
                    </pic:pic>
                  </a:graphicData>
                </a:graphic>
                <wp14:sizeRelH relativeFrom="page">
                  <wp14:pctWidth>0</wp14:pctWidth>
                </wp14:sizeRelH>
                <wp14:sizeRelV relativeFrom="page">
                  <wp14:pctHeight>0</wp14:pctHeight>
                </wp14:sizeRelV>
              </wp:anchor>
            </w:drawing>
          </w:r>
          <w:r w:rsidR="001A208D" w:rsidRPr="007A53AB">
            <w:rPr>
              <w:rFonts w:eastAsia="Arial Unicode MS"/>
              <w:noProof/>
              <w:lang w:val="es-CL" w:eastAsia="es-CL"/>
            </w:rPr>
            <w:drawing>
              <wp:anchor distT="0" distB="0" distL="114300" distR="114300" simplePos="0" relativeHeight="251702272" behindDoc="1" locked="0" layoutInCell="1" allowOverlap="1" wp14:anchorId="51DC385B" wp14:editId="2FBFA7FF">
                <wp:simplePos x="0" y="0"/>
                <wp:positionH relativeFrom="column">
                  <wp:posOffset>4467860</wp:posOffset>
                </wp:positionH>
                <wp:positionV relativeFrom="paragraph">
                  <wp:posOffset>-149225</wp:posOffset>
                </wp:positionV>
                <wp:extent cx="1492885" cy="429260"/>
                <wp:effectExtent l="0" t="0" r="0" b="889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PL.jpg"/>
                        <pic:cNvPicPr/>
                      </pic:nvPicPr>
                      <pic:blipFill rotWithShape="1">
                        <a:blip r:embed="rId13">
                          <a:extLst>
                            <a:ext uri="{28A0092B-C50C-407E-A947-70E740481C1C}">
                              <a14:useLocalDpi xmlns:a14="http://schemas.microsoft.com/office/drawing/2010/main" val="0"/>
                            </a:ext>
                          </a:extLst>
                        </a:blip>
                        <a:srcRect l="58022" t="18823" r="1193"/>
                        <a:stretch/>
                      </pic:blipFill>
                      <pic:spPr bwMode="auto">
                        <a:xfrm>
                          <a:off x="0" y="0"/>
                          <a:ext cx="1492885" cy="4292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A208D" w:rsidRPr="007A53AB">
            <w:rPr>
              <w:noProof/>
              <w:lang w:val="es-CL" w:eastAsia="es-CL"/>
            </w:rPr>
            <mc:AlternateContent>
              <mc:Choice Requires="wps">
                <w:drawing>
                  <wp:anchor distT="0" distB="0" distL="114300" distR="114300" simplePos="0" relativeHeight="251696128" behindDoc="0" locked="0" layoutInCell="1" allowOverlap="1" wp14:anchorId="7A562EEA" wp14:editId="318025E8">
                    <wp:simplePos x="0" y="0"/>
                    <wp:positionH relativeFrom="page">
                      <wp:posOffset>215900</wp:posOffset>
                    </wp:positionH>
                    <wp:positionV relativeFrom="page">
                      <wp:posOffset>8846185</wp:posOffset>
                    </wp:positionV>
                    <wp:extent cx="6960870" cy="652780"/>
                    <wp:effectExtent l="0" t="0" r="11430" b="13970"/>
                    <wp:wrapSquare wrapText="bothSides"/>
                    <wp:docPr id="112" name="Cuadro de texto 112"/>
                    <wp:cNvGraphicFramePr/>
                    <a:graphic xmlns:a="http://schemas.openxmlformats.org/drawingml/2006/main">
                      <a:graphicData uri="http://schemas.microsoft.com/office/word/2010/wordprocessingShape">
                        <wps:wsp>
                          <wps:cNvSpPr txBox="1"/>
                          <wps:spPr>
                            <a:xfrm>
                              <a:off x="0" y="0"/>
                              <a:ext cx="696087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5E7F43" w14:textId="77777777" w:rsidR="00474B36" w:rsidRPr="000A16F7" w:rsidRDefault="00474B36">
                                <w:pPr>
                                  <w:pStyle w:val="Sinespaciado"/>
                                  <w:jc w:val="right"/>
                                  <w:rPr>
                                    <w:rFonts w:hint="eastAsia"/>
                                    <w:b/>
                                    <w:bCs/>
                                    <w:color w:val="0070C0"/>
                                    <w:sz w:val="40"/>
                                    <w:szCs w:val="40"/>
                                  </w:rPr>
                                </w:pPr>
                                <w:r w:rsidRPr="000A16F7">
                                  <w:rPr>
                                    <w:b/>
                                    <w:bCs/>
                                    <w:color w:val="0070C0"/>
                                    <w:sz w:val="40"/>
                                    <w:szCs w:val="40"/>
                                  </w:rPr>
                                  <w:t>Elaborado por</w:t>
                                </w:r>
                              </w:p>
                              <w:p w14:paraId="1A725A52" w14:textId="390B994B" w:rsidR="00474B36" w:rsidRPr="000A16F7" w:rsidRDefault="00474B36">
                                <w:pPr>
                                  <w:pStyle w:val="Sinespaciado"/>
                                  <w:jc w:val="right"/>
                                  <w:rPr>
                                    <w:rFonts w:hint="eastAsia"/>
                                    <w:caps/>
                                    <w:color w:val="0070C0"/>
                                    <w:sz w:val="40"/>
                                    <w:szCs w:val="40"/>
                                  </w:rPr>
                                </w:pPr>
                                <w:r w:rsidRPr="000A16F7">
                                  <w:rPr>
                                    <w:rFonts w:ascii="Titillium Light" w:hAnsi="Titillium Light"/>
                                    <w:color w:val="0070C0"/>
                                    <w:sz w:val="40"/>
                                    <w:szCs w:val="40"/>
                                  </w:rPr>
                                  <w:t xml:space="preserve"> </w:t>
                                </w:r>
                                <w:sdt>
                                  <w:sdtPr>
                                    <w:rPr>
                                      <w:rFonts w:ascii="Titillium Light" w:hAnsi="Titillium Light"/>
                                      <w:color w:val="0070C0"/>
                                      <w:sz w:val="40"/>
                                      <w:szCs w:val="40"/>
                                    </w:rPr>
                                    <w:alias w:val="Dirección"/>
                                    <w:tag w:val=""/>
                                    <w:id w:val="1935852694"/>
                                    <w:dataBinding w:prefixMappings="xmlns:ns0='http://schemas.microsoft.com/office/2006/coverPageProps' " w:xpath="/ns0:CoverPageProperties[1]/ns0:CompanyAddress[1]" w:storeItemID="{55AF091B-3C7A-41E3-B477-F2FDAA23CFDA}"/>
                                    <w:text/>
                                  </w:sdtPr>
                                  <w:sdtEndPr>
                                    <w:rPr>
                                      <w:rFonts w:eastAsiaTheme="minorEastAsia"/>
                                    </w:rPr>
                                  </w:sdtEndPr>
                                  <w:sdtContent>
                                    <w:r w:rsidRPr="000A16F7">
                                      <w:rPr>
                                        <w:rFonts w:ascii="Titillium Light" w:hAnsi="Titillium Light"/>
                                        <w:color w:val="0070C0"/>
                                        <w:sz w:val="40"/>
                                        <w:szCs w:val="40"/>
                                      </w:rPr>
                                      <w:t xml:space="preserve">Ivonne </w:t>
                                    </w:r>
                                    <w:proofErr w:type="spellStart"/>
                                    <w:r w:rsidRPr="000A16F7">
                                      <w:rPr>
                                        <w:rFonts w:ascii="Titillium Light" w:hAnsi="Titillium Light"/>
                                        <w:color w:val="0070C0"/>
                                        <w:sz w:val="40"/>
                                        <w:szCs w:val="40"/>
                                      </w:rPr>
                                      <w:t>Cartes</w:t>
                                    </w:r>
                                    <w:proofErr w:type="spellEnd"/>
                                    <w:r w:rsidRPr="000A16F7">
                                      <w:rPr>
                                        <w:rFonts w:ascii="Titillium Light" w:hAnsi="Titillium Light"/>
                                        <w:color w:val="0070C0"/>
                                        <w:sz w:val="40"/>
                                        <w:szCs w:val="40"/>
                                      </w:rPr>
                                      <w:t xml:space="preserve">, </w:t>
                                    </w:r>
                                  </w:sdtContent>
                                </w:sdt>
                                <w:r w:rsidRPr="000A16F7">
                                  <w:rPr>
                                    <w:rFonts w:ascii="Titillium Light" w:hAnsi="Titillium Light"/>
                                    <w:color w:val="0070C0"/>
                                    <w:sz w:val="40"/>
                                    <w:szCs w:val="40"/>
                                  </w:rPr>
                                  <w:t>Yohana González</w:t>
                                </w:r>
                              </w:p>
                              <w:p w14:paraId="2FFFA932" w14:textId="71E01ED5" w:rsidR="00474B36" w:rsidRPr="000A16F7" w:rsidRDefault="00474B36">
                                <w:pPr>
                                  <w:pStyle w:val="Sinespaciado"/>
                                  <w:jc w:val="right"/>
                                  <w:rPr>
                                    <w:rFonts w:hint="eastAsia"/>
                                    <w:caps/>
                                    <w:color w:val="0070C0"/>
                                    <w:sz w:val="20"/>
                                    <w:szCs w:val="20"/>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Cuadro de texto 112" o:spid="_x0000_s1027" type="#_x0000_t202" style="position:absolute;margin-left:17pt;margin-top:696.55pt;width:548.1pt;height:51.4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" filled="f" stroked="f" strokeweight=".5pt">
                    <v:textbox inset="0,0,0,0">
                      <w:txbxContent>
                        <w:p w14:paraId="385E7F43" w14:textId="77777777" w:rsidR="009711EA" w:rsidRPr="000A16F7" w:rsidRDefault="009711EA">
                          <w:pPr>
                            <w:pStyle w:val="Sinespaciado"/>
                            <w:jc w:val="right"/>
                            <w:rPr>
                              <w:b/>
                              <w:bCs/>
                              <w:color w:val="0070C0"/>
                              <w:sz w:val="40"/>
                              <w:szCs w:val="40"/>
                            </w:rPr>
                          </w:pPr>
                          <w:r w:rsidRPr="000A16F7">
                            <w:rPr>
                              <w:b/>
                              <w:bCs/>
                              <w:color w:val="0070C0"/>
                              <w:sz w:val="40"/>
                              <w:szCs w:val="40"/>
                            </w:rPr>
                            <w:t>Elaborado por</w:t>
                          </w:r>
                        </w:p>
                        <w:p w14:paraId="1A725A52" w14:textId="390B994B" w:rsidR="009711EA" w:rsidRPr="000A16F7" w:rsidRDefault="009711EA">
                          <w:pPr>
                            <w:pStyle w:val="Sinespaciado"/>
                            <w:jc w:val="right"/>
                            <w:rPr>
                              <w:caps/>
                              <w:color w:val="0070C0"/>
                              <w:sz w:val="40"/>
                              <w:szCs w:val="40"/>
                            </w:rPr>
                          </w:pPr>
                          <w:r w:rsidRPr="000A16F7">
                            <w:rPr>
                              <w:rFonts w:ascii="Titillium Light" w:hAnsi="Titillium Light"/>
                              <w:color w:val="0070C0"/>
                              <w:sz w:val="40"/>
                              <w:szCs w:val="40"/>
                            </w:rPr>
                            <w:t xml:space="preserve"> </w:t>
                          </w:r>
                          <w:sdt>
                            <w:sdtPr>
                              <w:rPr>
                                <w:rFonts w:ascii="Titillium Light" w:hAnsi="Titillium Light"/>
                                <w:color w:val="0070C0"/>
                                <w:sz w:val="40"/>
                                <w:szCs w:val="40"/>
                              </w:rPr>
                              <w:alias w:val="Dirección"/>
                              <w:tag w:val=""/>
                              <w:id w:val="1935852694"/>
                              <w:dataBinding w:prefixMappings="xmlns:ns0='http://schemas.microsoft.com/office/2006/coverPageProps' " w:xpath="/ns0:CoverPageProperties[1]/ns0:CompanyAddress[1]" w:storeItemID="{55AF091B-3C7A-41E3-B477-F2FDAA23CFDA}"/>
                              <w:text/>
                            </w:sdtPr>
                            <w:sdtEndPr>
                              <w:rPr>
                                <w:rFonts w:eastAsiaTheme="minorEastAsia"/>
                              </w:rPr>
                            </w:sdtEndPr>
                            <w:sdtContent>
                              <w:r w:rsidRPr="000A16F7">
                                <w:rPr>
                                  <w:rFonts w:ascii="Titillium Light" w:hAnsi="Titillium Light"/>
                                  <w:color w:val="0070C0"/>
                                  <w:sz w:val="40"/>
                                  <w:szCs w:val="40"/>
                                </w:rPr>
                                <w:t xml:space="preserve">Ivonne Cartes, </w:t>
                              </w:r>
                            </w:sdtContent>
                          </w:sdt>
                          <w:r w:rsidRPr="000A16F7">
                            <w:rPr>
                              <w:rFonts w:ascii="Titillium Light" w:hAnsi="Titillium Light"/>
                              <w:color w:val="0070C0"/>
                              <w:sz w:val="40"/>
                              <w:szCs w:val="40"/>
                            </w:rPr>
                            <w:t>Yohana González</w:t>
                          </w:r>
                        </w:p>
                        <w:p w14:paraId="2FFFA932" w14:textId="71E01ED5" w:rsidR="009711EA" w:rsidRPr="000A16F7" w:rsidRDefault="009711EA">
                          <w:pPr>
                            <w:pStyle w:val="Sinespaciado"/>
                            <w:jc w:val="right"/>
                            <w:rPr>
                              <w:caps/>
                              <w:color w:val="0070C0"/>
                              <w:sz w:val="20"/>
                              <w:szCs w:val="20"/>
                            </w:rPr>
                          </w:pPr>
                        </w:p>
                      </w:txbxContent>
                    </v:textbox>
                    <w10:wrap type="square" anchorx="page" anchory="page"/>
                  </v:shape>
                </w:pict>
              </mc:Fallback>
            </mc:AlternateContent>
          </w:r>
        </w:p>
      </w:sdtContent>
    </w:sdt>
    <w:p w14:paraId="5ED47613" w14:textId="11A99D5C" w:rsidR="001D7126" w:rsidRPr="007A53AB" w:rsidRDefault="008424DF" w:rsidP="00CE62F9">
      <w:pPr>
        <w:spacing w:before="240" w:line="240" w:lineRule="auto"/>
        <w:rPr>
          <w:sz w:val="36"/>
        </w:rPr>
      </w:pPr>
      <w:r w:rsidRPr="007A53AB">
        <w:rPr>
          <w:sz w:val="36"/>
        </w:rPr>
        <w:lastRenderedPageBreak/>
        <w:t>INDICE</w:t>
      </w:r>
    </w:p>
    <w:sdt>
      <w:sdtPr>
        <w:rPr>
          <w:rFonts w:ascii="Titillium" w:eastAsiaTheme="minorHAnsi" w:hAnsi="Titillium" w:cstheme="minorBidi"/>
          <w:b w:val="0"/>
          <w:bCs w:val="0"/>
          <w:color w:val="E36C0A" w:themeColor="accent6" w:themeShade="BF"/>
          <w:sz w:val="32"/>
          <w:szCs w:val="22"/>
          <w:lang w:eastAsia="en-US"/>
        </w:rPr>
        <w:id w:val="1987664494"/>
        <w:docPartObj>
          <w:docPartGallery w:val="Table of Contents"/>
          <w:docPartUnique/>
        </w:docPartObj>
      </w:sdtPr>
      <w:sdtEndPr/>
      <w:sdtContent>
        <w:p w14:paraId="520C488D" w14:textId="2A55DE46" w:rsidR="00343562" w:rsidRDefault="00343562">
          <w:pPr>
            <w:pStyle w:val="TtulodeTDC"/>
          </w:pPr>
          <w:r>
            <w:t>Contenido</w:t>
          </w:r>
        </w:p>
        <w:p w14:paraId="19020C75" w14:textId="77777777" w:rsidR="00343562" w:rsidRDefault="00343562">
          <w:pPr>
            <w:pStyle w:val="TDC2"/>
            <w:rPr>
              <w:rFonts w:eastAsiaTheme="minorEastAsia"/>
              <w:noProof/>
              <w:lang w:eastAsia="es-CL"/>
            </w:rPr>
          </w:pPr>
          <w:r>
            <w:fldChar w:fldCharType="begin"/>
          </w:r>
          <w:r>
            <w:instrText xml:space="preserve"> TOC \o "1-3" \h \z \u </w:instrText>
          </w:r>
          <w:r>
            <w:fldChar w:fldCharType="separate"/>
          </w:r>
          <w:hyperlink w:anchor="_Toc471999514" w:history="1">
            <w:r w:rsidRPr="00DF54B9">
              <w:rPr>
                <w:rStyle w:val="Hipervnculo"/>
                <w:noProof/>
              </w:rPr>
              <w:t>Alcance</w:t>
            </w:r>
            <w:r>
              <w:rPr>
                <w:noProof/>
                <w:webHidden/>
              </w:rPr>
              <w:tab/>
            </w:r>
            <w:r>
              <w:rPr>
                <w:noProof/>
                <w:webHidden/>
              </w:rPr>
              <w:fldChar w:fldCharType="begin"/>
            </w:r>
            <w:r>
              <w:rPr>
                <w:noProof/>
                <w:webHidden/>
              </w:rPr>
              <w:instrText xml:space="preserve"> PAGEREF _Toc471999514 \h </w:instrText>
            </w:r>
            <w:r>
              <w:rPr>
                <w:noProof/>
                <w:webHidden/>
              </w:rPr>
            </w:r>
            <w:r>
              <w:rPr>
                <w:noProof/>
                <w:webHidden/>
              </w:rPr>
              <w:fldChar w:fldCharType="separate"/>
            </w:r>
            <w:r w:rsidR="008B753B">
              <w:rPr>
                <w:noProof/>
                <w:webHidden/>
              </w:rPr>
              <w:t>3</w:t>
            </w:r>
            <w:r>
              <w:rPr>
                <w:noProof/>
                <w:webHidden/>
              </w:rPr>
              <w:fldChar w:fldCharType="end"/>
            </w:r>
          </w:hyperlink>
        </w:p>
        <w:p w14:paraId="7EA4A517" w14:textId="77777777" w:rsidR="00343562" w:rsidRDefault="00433A6D">
          <w:pPr>
            <w:pStyle w:val="TDC2"/>
            <w:rPr>
              <w:rFonts w:eastAsiaTheme="minorEastAsia"/>
              <w:noProof/>
              <w:lang w:eastAsia="es-CL"/>
            </w:rPr>
          </w:pPr>
          <w:hyperlink w:anchor="_Toc471999515" w:history="1">
            <w:r w:rsidR="00343562" w:rsidRPr="00DF54B9">
              <w:rPr>
                <w:rStyle w:val="Hipervnculo"/>
                <w:noProof/>
                <w:lang w:eastAsia="es-CL"/>
              </w:rPr>
              <w:t>Representatividad de la muestra e información general de las empresas</w:t>
            </w:r>
            <w:r w:rsidR="00343562">
              <w:rPr>
                <w:noProof/>
                <w:webHidden/>
              </w:rPr>
              <w:tab/>
            </w:r>
            <w:r w:rsidR="00343562">
              <w:rPr>
                <w:noProof/>
                <w:webHidden/>
              </w:rPr>
              <w:fldChar w:fldCharType="begin"/>
            </w:r>
            <w:r w:rsidR="00343562">
              <w:rPr>
                <w:noProof/>
                <w:webHidden/>
              </w:rPr>
              <w:instrText xml:space="preserve"> PAGEREF _Toc471999515 \h </w:instrText>
            </w:r>
            <w:r w:rsidR="00343562">
              <w:rPr>
                <w:noProof/>
                <w:webHidden/>
              </w:rPr>
            </w:r>
            <w:r w:rsidR="00343562">
              <w:rPr>
                <w:noProof/>
                <w:webHidden/>
              </w:rPr>
              <w:fldChar w:fldCharType="separate"/>
            </w:r>
            <w:r w:rsidR="008B753B">
              <w:rPr>
                <w:noProof/>
                <w:webHidden/>
              </w:rPr>
              <w:t>4</w:t>
            </w:r>
            <w:r w:rsidR="00343562">
              <w:rPr>
                <w:noProof/>
                <w:webHidden/>
              </w:rPr>
              <w:fldChar w:fldCharType="end"/>
            </w:r>
          </w:hyperlink>
        </w:p>
        <w:p w14:paraId="0D5E533A" w14:textId="77777777" w:rsidR="00343562" w:rsidRDefault="00433A6D">
          <w:pPr>
            <w:pStyle w:val="TDC2"/>
            <w:rPr>
              <w:rFonts w:eastAsiaTheme="minorEastAsia"/>
              <w:noProof/>
              <w:lang w:eastAsia="es-CL"/>
            </w:rPr>
          </w:pPr>
          <w:hyperlink w:anchor="_Toc471999516" w:history="1">
            <w:r w:rsidR="00343562" w:rsidRPr="00DF54B9">
              <w:rPr>
                <w:rStyle w:val="Hipervnculo"/>
                <w:noProof/>
              </w:rPr>
              <w:t>Líneas de Producción</w:t>
            </w:r>
            <w:r w:rsidR="00343562">
              <w:rPr>
                <w:noProof/>
                <w:webHidden/>
              </w:rPr>
              <w:tab/>
            </w:r>
            <w:r w:rsidR="00343562">
              <w:rPr>
                <w:noProof/>
                <w:webHidden/>
              </w:rPr>
              <w:fldChar w:fldCharType="begin"/>
            </w:r>
            <w:r w:rsidR="00343562">
              <w:rPr>
                <w:noProof/>
                <w:webHidden/>
              </w:rPr>
              <w:instrText xml:space="preserve"> PAGEREF _Toc471999516 \h </w:instrText>
            </w:r>
            <w:r w:rsidR="00343562">
              <w:rPr>
                <w:noProof/>
                <w:webHidden/>
              </w:rPr>
            </w:r>
            <w:r w:rsidR="00343562">
              <w:rPr>
                <w:noProof/>
                <w:webHidden/>
              </w:rPr>
              <w:fldChar w:fldCharType="separate"/>
            </w:r>
            <w:r w:rsidR="008B753B">
              <w:rPr>
                <w:noProof/>
                <w:webHidden/>
              </w:rPr>
              <w:t>4</w:t>
            </w:r>
            <w:r w:rsidR="00343562">
              <w:rPr>
                <w:noProof/>
                <w:webHidden/>
              </w:rPr>
              <w:fldChar w:fldCharType="end"/>
            </w:r>
          </w:hyperlink>
        </w:p>
        <w:p w14:paraId="76AB92E3" w14:textId="77777777" w:rsidR="00343562" w:rsidRDefault="00433A6D">
          <w:pPr>
            <w:pStyle w:val="TDC2"/>
            <w:rPr>
              <w:rFonts w:eastAsiaTheme="minorEastAsia"/>
              <w:noProof/>
              <w:lang w:eastAsia="es-CL"/>
            </w:rPr>
          </w:pPr>
          <w:hyperlink w:anchor="_Toc471999517" w:history="1">
            <w:r w:rsidR="00343562" w:rsidRPr="00DF54B9">
              <w:rPr>
                <w:rStyle w:val="Hipervnculo"/>
                <w:noProof/>
              </w:rPr>
              <w:t>Fuerza laboral</w:t>
            </w:r>
            <w:r w:rsidR="00343562">
              <w:rPr>
                <w:noProof/>
                <w:webHidden/>
              </w:rPr>
              <w:tab/>
            </w:r>
            <w:r w:rsidR="00343562">
              <w:rPr>
                <w:noProof/>
                <w:webHidden/>
              </w:rPr>
              <w:fldChar w:fldCharType="begin"/>
            </w:r>
            <w:r w:rsidR="00343562">
              <w:rPr>
                <w:noProof/>
                <w:webHidden/>
              </w:rPr>
              <w:instrText xml:space="preserve"> PAGEREF _Toc471999517 \h </w:instrText>
            </w:r>
            <w:r w:rsidR="00343562">
              <w:rPr>
                <w:noProof/>
                <w:webHidden/>
              </w:rPr>
            </w:r>
            <w:r w:rsidR="00343562">
              <w:rPr>
                <w:noProof/>
                <w:webHidden/>
              </w:rPr>
              <w:fldChar w:fldCharType="separate"/>
            </w:r>
            <w:r w:rsidR="008B753B">
              <w:rPr>
                <w:noProof/>
                <w:webHidden/>
              </w:rPr>
              <w:t>5</w:t>
            </w:r>
            <w:r w:rsidR="00343562">
              <w:rPr>
                <w:noProof/>
                <w:webHidden/>
              </w:rPr>
              <w:fldChar w:fldCharType="end"/>
            </w:r>
          </w:hyperlink>
        </w:p>
        <w:p w14:paraId="2F2EFEDC" w14:textId="77777777" w:rsidR="00343562" w:rsidRDefault="00433A6D">
          <w:pPr>
            <w:pStyle w:val="TDC2"/>
            <w:rPr>
              <w:rFonts w:eastAsiaTheme="minorEastAsia"/>
              <w:noProof/>
              <w:lang w:eastAsia="es-CL"/>
            </w:rPr>
          </w:pPr>
          <w:hyperlink w:anchor="_Toc471999518" w:history="1">
            <w:r w:rsidR="00343562" w:rsidRPr="00DF54B9">
              <w:rPr>
                <w:rStyle w:val="Hipervnculo"/>
                <w:noProof/>
              </w:rPr>
              <w:t>Materias Primas e Insumos</w:t>
            </w:r>
            <w:r w:rsidR="00343562">
              <w:rPr>
                <w:noProof/>
                <w:webHidden/>
              </w:rPr>
              <w:tab/>
            </w:r>
            <w:r w:rsidR="00343562">
              <w:rPr>
                <w:noProof/>
                <w:webHidden/>
              </w:rPr>
              <w:fldChar w:fldCharType="begin"/>
            </w:r>
            <w:r w:rsidR="00343562">
              <w:rPr>
                <w:noProof/>
                <w:webHidden/>
              </w:rPr>
              <w:instrText xml:space="preserve"> PAGEREF _Toc471999518 \h </w:instrText>
            </w:r>
            <w:r w:rsidR="00343562">
              <w:rPr>
                <w:noProof/>
                <w:webHidden/>
              </w:rPr>
            </w:r>
            <w:r w:rsidR="00343562">
              <w:rPr>
                <w:noProof/>
                <w:webHidden/>
              </w:rPr>
              <w:fldChar w:fldCharType="separate"/>
            </w:r>
            <w:r w:rsidR="008B753B">
              <w:rPr>
                <w:noProof/>
                <w:webHidden/>
              </w:rPr>
              <w:t>7</w:t>
            </w:r>
            <w:r w:rsidR="00343562">
              <w:rPr>
                <w:noProof/>
                <w:webHidden/>
              </w:rPr>
              <w:fldChar w:fldCharType="end"/>
            </w:r>
          </w:hyperlink>
        </w:p>
        <w:p w14:paraId="38F40315" w14:textId="77777777" w:rsidR="00343562" w:rsidRDefault="00433A6D">
          <w:pPr>
            <w:pStyle w:val="TDC2"/>
            <w:rPr>
              <w:rFonts w:eastAsiaTheme="minorEastAsia"/>
              <w:noProof/>
              <w:lang w:eastAsia="es-CL"/>
            </w:rPr>
          </w:pPr>
          <w:hyperlink w:anchor="_Toc471999519" w:history="1">
            <w:r w:rsidR="00343562" w:rsidRPr="00DF54B9">
              <w:rPr>
                <w:rStyle w:val="Hipervnculo"/>
                <w:noProof/>
                <w:lang w:eastAsia="es-CL"/>
              </w:rPr>
              <w:t>Consumos de Agua</w:t>
            </w:r>
            <w:r w:rsidR="00343562">
              <w:rPr>
                <w:noProof/>
                <w:webHidden/>
              </w:rPr>
              <w:tab/>
            </w:r>
            <w:r w:rsidR="00343562">
              <w:rPr>
                <w:noProof/>
                <w:webHidden/>
              </w:rPr>
              <w:fldChar w:fldCharType="begin"/>
            </w:r>
            <w:r w:rsidR="00343562">
              <w:rPr>
                <w:noProof/>
                <w:webHidden/>
              </w:rPr>
              <w:instrText xml:space="preserve"> PAGEREF _Toc471999519 \h </w:instrText>
            </w:r>
            <w:r w:rsidR="00343562">
              <w:rPr>
                <w:noProof/>
                <w:webHidden/>
              </w:rPr>
            </w:r>
            <w:r w:rsidR="00343562">
              <w:rPr>
                <w:noProof/>
                <w:webHidden/>
              </w:rPr>
              <w:fldChar w:fldCharType="separate"/>
            </w:r>
            <w:r w:rsidR="008B753B">
              <w:rPr>
                <w:noProof/>
                <w:webHidden/>
              </w:rPr>
              <w:t>9</w:t>
            </w:r>
            <w:r w:rsidR="00343562">
              <w:rPr>
                <w:noProof/>
                <w:webHidden/>
              </w:rPr>
              <w:fldChar w:fldCharType="end"/>
            </w:r>
          </w:hyperlink>
        </w:p>
        <w:p w14:paraId="04270936" w14:textId="77777777" w:rsidR="00343562" w:rsidRDefault="00433A6D">
          <w:pPr>
            <w:pStyle w:val="TDC2"/>
            <w:rPr>
              <w:rFonts w:eastAsiaTheme="minorEastAsia"/>
              <w:noProof/>
              <w:lang w:eastAsia="es-CL"/>
            </w:rPr>
          </w:pPr>
          <w:hyperlink w:anchor="_Toc471999520" w:history="1">
            <w:r w:rsidR="00343562" w:rsidRPr="00DF54B9">
              <w:rPr>
                <w:rStyle w:val="Hipervnculo"/>
                <w:noProof/>
                <w:lang w:eastAsia="es-CL"/>
              </w:rPr>
              <w:t>Consumo de Energía Eléctrica y Combustibles</w:t>
            </w:r>
            <w:r w:rsidR="00343562">
              <w:rPr>
                <w:noProof/>
                <w:webHidden/>
              </w:rPr>
              <w:tab/>
            </w:r>
            <w:r w:rsidR="00343562">
              <w:rPr>
                <w:noProof/>
                <w:webHidden/>
              </w:rPr>
              <w:fldChar w:fldCharType="begin"/>
            </w:r>
            <w:r w:rsidR="00343562">
              <w:rPr>
                <w:noProof/>
                <w:webHidden/>
              </w:rPr>
              <w:instrText xml:space="preserve"> PAGEREF _Toc471999520 \h </w:instrText>
            </w:r>
            <w:r w:rsidR="00343562">
              <w:rPr>
                <w:noProof/>
                <w:webHidden/>
              </w:rPr>
            </w:r>
            <w:r w:rsidR="00343562">
              <w:rPr>
                <w:noProof/>
                <w:webHidden/>
              </w:rPr>
              <w:fldChar w:fldCharType="separate"/>
            </w:r>
            <w:r w:rsidR="008B753B">
              <w:rPr>
                <w:noProof/>
                <w:webHidden/>
              </w:rPr>
              <w:t>10</w:t>
            </w:r>
            <w:r w:rsidR="00343562">
              <w:rPr>
                <w:noProof/>
                <w:webHidden/>
              </w:rPr>
              <w:fldChar w:fldCharType="end"/>
            </w:r>
          </w:hyperlink>
        </w:p>
        <w:p w14:paraId="68990227" w14:textId="77777777" w:rsidR="00343562" w:rsidRDefault="00433A6D">
          <w:pPr>
            <w:pStyle w:val="TDC2"/>
            <w:rPr>
              <w:rFonts w:eastAsiaTheme="minorEastAsia"/>
              <w:noProof/>
              <w:lang w:eastAsia="es-CL"/>
            </w:rPr>
          </w:pPr>
          <w:hyperlink w:anchor="_Toc471999521" w:history="1">
            <w:r w:rsidR="00343562" w:rsidRPr="00DF54B9">
              <w:rPr>
                <w:rStyle w:val="Hipervnculo"/>
                <w:noProof/>
                <w:lang w:eastAsia="es-CL"/>
              </w:rPr>
              <w:t>Energía Eléctrica</w:t>
            </w:r>
            <w:r w:rsidR="00343562">
              <w:rPr>
                <w:noProof/>
                <w:webHidden/>
              </w:rPr>
              <w:tab/>
            </w:r>
            <w:r w:rsidR="00343562">
              <w:rPr>
                <w:noProof/>
                <w:webHidden/>
              </w:rPr>
              <w:fldChar w:fldCharType="begin"/>
            </w:r>
            <w:r w:rsidR="00343562">
              <w:rPr>
                <w:noProof/>
                <w:webHidden/>
              </w:rPr>
              <w:instrText xml:space="preserve"> PAGEREF _Toc471999521 \h </w:instrText>
            </w:r>
            <w:r w:rsidR="00343562">
              <w:rPr>
                <w:noProof/>
                <w:webHidden/>
              </w:rPr>
            </w:r>
            <w:r w:rsidR="00343562">
              <w:rPr>
                <w:noProof/>
                <w:webHidden/>
              </w:rPr>
              <w:fldChar w:fldCharType="separate"/>
            </w:r>
            <w:r w:rsidR="008B753B">
              <w:rPr>
                <w:noProof/>
                <w:webHidden/>
              </w:rPr>
              <w:t>11</w:t>
            </w:r>
            <w:r w:rsidR="00343562">
              <w:rPr>
                <w:noProof/>
                <w:webHidden/>
              </w:rPr>
              <w:fldChar w:fldCharType="end"/>
            </w:r>
          </w:hyperlink>
        </w:p>
        <w:p w14:paraId="50F49272" w14:textId="77777777" w:rsidR="00343562" w:rsidRDefault="00433A6D">
          <w:pPr>
            <w:pStyle w:val="TDC2"/>
            <w:rPr>
              <w:rFonts w:eastAsiaTheme="minorEastAsia"/>
              <w:noProof/>
              <w:lang w:eastAsia="es-CL"/>
            </w:rPr>
          </w:pPr>
          <w:hyperlink w:anchor="_Toc471999522" w:history="1">
            <w:r w:rsidR="00343562" w:rsidRPr="00DF54B9">
              <w:rPr>
                <w:rStyle w:val="Hipervnculo"/>
                <w:noProof/>
                <w:lang w:eastAsia="es-CL"/>
              </w:rPr>
              <w:t>Combustibles</w:t>
            </w:r>
            <w:r w:rsidR="00343562">
              <w:rPr>
                <w:noProof/>
                <w:webHidden/>
              </w:rPr>
              <w:tab/>
            </w:r>
            <w:r w:rsidR="00343562">
              <w:rPr>
                <w:noProof/>
                <w:webHidden/>
              </w:rPr>
              <w:fldChar w:fldCharType="begin"/>
            </w:r>
            <w:r w:rsidR="00343562">
              <w:rPr>
                <w:noProof/>
                <w:webHidden/>
              </w:rPr>
              <w:instrText xml:space="preserve"> PAGEREF _Toc471999522 \h </w:instrText>
            </w:r>
            <w:r w:rsidR="00343562">
              <w:rPr>
                <w:noProof/>
                <w:webHidden/>
              </w:rPr>
            </w:r>
            <w:r w:rsidR="00343562">
              <w:rPr>
                <w:noProof/>
                <w:webHidden/>
              </w:rPr>
              <w:fldChar w:fldCharType="separate"/>
            </w:r>
            <w:r w:rsidR="008B753B">
              <w:rPr>
                <w:noProof/>
                <w:webHidden/>
              </w:rPr>
              <w:t>12</w:t>
            </w:r>
            <w:r w:rsidR="00343562">
              <w:rPr>
                <w:noProof/>
                <w:webHidden/>
              </w:rPr>
              <w:fldChar w:fldCharType="end"/>
            </w:r>
          </w:hyperlink>
        </w:p>
        <w:p w14:paraId="51A2F80E" w14:textId="77777777" w:rsidR="00343562" w:rsidRDefault="00433A6D">
          <w:pPr>
            <w:pStyle w:val="TDC2"/>
            <w:rPr>
              <w:rFonts w:eastAsiaTheme="minorEastAsia"/>
              <w:noProof/>
              <w:lang w:eastAsia="es-CL"/>
            </w:rPr>
          </w:pPr>
          <w:hyperlink w:anchor="_Toc471999523" w:history="1">
            <w:r w:rsidR="00343562" w:rsidRPr="00DF54B9">
              <w:rPr>
                <w:rStyle w:val="Hipervnculo"/>
                <w:noProof/>
                <w:lang w:eastAsia="es-CL"/>
              </w:rPr>
              <w:t>Residuos generados</w:t>
            </w:r>
            <w:r w:rsidR="00343562">
              <w:rPr>
                <w:noProof/>
                <w:webHidden/>
              </w:rPr>
              <w:tab/>
            </w:r>
            <w:r w:rsidR="00343562">
              <w:rPr>
                <w:noProof/>
                <w:webHidden/>
              </w:rPr>
              <w:fldChar w:fldCharType="begin"/>
            </w:r>
            <w:r w:rsidR="00343562">
              <w:rPr>
                <w:noProof/>
                <w:webHidden/>
              </w:rPr>
              <w:instrText xml:space="preserve"> PAGEREF _Toc471999523 \h </w:instrText>
            </w:r>
            <w:r w:rsidR="00343562">
              <w:rPr>
                <w:noProof/>
                <w:webHidden/>
              </w:rPr>
            </w:r>
            <w:r w:rsidR="00343562">
              <w:rPr>
                <w:noProof/>
                <w:webHidden/>
              </w:rPr>
              <w:fldChar w:fldCharType="separate"/>
            </w:r>
            <w:r w:rsidR="008B753B">
              <w:rPr>
                <w:noProof/>
                <w:webHidden/>
              </w:rPr>
              <w:t>13</w:t>
            </w:r>
            <w:r w:rsidR="00343562">
              <w:rPr>
                <w:noProof/>
                <w:webHidden/>
              </w:rPr>
              <w:fldChar w:fldCharType="end"/>
            </w:r>
          </w:hyperlink>
        </w:p>
        <w:p w14:paraId="7413065A" w14:textId="77777777" w:rsidR="00343562" w:rsidRDefault="00433A6D">
          <w:pPr>
            <w:pStyle w:val="TDC2"/>
            <w:rPr>
              <w:rFonts w:eastAsiaTheme="minorEastAsia"/>
              <w:noProof/>
              <w:lang w:eastAsia="es-CL"/>
            </w:rPr>
          </w:pPr>
          <w:hyperlink w:anchor="_Toc471999524" w:history="1">
            <w:r w:rsidR="00343562" w:rsidRPr="00DF54B9">
              <w:rPr>
                <w:rStyle w:val="Hipervnculo"/>
                <w:noProof/>
              </w:rPr>
              <w:t>Residuos Industriales Líquidos (Riles)</w:t>
            </w:r>
            <w:r w:rsidR="00343562">
              <w:rPr>
                <w:noProof/>
                <w:webHidden/>
              </w:rPr>
              <w:tab/>
            </w:r>
            <w:r w:rsidR="00343562">
              <w:rPr>
                <w:noProof/>
                <w:webHidden/>
              </w:rPr>
              <w:fldChar w:fldCharType="begin"/>
            </w:r>
            <w:r w:rsidR="00343562">
              <w:rPr>
                <w:noProof/>
                <w:webHidden/>
              </w:rPr>
              <w:instrText xml:space="preserve"> PAGEREF _Toc471999524 \h </w:instrText>
            </w:r>
            <w:r w:rsidR="00343562">
              <w:rPr>
                <w:noProof/>
                <w:webHidden/>
              </w:rPr>
            </w:r>
            <w:r w:rsidR="00343562">
              <w:rPr>
                <w:noProof/>
                <w:webHidden/>
              </w:rPr>
              <w:fldChar w:fldCharType="separate"/>
            </w:r>
            <w:r w:rsidR="008B753B">
              <w:rPr>
                <w:noProof/>
                <w:webHidden/>
              </w:rPr>
              <w:t>14</w:t>
            </w:r>
            <w:r w:rsidR="00343562">
              <w:rPr>
                <w:noProof/>
                <w:webHidden/>
              </w:rPr>
              <w:fldChar w:fldCharType="end"/>
            </w:r>
          </w:hyperlink>
        </w:p>
        <w:p w14:paraId="18E79FA9" w14:textId="77777777" w:rsidR="00343562" w:rsidRDefault="00433A6D">
          <w:pPr>
            <w:pStyle w:val="TDC2"/>
            <w:rPr>
              <w:rFonts w:eastAsiaTheme="minorEastAsia"/>
              <w:noProof/>
              <w:lang w:eastAsia="es-CL"/>
            </w:rPr>
          </w:pPr>
          <w:hyperlink w:anchor="_Toc471999525" w:history="1">
            <w:r w:rsidR="00343562" w:rsidRPr="00DF54B9">
              <w:rPr>
                <w:rStyle w:val="Hipervnculo"/>
                <w:noProof/>
                <w:lang w:eastAsia="es-CL"/>
              </w:rPr>
              <w:t>Residuos Sólidos</w:t>
            </w:r>
            <w:r w:rsidR="00343562">
              <w:rPr>
                <w:noProof/>
                <w:webHidden/>
              </w:rPr>
              <w:tab/>
            </w:r>
            <w:r w:rsidR="00343562">
              <w:rPr>
                <w:noProof/>
                <w:webHidden/>
              </w:rPr>
              <w:fldChar w:fldCharType="begin"/>
            </w:r>
            <w:r w:rsidR="00343562">
              <w:rPr>
                <w:noProof/>
                <w:webHidden/>
              </w:rPr>
              <w:instrText xml:space="preserve"> PAGEREF _Toc471999525 \h </w:instrText>
            </w:r>
            <w:r w:rsidR="00343562">
              <w:rPr>
                <w:noProof/>
                <w:webHidden/>
              </w:rPr>
            </w:r>
            <w:r w:rsidR="00343562">
              <w:rPr>
                <w:noProof/>
                <w:webHidden/>
              </w:rPr>
              <w:fldChar w:fldCharType="separate"/>
            </w:r>
            <w:r w:rsidR="008B753B">
              <w:rPr>
                <w:noProof/>
                <w:webHidden/>
              </w:rPr>
              <w:t>16</w:t>
            </w:r>
            <w:r w:rsidR="00343562">
              <w:rPr>
                <w:noProof/>
                <w:webHidden/>
              </w:rPr>
              <w:fldChar w:fldCharType="end"/>
            </w:r>
          </w:hyperlink>
        </w:p>
        <w:p w14:paraId="08E4DEB4" w14:textId="77777777" w:rsidR="00343562" w:rsidRDefault="00433A6D">
          <w:pPr>
            <w:pStyle w:val="TDC2"/>
            <w:rPr>
              <w:rFonts w:eastAsiaTheme="minorEastAsia"/>
              <w:noProof/>
              <w:lang w:eastAsia="es-CL"/>
            </w:rPr>
          </w:pPr>
          <w:hyperlink w:anchor="_Toc471999526" w:history="1">
            <w:r w:rsidR="00343562" w:rsidRPr="00DF54B9">
              <w:rPr>
                <w:rStyle w:val="Hipervnculo"/>
                <w:noProof/>
                <w:lang w:eastAsia="es-CL"/>
              </w:rPr>
              <w:t>Conchillas</w:t>
            </w:r>
            <w:r w:rsidR="00343562">
              <w:rPr>
                <w:noProof/>
                <w:webHidden/>
              </w:rPr>
              <w:tab/>
            </w:r>
            <w:r w:rsidR="00343562">
              <w:rPr>
                <w:noProof/>
                <w:webHidden/>
              </w:rPr>
              <w:fldChar w:fldCharType="begin"/>
            </w:r>
            <w:r w:rsidR="00343562">
              <w:rPr>
                <w:noProof/>
                <w:webHidden/>
              </w:rPr>
              <w:instrText xml:space="preserve"> PAGEREF _Toc471999526 \h </w:instrText>
            </w:r>
            <w:r w:rsidR="00343562">
              <w:rPr>
                <w:noProof/>
                <w:webHidden/>
              </w:rPr>
            </w:r>
            <w:r w:rsidR="00343562">
              <w:rPr>
                <w:noProof/>
                <w:webHidden/>
              </w:rPr>
              <w:fldChar w:fldCharType="separate"/>
            </w:r>
            <w:r w:rsidR="008B753B">
              <w:rPr>
                <w:noProof/>
                <w:webHidden/>
              </w:rPr>
              <w:t>18</w:t>
            </w:r>
            <w:r w:rsidR="00343562">
              <w:rPr>
                <w:noProof/>
                <w:webHidden/>
              </w:rPr>
              <w:fldChar w:fldCharType="end"/>
            </w:r>
          </w:hyperlink>
        </w:p>
        <w:p w14:paraId="4F405DBB" w14:textId="77777777" w:rsidR="00343562" w:rsidRDefault="00433A6D">
          <w:pPr>
            <w:pStyle w:val="TDC2"/>
            <w:rPr>
              <w:rFonts w:eastAsiaTheme="minorEastAsia"/>
              <w:noProof/>
              <w:lang w:eastAsia="es-CL"/>
            </w:rPr>
          </w:pPr>
          <w:hyperlink w:anchor="_Toc471999527" w:history="1">
            <w:r w:rsidR="00343562" w:rsidRPr="00DF54B9">
              <w:rPr>
                <w:rStyle w:val="Hipervnculo"/>
                <w:noProof/>
              </w:rPr>
              <w:t>Residuos Peligrosos</w:t>
            </w:r>
            <w:r w:rsidR="00343562">
              <w:rPr>
                <w:noProof/>
                <w:webHidden/>
              </w:rPr>
              <w:tab/>
            </w:r>
            <w:r w:rsidR="00343562">
              <w:rPr>
                <w:noProof/>
                <w:webHidden/>
              </w:rPr>
              <w:fldChar w:fldCharType="begin"/>
            </w:r>
            <w:r w:rsidR="00343562">
              <w:rPr>
                <w:noProof/>
                <w:webHidden/>
              </w:rPr>
              <w:instrText xml:space="preserve"> PAGEREF _Toc471999527 \h </w:instrText>
            </w:r>
            <w:r w:rsidR="00343562">
              <w:rPr>
                <w:noProof/>
                <w:webHidden/>
              </w:rPr>
            </w:r>
            <w:r w:rsidR="00343562">
              <w:rPr>
                <w:noProof/>
                <w:webHidden/>
              </w:rPr>
              <w:fldChar w:fldCharType="separate"/>
            </w:r>
            <w:r w:rsidR="008B753B">
              <w:rPr>
                <w:noProof/>
                <w:webHidden/>
              </w:rPr>
              <w:t>20</w:t>
            </w:r>
            <w:r w:rsidR="00343562">
              <w:rPr>
                <w:noProof/>
                <w:webHidden/>
              </w:rPr>
              <w:fldChar w:fldCharType="end"/>
            </w:r>
          </w:hyperlink>
        </w:p>
        <w:p w14:paraId="7358AD91" w14:textId="77777777" w:rsidR="00343562" w:rsidRDefault="00433A6D">
          <w:pPr>
            <w:pStyle w:val="TDC2"/>
            <w:rPr>
              <w:rFonts w:eastAsiaTheme="minorEastAsia"/>
              <w:noProof/>
              <w:lang w:eastAsia="es-CL"/>
            </w:rPr>
          </w:pPr>
          <w:hyperlink w:anchor="_Toc471999528" w:history="1">
            <w:r w:rsidR="00343562" w:rsidRPr="00DF54B9">
              <w:rPr>
                <w:rStyle w:val="Hipervnculo"/>
                <w:noProof/>
                <w:lang w:eastAsia="es-CL"/>
              </w:rPr>
              <w:t>Energía y Eficiencia Energética</w:t>
            </w:r>
            <w:r w:rsidR="00343562">
              <w:rPr>
                <w:noProof/>
                <w:webHidden/>
              </w:rPr>
              <w:tab/>
            </w:r>
            <w:r w:rsidR="00343562">
              <w:rPr>
                <w:noProof/>
                <w:webHidden/>
              </w:rPr>
              <w:fldChar w:fldCharType="begin"/>
            </w:r>
            <w:r w:rsidR="00343562">
              <w:rPr>
                <w:noProof/>
                <w:webHidden/>
              </w:rPr>
              <w:instrText xml:space="preserve"> PAGEREF _Toc471999528 \h </w:instrText>
            </w:r>
            <w:r w:rsidR="00343562">
              <w:rPr>
                <w:noProof/>
                <w:webHidden/>
              </w:rPr>
            </w:r>
            <w:r w:rsidR="00343562">
              <w:rPr>
                <w:noProof/>
                <w:webHidden/>
              </w:rPr>
              <w:fldChar w:fldCharType="separate"/>
            </w:r>
            <w:r w:rsidR="008B753B">
              <w:rPr>
                <w:noProof/>
                <w:webHidden/>
              </w:rPr>
              <w:t>22</w:t>
            </w:r>
            <w:r w:rsidR="00343562">
              <w:rPr>
                <w:noProof/>
                <w:webHidden/>
              </w:rPr>
              <w:fldChar w:fldCharType="end"/>
            </w:r>
          </w:hyperlink>
        </w:p>
        <w:p w14:paraId="2C077D54" w14:textId="77777777" w:rsidR="00343562" w:rsidRDefault="00433A6D">
          <w:pPr>
            <w:pStyle w:val="TDC2"/>
            <w:rPr>
              <w:rFonts w:eastAsiaTheme="minorEastAsia"/>
              <w:noProof/>
              <w:lang w:eastAsia="es-CL"/>
            </w:rPr>
          </w:pPr>
          <w:hyperlink w:anchor="_Toc471999529" w:history="1">
            <w:r w:rsidR="00343562" w:rsidRPr="00DF54B9">
              <w:rPr>
                <w:rStyle w:val="Hipervnculo"/>
                <w:noProof/>
              </w:rPr>
              <w:t>Valorización de Residuos</w:t>
            </w:r>
            <w:r w:rsidR="00343562">
              <w:rPr>
                <w:noProof/>
                <w:webHidden/>
              </w:rPr>
              <w:tab/>
            </w:r>
            <w:r w:rsidR="00343562">
              <w:rPr>
                <w:noProof/>
                <w:webHidden/>
              </w:rPr>
              <w:fldChar w:fldCharType="begin"/>
            </w:r>
            <w:r w:rsidR="00343562">
              <w:rPr>
                <w:noProof/>
                <w:webHidden/>
              </w:rPr>
              <w:instrText xml:space="preserve"> PAGEREF _Toc471999529 \h </w:instrText>
            </w:r>
            <w:r w:rsidR="00343562">
              <w:rPr>
                <w:noProof/>
                <w:webHidden/>
              </w:rPr>
            </w:r>
            <w:r w:rsidR="00343562">
              <w:rPr>
                <w:noProof/>
                <w:webHidden/>
              </w:rPr>
              <w:fldChar w:fldCharType="separate"/>
            </w:r>
            <w:r w:rsidR="008B753B">
              <w:rPr>
                <w:noProof/>
                <w:webHidden/>
              </w:rPr>
              <w:t>24</w:t>
            </w:r>
            <w:r w:rsidR="00343562">
              <w:rPr>
                <w:noProof/>
                <w:webHidden/>
              </w:rPr>
              <w:fldChar w:fldCharType="end"/>
            </w:r>
          </w:hyperlink>
        </w:p>
        <w:p w14:paraId="365FB757" w14:textId="77777777" w:rsidR="00343562" w:rsidRDefault="00433A6D">
          <w:pPr>
            <w:pStyle w:val="TDC2"/>
            <w:rPr>
              <w:rFonts w:eastAsiaTheme="minorEastAsia"/>
              <w:noProof/>
              <w:lang w:eastAsia="es-CL"/>
            </w:rPr>
          </w:pPr>
          <w:hyperlink w:anchor="_Toc471999530" w:history="1">
            <w:r w:rsidR="00343562" w:rsidRPr="00DF54B9">
              <w:rPr>
                <w:rStyle w:val="Hipervnculo"/>
                <w:noProof/>
                <w:lang w:eastAsia="es-CL"/>
              </w:rPr>
              <w:t>Gestión de Emisiones Atmosféricas</w:t>
            </w:r>
            <w:r w:rsidR="00343562">
              <w:rPr>
                <w:noProof/>
                <w:webHidden/>
              </w:rPr>
              <w:tab/>
            </w:r>
            <w:r w:rsidR="00343562">
              <w:rPr>
                <w:noProof/>
                <w:webHidden/>
              </w:rPr>
              <w:fldChar w:fldCharType="begin"/>
            </w:r>
            <w:r w:rsidR="00343562">
              <w:rPr>
                <w:noProof/>
                <w:webHidden/>
              </w:rPr>
              <w:instrText xml:space="preserve"> PAGEREF _Toc471999530 \h </w:instrText>
            </w:r>
            <w:r w:rsidR="00343562">
              <w:rPr>
                <w:noProof/>
                <w:webHidden/>
              </w:rPr>
            </w:r>
            <w:r w:rsidR="00343562">
              <w:rPr>
                <w:noProof/>
                <w:webHidden/>
              </w:rPr>
              <w:fldChar w:fldCharType="separate"/>
            </w:r>
            <w:r w:rsidR="008B753B">
              <w:rPr>
                <w:noProof/>
                <w:webHidden/>
              </w:rPr>
              <w:t>25</w:t>
            </w:r>
            <w:r w:rsidR="00343562">
              <w:rPr>
                <w:noProof/>
                <w:webHidden/>
              </w:rPr>
              <w:fldChar w:fldCharType="end"/>
            </w:r>
          </w:hyperlink>
        </w:p>
        <w:p w14:paraId="11094473" w14:textId="77777777" w:rsidR="00343562" w:rsidRDefault="00433A6D">
          <w:pPr>
            <w:pStyle w:val="TDC2"/>
            <w:rPr>
              <w:rFonts w:eastAsiaTheme="minorEastAsia"/>
              <w:noProof/>
              <w:lang w:eastAsia="es-CL"/>
            </w:rPr>
          </w:pPr>
          <w:hyperlink w:anchor="_Toc471999531" w:history="1">
            <w:r w:rsidR="00343562" w:rsidRPr="00DF54B9">
              <w:rPr>
                <w:rStyle w:val="Hipervnculo"/>
                <w:noProof/>
                <w:lang w:eastAsia="es-CL"/>
              </w:rPr>
              <w:t>Gestión Ambiental</w:t>
            </w:r>
            <w:r w:rsidR="00343562">
              <w:rPr>
                <w:noProof/>
                <w:webHidden/>
              </w:rPr>
              <w:tab/>
            </w:r>
            <w:r w:rsidR="00343562">
              <w:rPr>
                <w:noProof/>
                <w:webHidden/>
              </w:rPr>
              <w:fldChar w:fldCharType="begin"/>
            </w:r>
            <w:r w:rsidR="00343562">
              <w:rPr>
                <w:noProof/>
                <w:webHidden/>
              </w:rPr>
              <w:instrText xml:space="preserve"> PAGEREF _Toc471999531 \h </w:instrText>
            </w:r>
            <w:r w:rsidR="00343562">
              <w:rPr>
                <w:noProof/>
                <w:webHidden/>
              </w:rPr>
            </w:r>
            <w:r w:rsidR="00343562">
              <w:rPr>
                <w:noProof/>
                <w:webHidden/>
              </w:rPr>
              <w:fldChar w:fldCharType="separate"/>
            </w:r>
            <w:r w:rsidR="008B753B">
              <w:rPr>
                <w:noProof/>
                <w:webHidden/>
              </w:rPr>
              <w:t>27</w:t>
            </w:r>
            <w:r w:rsidR="00343562">
              <w:rPr>
                <w:noProof/>
                <w:webHidden/>
              </w:rPr>
              <w:fldChar w:fldCharType="end"/>
            </w:r>
          </w:hyperlink>
        </w:p>
        <w:p w14:paraId="2B9399F7" w14:textId="77777777" w:rsidR="00343562" w:rsidRDefault="00433A6D">
          <w:pPr>
            <w:pStyle w:val="TDC2"/>
            <w:rPr>
              <w:rFonts w:eastAsiaTheme="minorEastAsia"/>
              <w:noProof/>
              <w:lang w:eastAsia="es-CL"/>
            </w:rPr>
          </w:pPr>
          <w:hyperlink w:anchor="_Toc471999532" w:history="1">
            <w:r w:rsidR="00343562" w:rsidRPr="00DF54B9">
              <w:rPr>
                <w:rStyle w:val="Hipervnculo"/>
                <w:noProof/>
                <w:lang w:eastAsia="es-CL"/>
              </w:rPr>
              <w:t>Emisiones Acústicas</w:t>
            </w:r>
            <w:r w:rsidR="00343562">
              <w:rPr>
                <w:noProof/>
                <w:webHidden/>
              </w:rPr>
              <w:tab/>
            </w:r>
            <w:r w:rsidR="00343562">
              <w:rPr>
                <w:noProof/>
                <w:webHidden/>
              </w:rPr>
              <w:fldChar w:fldCharType="begin"/>
            </w:r>
            <w:r w:rsidR="00343562">
              <w:rPr>
                <w:noProof/>
                <w:webHidden/>
              </w:rPr>
              <w:instrText xml:space="preserve"> PAGEREF _Toc471999532 \h </w:instrText>
            </w:r>
            <w:r w:rsidR="00343562">
              <w:rPr>
                <w:noProof/>
                <w:webHidden/>
              </w:rPr>
            </w:r>
            <w:r w:rsidR="00343562">
              <w:rPr>
                <w:noProof/>
                <w:webHidden/>
              </w:rPr>
              <w:fldChar w:fldCharType="separate"/>
            </w:r>
            <w:r w:rsidR="008B753B">
              <w:rPr>
                <w:noProof/>
                <w:webHidden/>
              </w:rPr>
              <w:t>30</w:t>
            </w:r>
            <w:r w:rsidR="00343562">
              <w:rPr>
                <w:noProof/>
                <w:webHidden/>
              </w:rPr>
              <w:fldChar w:fldCharType="end"/>
            </w:r>
          </w:hyperlink>
        </w:p>
        <w:p w14:paraId="58865652" w14:textId="77777777" w:rsidR="00343562" w:rsidRDefault="00433A6D">
          <w:pPr>
            <w:pStyle w:val="TDC2"/>
            <w:rPr>
              <w:rFonts w:eastAsiaTheme="minorEastAsia"/>
              <w:noProof/>
              <w:lang w:eastAsia="es-CL"/>
            </w:rPr>
          </w:pPr>
          <w:hyperlink w:anchor="_Toc471999533" w:history="1">
            <w:r w:rsidR="00343562" w:rsidRPr="00DF54B9">
              <w:rPr>
                <w:rStyle w:val="Hipervnculo"/>
                <w:noProof/>
                <w:lang w:eastAsia="es-CL"/>
              </w:rPr>
              <w:t>Luminancia e iluminancia</w:t>
            </w:r>
            <w:r w:rsidR="00343562">
              <w:rPr>
                <w:noProof/>
                <w:webHidden/>
              </w:rPr>
              <w:tab/>
            </w:r>
            <w:r w:rsidR="00343562">
              <w:rPr>
                <w:noProof/>
                <w:webHidden/>
              </w:rPr>
              <w:fldChar w:fldCharType="begin"/>
            </w:r>
            <w:r w:rsidR="00343562">
              <w:rPr>
                <w:noProof/>
                <w:webHidden/>
              </w:rPr>
              <w:instrText xml:space="preserve"> PAGEREF _Toc471999533 \h </w:instrText>
            </w:r>
            <w:r w:rsidR="00343562">
              <w:rPr>
                <w:noProof/>
                <w:webHidden/>
              </w:rPr>
            </w:r>
            <w:r w:rsidR="00343562">
              <w:rPr>
                <w:noProof/>
                <w:webHidden/>
              </w:rPr>
              <w:fldChar w:fldCharType="separate"/>
            </w:r>
            <w:r w:rsidR="008B753B">
              <w:rPr>
                <w:noProof/>
                <w:webHidden/>
              </w:rPr>
              <w:t>30</w:t>
            </w:r>
            <w:r w:rsidR="00343562">
              <w:rPr>
                <w:noProof/>
                <w:webHidden/>
              </w:rPr>
              <w:fldChar w:fldCharType="end"/>
            </w:r>
          </w:hyperlink>
        </w:p>
        <w:p w14:paraId="34AA6D78" w14:textId="77777777" w:rsidR="00343562" w:rsidRDefault="00433A6D">
          <w:pPr>
            <w:pStyle w:val="TDC2"/>
            <w:rPr>
              <w:rFonts w:eastAsiaTheme="minorEastAsia"/>
              <w:noProof/>
              <w:lang w:eastAsia="es-CL"/>
            </w:rPr>
          </w:pPr>
          <w:hyperlink w:anchor="_Toc471999534" w:history="1">
            <w:r w:rsidR="00343562" w:rsidRPr="00DF54B9">
              <w:rPr>
                <w:rStyle w:val="Hipervnculo"/>
                <w:noProof/>
                <w:lang w:eastAsia="es-CL"/>
              </w:rPr>
              <w:t>Certificaciones</w:t>
            </w:r>
            <w:r w:rsidR="00343562">
              <w:rPr>
                <w:noProof/>
                <w:webHidden/>
              </w:rPr>
              <w:tab/>
            </w:r>
            <w:r w:rsidR="00343562">
              <w:rPr>
                <w:noProof/>
                <w:webHidden/>
              </w:rPr>
              <w:fldChar w:fldCharType="begin"/>
            </w:r>
            <w:r w:rsidR="00343562">
              <w:rPr>
                <w:noProof/>
                <w:webHidden/>
              </w:rPr>
              <w:instrText xml:space="preserve"> PAGEREF _Toc471999534 \h </w:instrText>
            </w:r>
            <w:r w:rsidR="00343562">
              <w:rPr>
                <w:noProof/>
                <w:webHidden/>
              </w:rPr>
            </w:r>
            <w:r w:rsidR="00343562">
              <w:rPr>
                <w:noProof/>
                <w:webHidden/>
              </w:rPr>
              <w:fldChar w:fldCharType="separate"/>
            </w:r>
            <w:r w:rsidR="008B753B">
              <w:rPr>
                <w:noProof/>
                <w:webHidden/>
              </w:rPr>
              <w:t>31</w:t>
            </w:r>
            <w:r w:rsidR="00343562">
              <w:rPr>
                <w:noProof/>
                <w:webHidden/>
              </w:rPr>
              <w:fldChar w:fldCharType="end"/>
            </w:r>
          </w:hyperlink>
        </w:p>
        <w:p w14:paraId="09365ABB" w14:textId="77777777" w:rsidR="00343562" w:rsidRDefault="00433A6D">
          <w:pPr>
            <w:pStyle w:val="TDC2"/>
            <w:rPr>
              <w:rFonts w:eastAsiaTheme="minorEastAsia"/>
              <w:noProof/>
              <w:lang w:eastAsia="es-CL"/>
            </w:rPr>
          </w:pPr>
          <w:hyperlink w:anchor="_Toc471999535" w:history="1">
            <w:r w:rsidR="00343562" w:rsidRPr="00DF54B9">
              <w:rPr>
                <w:rStyle w:val="Hipervnculo"/>
                <w:noProof/>
                <w:lang w:eastAsia="es-CL"/>
              </w:rPr>
              <w:t>Bodegas o Sitios de Almacenamiento</w:t>
            </w:r>
            <w:r w:rsidR="00343562">
              <w:rPr>
                <w:noProof/>
                <w:webHidden/>
              </w:rPr>
              <w:tab/>
            </w:r>
            <w:r w:rsidR="00343562">
              <w:rPr>
                <w:noProof/>
                <w:webHidden/>
              </w:rPr>
              <w:fldChar w:fldCharType="begin"/>
            </w:r>
            <w:r w:rsidR="00343562">
              <w:rPr>
                <w:noProof/>
                <w:webHidden/>
              </w:rPr>
              <w:instrText xml:space="preserve"> PAGEREF _Toc471999535 \h </w:instrText>
            </w:r>
            <w:r w:rsidR="00343562">
              <w:rPr>
                <w:noProof/>
                <w:webHidden/>
              </w:rPr>
            </w:r>
            <w:r w:rsidR="00343562">
              <w:rPr>
                <w:noProof/>
                <w:webHidden/>
              </w:rPr>
              <w:fldChar w:fldCharType="separate"/>
            </w:r>
            <w:r w:rsidR="008B753B">
              <w:rPr>
                <w:noProof/>
                <w:webHidden/>
              </w:rPr>
              <w:t>33</w:t>
            </w:r>
            <w:r w:rsidR="00343562">
              <w:rPr>
                <w:noProof/>
                <w:webHidden/>
              </w:rPr>
              <w:fldChar w:fldCharType="end"/>
            </w:r>
          </w:hyperlink>
        </w:p>
        <w:p w14:paraId="05436C03" w14:textId="77777777" w:rsidR="00343562" w:rsidRDefault="00433A6D">
          <w:pPr>
            <w:pStyle w:val="TDC2"/>
            <w:rPr>
              <w:rFonts w:eastAsiaTheme="minorEastAsia"/>
              <w:noProof/>
              <w:lang w:eastAsia="es-CL"/>
            </w:rPr>
          </w:pPr>
          <w:hyperlink w:anchor="_Toc471999536" w:history="1">
            <w:r w:rsidR="00343562" w:rsidRPr="00DF54B9">
              <w:rPr>
                <w:rStyle w:val="Hipervnculo"/>
                <w:noProof/>
                <w:lang w:eastAsia="es-CL"/>
              </w:rPr>
              <w:t>Aspectos de Seguridad ocupacional</w:t>
            </w:r>
            <w:r w:rsidR="00343562">
              <w:rPr>
                <w:noProof/>
                <w:webHidden/>
              </w:rPr>
              <w:tab/>
            </w:r>
            <w:r w:rsidR="00343562">
              <w:rPr>
                <w:noProof/>
                <w:webHidden/>
              </w:rPr>
              <w:fldChar w:fldCharType="begin"/>
            </w:r>
            <w:r w:rsidR="00343562">
              <w:rPr>
                <w:noProof/>
                <w:webHidden/>
              </w:rPr>
              <w:instrText xml:space="preserve"> PAGEREF _Toc471999536 \h </w:instrText>
            </w:r>
            <w:r w:rsidR="00343562">
              <w:rPr>
                <w:noProof/>
                <w:webHidden/>
              </w:rPr>
            </w:r>
            <w:r w:rsidR="00343562">
              <w:rPr>
                <w:noProof/>
                <w:webHidden/>
              </w:rPr>
              <w:fldChar w:fldCharType="separate"/>
            </w:r>
            <w:r w:rsidR="008B753B">
              <w:rPr>
                <w:noProof/>
                <w:webHidden/>
              </w:rPr>
              <w:t>35</w:t>
            </w:r>
            <w:r w:rsidR="00343562">
              <w:rPr>
                <w:noProof/>
                <w:webHidden/>
              </w:rPr>
              <w:fldChar w:fldCharType="end"/>
            </w:r>
          </w:hyperlink>
        </w:p>
        <w:p w14:paraId="06936BC9" w14:textId="77777777" w:rsidR="00343562" w:rsidRDefault="00433A6D">
          <w:pPr>
            <w:pStyle w:val="TDC2"/>
            <w:rPr>
              <w:rFonts w:eastAsiaTheme="minorEastAsia"/>
              <w:noProof/>
              <w:lang w:eastAsia="es-CL"/>
            </w:rPr>
          </w:pPr>
          <w:hyperlink w:anchor="_Toc471999537" w:history="1">
            <w:r w:rsidR="00343562" w:rsidRPr="00DF54B9">
              <w:rPr>
                <w:rStyle w:val="Hipervnculo"/>
                <w:noProof/>
                <w:lang w:eastAsia="es-CL"/>
              </w:rPr>
              <w:t>Conclusiones</w:t>
            </w:r>
            <w:r w:rsidR="00343562">
              <w:rPr>
                <w:noProof/>
                <w:webHidden/>
              </w:rPr>
              <w:tab/>
            </w:r>
            <w:r w:rsidR="00343562">
              <w:rPr>
                <w:noProof/>
                <w:webHidden/>
              </w:rPr>
              <w:fldChar w:fldCharType="begin"/>
            </w:r>
            <w:r w:rsidR="00343562">
              <w:rPr>
                <w:noProof/>
                <w:webHidden/>
              </w:rPr>
              <w:instrText xml:space="preserve"> PAGEREF _Toc471999537 \h </w:instrText>
            </w:r>
            <w:r w:rsidR="00343562">
              <w:rPr>
                <w:noProof/>
                <w:webHidden/>
              </w:rPr>
            </w:r>
            <w:r w:rsidR="00343562">
              <w:rPr>
                <w:noProof/>
                <w:webHidden/>
              </w:rPr>
              <w:fldChar w:fldCharType="separate"/>
            </w:r>
            <w:r w:rsidR="008B753B">
              <w:rPr>
                <w:noProof/>
                <w:webHidden/>
              </w:rPr>
              <w:t>38</w:t>
            </w:r>
            <w:r w:rsidR="00343562">
              <w:rPr>
                <w:noProof/>
                <w:webHidden/>
              </w:rPr>
              <w:fldChar w:fldCharType="end"/>
            </w:r>
          </w:hyperlink>
        </w:p>
        <w:p w14:paraId="3C483A5D" w14:textId="609AB670" w:rsidR="00343562" w:rsidRDefault="00343562">
          <w:r>
            <w:rPr>
              <w:b/>
              <w:bCs/>
            </w:rPr>
            <w:fldChar w:fldCharType="end"/>
          </w:r>
        </w:p>
      </w:sdtContent>
    </w:sdt>
    <w:p w14:paraId="035FD5EA" w14:textId="77777777" w:rsidR="008424DF" w:rsidRPr="007A53AB" w:rsidRDefault="008424DF" w:rsidP="00CE7C87">
      <w:pPr>
        <w:pStyle w:val="Encabezado"/>
      </w:pPr>
    </w:p>
    <w:p w14:paraId="132AE4A2" w14:textId="3AA28F09" w:rsidR="00492B0C" w:rsidRPr="00ED26C2" w:rsidRDefault="001D7126" w:rsidP="00343562">
      <w:pPr>
        <w:pStyle w:val="Ttulo2"/>
        <w:rPr>
          <w:rFonts w:cs="Times New Roman"/>
          <w:b w:val="0"/>
          <w:sz w:val="32"/>
          <w:szCs w:val="32"/>
        </w:rPr>
      </w:pPr>
      <w:r w:rsidRPr="007A53AB">
        <w:br w:type="page"/>
      </w:r>
      <w:bookmarkStart w:id="2" w:name="_Toc443926765"/>
      <w:bookmarkStart w:id="3" w:name="_Toc471999514"/>
      <w:r w:rsidRPr="00ED26C2">
        <w:rPr>
          <w:b w:val="0"/>
          <w:sz w:val="32"/>
          <w:szCs w:val="32"/>
        </w:rPr>
        <w:lastRenderedPageBreak/>
        <w:t>A</w:t>
      </w:r>
      <w:bookmarkEnd w:id="2"/>
      <w:r w:rsidR="00492B0C" w:rsidRPr="00ED26C2">
        <w:rPr>
          <w:b w:val="0"/>
          <w:sz w:val="32"/>
          <w:szCs w:val="32"/>
        </w:rPr>
        <w:t>lcance</w:t>
      </w:r>
      <w:bookmarkEnd w:id="3"/>
    </w:p>
    <w:p w14:paraId="534B6775" w14:textId="18FC8B30" w:rsidR="00DB70A0" w:rsidRDefault="001802A6" w:rsidP="00CE62F9">
      <w:pPr>
        <w:pStyle w:val="Sinespaciado"/>
        <w:spacing w:before="240" w:line="276" w:lineRule="auto"/>
        <w:rPr>
          <w:rFonts w:cs="Times New Roman" w:hint="eastAsia"/>
          <w:szCs w:val="24"/>
        </w:rPr>
      </w:pPr>
      <w:r>
        <w:rPr>
          <w:rFonts w:cs="Times New Roman"/>
          <w:szCs w:val="24"/>
        </w:rPr>
        <w:t>En el</w:t>
      </w:r>
      <w:r w:rsidR="00492B0C" w:rsidRPr="007A53AB">
        <w:rPr>
          <w:rFonts w:cs="Times New Roman"/>
          <w:szCs w:val="24"/>
        </w:rPr>
        <w:t xml:space="preserve"> Diagn</w:t>
      </w:r>
      <w:r w:rsidR="00004F8F">
        <w:rPr>
          <w:rFonts w:cs="Times New Roman"/>
          <w:szCs w:val="24"/>
        </w:rPr>
        <w:t>o</w:t>
      </w:r>
      <w:r w:rsidR="00492B0C" w:rsidRPr="007A53AB">
        <w:rPr>
          <w:rFonts w:cs="Times New Roman"/>
          <w:szCs w:val="24"/>
        </w:rPr>
        <w:t xml:space="preserve">stico de Producción Limpia </w:t>
      </w:r>
      <w:r w:rsidR="00F956C7" w:rsidRPr="007A53AB">
        <w:rPr>
          <w:rFonts w:cs="Times New Roman"/>
          <w:szCs w:val="24"/>
        </w:rPr>
        <w:t xml:space="preserve">(PL) </w:t>
      </w:r>
      <w:r w:rsidR="00E11B7A" w:rsidRPr="007A53AB">
        <w:rPr>
          <w:rFonts w:cs="Times New Roman"/>
          <w:szCs w:val="24"/>
        </w:rPr>
        <w:t xml:space="preserve">realizado a las plantas de proceso </w:t>
      </w:r>
      <w:r w:rsidR="00492B0C" w:rsidRPr="007A53AB">
        <w:rPr>
          <w:rFonts w:cs="Times New Roman"/>
          <w:szCs w:val="24"/>
        </w:rPr>
        <w:t>del sector mitilicultor</w:t>
      </w:r>
      <w:r>
        <w:rPr>
          <w:rFonts w:cs="Times New Roman"/>
          <w:szCs w:val="24"/>
        </w:rPr>
        <w:t>, participaron</w:t>
      </w:r>
      <w:r w:rsidR="00492C3A">
        <w:rPr>
          <w:rFonts w:cs="Times New Roman"/>
          <w:szCs w:val="24"/>
        </w:rPr>
        <w:t xml:space="preserve"> </w:t>
      </w:r>
      <w:r w:rsidR="002875D3">
        <w:rPr>
          <w:rFonts w:cs="Times New Roman"/>
          <w:szCs w:val="24"/>
        </w:rPr>
        <w:t xml:space="preserve">empresas </w:t>
      </w:r>
      <w:r w:rsidR="00492B0C" w:rsidRPr="007A53AB">
        <w:rPr>
          <w:rFonts w:cs="Times New Roman"/>
          <w:szCs w:val="24"/>
        </w:rPr>
        <w:t xml:space="preserve"> del rubro, ubicad</w:t>
      </w:r>
      <w:r w:rsidR="00E11B7A" w:rsidRPr="007A53AB">
        <w:rPr>
          <w:rFonts w:cs="Times New Roman"/>
          <w:szCs w:val="24"/>
        </w:rPr>
        <w:t xml:space="preserve">as en la X Región de Los Lagos, </w:t>
      </w:r>
      <w:r w:rsidR="00492B0C" w:rsidRPr="007A53AB">
        <w:rPr>
          <w:rFonts w:cs="Times New Roman"/>
          <w:szCs w:val="24"/>
        </w:rPr>
        <w:t>siendo todas socias de AmiChile y con un nivel de ventas correspondiente a la categoría d</w:t>
      </w:r>
      <w:r w:rsidR="00E11B7A" w:rsidRPr="007A53AB">
        <w:rPr>
          <w:rFonts w:cs="Times New Roman"/>
          <w:szCs w:val="24"/>
        </w:rPr>
        <w:t xml:space="preserve">e empresas grandes, </w:t>
      </w:r>
      <w:r w:rsidR="00492B0C" w:rsidRPr="007A53AB">
        <w:rPr>
          <w:rFonts w:cs="Times New Roman"/>
          <w:szCs w:val="24"/>
        </w:rPr>
        <w:t>con una antigüedad promedio de 13,7 años.</w:t>
      </w:r>
      <w:r w:rsidR="002A3919" w:rsidRPr="007A53AB">
        <w:rPr>
          <w:rFonts w:cs="Times New Roman"/>
          <w:szCs w:val="24"/>
        </w:rPr>
        <w:t xml:space="preserve"> </w:t>
      </w:r>
    </w:p>
    <w:p w14:paraId="4A543F47" w14:textId="46CC8758" w:rsidR="00492B0C" w:rsidRPr="007A53AB" w:rsidRDefault="00F956C7" w:rsidP="00CE62F9">
      <w:pPr>
        <w:pStyle w:val="Sinespaciado"/>
        <w:spacing w:before="240" w:line="276" w:lineRule="auto"/>
        <w:rPr>
          <w:rFonts w:hint="eastAsia"/>
          <w:color w:val="auto"/>
        </w:rPr>
      </w:pPr>
      <w:r w:rsidRPr="00DB70A0">
        <w:rPr>
          <w:rFonts w:cs="Times New Roman"/>
          <w:szCs w:val="24"/>
        </w:rPr>
        <w:t xml:space="preserve">Cabe </w:t>
      </w:r>
      <w:r w:rsidR="0040372C" w:rsidRPr="00DB70A0">
        <w:rPr>
          <w:rFonts w:cs="Times New Roman"/>
          <w:szCs w:val="24"/>
        </w:rPr>
        <w:t>mencionar</w:t>
      </w:r>
      <w:r w:rsidRPr="007A53AB">
        <w:rPr>
          <w:color w:val="auto"/>
        </w:rPr>
        <w:t xml:space="preserve"> que una de las </w:t>
      </w:r>
      <w:r w:rsidR="002875D3">
        <w:rPr>
          <w:color w:val="auto"/>
        </w:rPr>
        <w:t xml:space="preserve">plantas de proceso </w:t>
      </w:r>
      <w:r w:rsidRPr="007A53AB">
        <w:rPr>
          <w:color w:val="auto"/>
        </w:rPr>
        <w:t xml:space="preserve">inicialmente interesadas en participar </w:t>
      </w:r>
      <w:r w:rsidR="0040372C" w:rsidRPr="007A53AB">
        <w:rPr>
          <w:color w:val="auto"/>
        </w:rPr>
        <w:t xml:space="preserve">en </w:t>
      </w:r>
      <w:r w:rsidRPr="007A53AB">
        <w:rPr>
          <w:color w:val="auto"/>
        </w:rPr>
        <w:t>el diagnóstico</w:t>
      </w:r>
      <w:r w:rsidR="0040372C" w:rsidRPr="007A53AB">
        <w:rPr>
          <w:color w:val="auto"/>
        </w:rPr>
        <w:t>,</w:t>
      </w:r>
      <w:r w:rsidR="00DC4E06" w:rsidRPr="007A53AB">
        <w:rPr>
          <w:color w:val="auto"/>
        </w:rPr>
        <w:t xml:space="preserve"> </w:t>
      </w:r>
      <w:r w:rsidRPr="007A53AB">
        <w:rPr>
          <w:color w:val="auto"/>
        </w:rPr>
        <w:t>desistió en el transcurso de la implementación de esta iniciativa</w:t>
      </w:r>
      <w:r w:rsidR="002875D3">
        <w:rPr>
          <w:color w:val="auto"/>
        </w:rPr>
        <w:t>,</w:t>
      </w:r>
      <w:r w:rsidRPr="007A53AB">
        <w:rPr>
          <w:color w:val="auto"/>
        </w:rPr>
        <w:t xml:space="preserve"> no contestar la encuesta </w:t>
      </w:r>
      <w:r w:rsidR="00DC4E06" w:rsidRPr="007A53AB">
        <w:rPr>
          <w:color w:val="auto"/>
        </w:rPr>
        <w:t xml:space="preserve">correspondiente </w:t>
      </w:r>
      <w:r w:rsidRPr="007A53AB">
        <w:rPr>
          <w:color w:val="auto"/>
        </w:rPr>
        <w:t>(ver Anexo 1)</w:t>
      </w:r>
      <w:r w:rsidR="0040372C" w:rsidRPr="007A53AB">
        <w:rPr>
          <w:color w:val="auto"/>
        </w:rPr>
        <w:t xml:space="preserve">, </w:t>
      </w:r>
      <w:r w:rsidRPr="007A53AB">
        <w:rPr>
          <w:color w:val="auto"/>
        </w:rPr>
        <w:t>por lo que</w:t>
      </w:r>
      <w:r w:rsidR="00492B0C" w:rsidRPr="007A53AB">
        <w:rPr>
          <w:color w:val="auto"/>
        </w:rPr>
        <w:t xml:space="preserve"> el </w:t>
      </w:r>
      <w:r w:rsidR="00780EA6" w:rsidRPr="007A53AB">
        <w:rPr>
          <w:color w:val="auto"/>
        </w:rPr>
        <w:t xml:space="preserve">presente </w:t>
      </w:r>
      <w:r w:rsidR="00492B0C" w:rsidRPr="007A53AB">
        <w:rPr>
          <w:color w:val="auto"/>
        </w:rPr>
        <w:t>documento fue elaborado en base a la información</w:t>
      </w:r>
      <w:r w:rsidR="00245123" w:rsidRPr="007A53AB">
        <w:rPr>
          <w:color w:val="auto"/>
        </w:rPr>
        <w:t xml:space="preserve"> 2015</w:t>
      </w:r>
      <w:r w:rsidR="00492B0C" w:rsidRPr="007A53AB">
        <w:rPr>
          <w:color w:val="auto"/>
        </w:rPr>
        <w:t xml:space="preserve"> proporcionada por </w:t>
      </w:r>
      <w:r w:rsidR="002A3919" w:rsidRPr="007A53AB">
        <w:rPr>
          <w:color w:val="auto"/>
        </w:rPr>
        <w:t>9</w:t>
      </w:r>
      <w:r w:rsidR="0040372C" w:rsidRPr="007A53AB">
        <w:rPr>
          <w:color w:val="auto"/>
        </w:rPr>
        <w:t xml:space="preserve"> </w:t>
      </w:r>
      <w:r w:rsidRPr="007A53AB">
        <w:rPr>
          <w:color w:val="auto"/>
        </w:rPr>
        <w:t>ellas, quienes</w:t>
      </w:r>
      <w:r w:rsidR="00780EA6" w:rsidRPr="007A53AB">
        <w:rPr>
          <w:color w:val="auto"/>
        </w:rPr>
        <w:t xml:space="preserve"> entregaron los antece</w:t>
      </w:r>
      <w:r w:rsidRPr="007A53AB">
        <w:rPr>
          <w:color w:val="auto"/>
        </w:rPr>
        <w:t>dentes requeridos</w:t>
      </w:r>
      <w:r w:rsidR="0040372C" w:rsidRPr="007A53AB">
        <w:rPr>
          <w:color w:val="auto"/>
        </w:rPr>
        <w:t>.</w:t>
      </w:r>
      <w:r w:rsidRPr="007A53AB">
        <w:rPr>
          <w:color w:val="auto"/>
        </w:rPr>
        <w:t xml:space="preserve"> </w:t>
      </w:r>
    </w:p>
    <w:p w14:paraId="0B9A2BEC" w14:textId="77777777" w:rsidR="0040372C" w:rsidRPr="007A53AB" w:rsidRDefault="0040372C" w:rsidP="00CE62F9">
      <w:pPr>
        <w:pStyle w:val="Encabezado"/>
        <w:spacing w:before="240"/>
        <w:jc w:val="both"/>
        <w:rPr>
          <w:b/>
          <w:color w:val="auto"/>
          <w:sz w:val="24"/>
          <w:lang w:eastAsia="es-CL"/>
        </w:rPr>
      </w:pPr>
    </w:p>
    <w:tbl>
      <w:tblPr>
        <w:tblStyle w:val="Tabladecuadrcula1clara-nfasis61"/>
        <w:tblW w:w="8597" w:type="dxa"/>
        <w:jc w:val="center"/>
        <w:tblLook w:val="04A0" w:firstRow="1" w:lastRow="0" w:firstColumn="1" w:lastColumn="0" w:noHBand="0" w:noVBand="1"/>
      </w:tblPr>
      <w:tblGrid>
        <w:gridCol w:w="2084"/>
        <w:gridCol w:w="1836"/>
        <w:gridCol w:w="1177"/>
        <w:gridCol w:w="1801"/>
        <w:gridCol w:w="1699"/>
      </w:tblGrid>
      <w:tr w:rsidR="000068A6" w:rsidRPr="007A53AB" w14:paraId="2540E203" w14:textId="77777777" w:rsidTr="00B95410">
        <w:trPr>
          <w:cnfStyle w:val="100000000000" w:firstRow="1" w:lastRow="0" w:firstColumn="0" w:lastColumn="0" w:oddVBand="0" w:evenVBand="0" w:oddHBand="0" w:evenHBand="0" w:firstRowFirstColumn="0" w:firstRowLastColumn="0" w:lastRowFirstColumn="0" w:lastRowLastColumn="0"/>
          <w:trHeight w:val="551"/>
          <w:jc w:val="center"/>
        </w:trPr>
        <w:tc>
          <w:tcPr>
            <w:cnfStyle w:val="001000000000" w:firstRow="0" w:lastRow="0" w:firstColumn="1" w:lastColumn="0" w:oddVBand="0" w:evenVBand="0" w:oddHBand="0" w:evenHBand="0" w:firstRowFirstColumn="0" w:firstRowLastColumn="0" w:lastRowFirstColumn="0" w:lastRowLastColumn="0"/>
            <w:tcW w:w="2084" w:type="dxa"/>
            <w:tcBorders>
              <w:top w:val="single" w:sz="18" w:space="0" w:color="FBD4B4" w:themeColor="accent6" w:themeTint="66"/>
              <w:left w:val="single" w:sz="18" w:space="0" w:color="FBD4B4" w:themeColor="accent6" w:themeTint="66"/>
            </w:tcBorders>
            <w:vAlign w:val="center"/>
          </w:tcPr>
          <w:p w14:paraId="425C2926" w14:textId="2CE9FD66" w:rsidR="00E47CB8" w:rsidRPr="00C95232" w:rsidRDefault="00C95232" w:rsidP="00CE62F9">
            <w:pPr>
              <w:jc w:val="center"/>
              <w:rPr>
                <w:color w:val="000000"/>
                <w:sz w:val="20"/>
                <w:szCs w:val="20"/>
              </w:rPr>
            </w:pPr>
            <w:r w:rsidRPr="00C95232">
              <w:rPr>
                <w:color w:val="000000"/>
                <w:sz w:val="20"/>
                <w:szCs w:val="20"/>
              </w:rPr>
              <w:t>Empresa</w:t>
            </w:r>
          </w:p>
        </w:tc>
        <w:tc>
          <w:tcPr>
            <w:tcW w:w="1836" w:type="dxa"/>
            <w:tcBorders>
              <w:top w:val="single" w:sz="18" w:space="0" w:color="FBD4B4" w:themeColor="accent6" w:themeTint="66"/>
            </w:tcBorders>
            <w:vAlign w:val="center"/>
          </w:tcPr>
          <w:p w14:paraId="64A37716" w14:textId="77777777" w:rsidR="00E47CB8" w:rsidRPr="007A53AB" w:rsidRDefault="00E47CB8" w:rsidP="00CE62F9">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7A53AB">
              <w:rPr>
                <w:color w:val="000000"/>
                <w:sz w:val="20"/>
                <w:szCs w:val="20"/>
              </w:rPr>
              <w:t>Región</w:t>
            </w:r>
          </w:p>
        </w:tc>
        <w:tc>
          <w:tcPr>
            <w:tcW w:w="1177" w:type="dxa"/>
            <w:tcBorders>
              <w:top w:val="single" w:sz="18" w:space="0" w:color="FBD4B4" w:themeColor="accent6" w:themeTint="66"/>
            </w:tcBorders>
            <w:vAlign w:val="center"/>
          </w:tcPr>
          <w:p w14:paraId="6E1C707D" w14:textId="77777777" w:rsidR="00E47CB8" w:rsidRPr="007A53AB" w:rsidRDefault="00E47CB8" w:rsidP="00CE62F9">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7A53AB">
              <w:rPr>
                <w:color w:val="000000"/>
                <w:sz w:val="20"/>
                <w:szCs w:val="20"/>
              </w:rPr>
              <w:t>Tamaño</w:t>
            </w:r>
          </w:p>
        </w:tc>
        <w:tc>
          <w:tcPr>
            <w:tcW w:w="1801" w:type="dxa"/>
            <w:tcBorders>
              <w:top w:val="single" w:sz="18" w:space="0" w:color="FBD4B4" w:themeColor="accent6" w:themeTint="66"/>
            </w:tcBorders>
            <w:vAlign w:val="center"/>
          </w:tcPr>
          <w:p w14:paraId="54146205" w14:textId="77777777" w:rsidR="00E47CB8" w:rsidRPr="007A53AB" w:rsidRDefault="00E47CB8" w:rsidP="00CE62F9">
            <w:pPr>
              <w:jc w:val="center"/>
              <w:cnfStyle w:val="100000000000" w:firstRow="1" w:lastRow="0" w:firstColumn="0" w:lastColumn="0" w:oddVBand="0" w:evenVBand="0" w:oddHBand="0" w:evenHBand="0" w:firstRowFirstColumn="0" w:firstRowLastColumn="0" w:lastRowFirstColumn="0" w:lastRowLastColumn="0"/>
              <w:rPr>
                <w:b w:val="0"/>
                <w:color w:val="000000"/>
                <w:sz w:val="20"/>
                <w:szCs w:val="20"/>
              </w:rPr>
            </w:pPr>
            <w:r w:rsidRPr="007A53AB">
              <w:rPr>
                <w:color w:val="000000"/>
                <w:sz w:val="20"/>
                <w:szCs w:val="20"/>
              </w:rPr>
              <w:t>Antigüedad (años)</w:t>
            </w:r>
          </w:p>
        </w:tc>
        <w:tc>
          <w:tcPr>
            <w:tcW w:w="1699" w:type="dxa"/>
            <w:tcBorders>
              <w:top w:val="single" w:sz="18" w:space="0" w:color="FBD4B4" w:themeColor="accent6" w:themeTint="66"/>
              <w:right w:val="single" w:sz="18" w:space="0" w:color="FBD4B4" w:themeColor="accent6" w:themeTint="66"/>
            </w:tcBorders>
            <w:vAlign w:val="center"/>
          </w:tcPr>
          <w:p w14:paraId="2D014856" w14:textId="77777777" w:rsidR="00E47CB8" w:rsidRPr="007A53AB" w:rsidRDefault="00E47CB8" w:rsidP="00CE62F9">
            <w:pPr>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7A53AB">
              <w:rPr>
                <w:sz w:val="20"/>
                <w:szCs w:val="20"/>
              </w:rPr>
              <w:t>Socio AmiChile</w:t>
            </w:r>
          </w:p>
        </w:tc>
      </w:tr>
      <w:tr w:rsidR="0040372C" w:rsidRPr="007A53AB" w14:paraId="12E0B0F7" w14:textId="77777777" w:rsidTr="00B95410">
        <w:trPr>
          <w:trHeight w:val="284"/>
          <w:jc w:val="center"/>
        </w:trPr>
        <w:tc>
          <w:tcPr>
            <w:cnfStyle w:val="001000000000" w:firstRow="0" w:lastRow="0" w:firstColumn="1" w:lastColumn="0" w:oddVBand="0" w:evenVBand="0" w:oddHBand="0" w:evenHBand="0" w:firstRowFirstColumn="0" w:firstRowLastColumn="0" w:lastRowFirstColumn="0" w:lastRowLastColumn="0"/>
            <w:tcW w:w="2084" w:type="dxa"/>
            <w:tcBorders>
              <w:left w:val="single" w:sz="18" w:space="0" w:color="FBD4B4" w:themeColor="accent6" w:themeTint="66"/>
            </w:tcBorders>
          </w:tcPr>
          <w:p w14:paraId="452B4D9A" w14:textId="77777777" w:rsidR="0040372C" w:rsidRPr="007A53AB" w:rsidRDefault="0040372C" w:rsidP="00CE62F9">
            <w:pPr>
              <w:jc w:val="both"/>
              <w:rPr>
                <w:b w:val="0"/>
                <w:color w:val="000000"/>
                <w:sz w:val="20"/>
                <w:szCs w:val="20"/>
              </w:rPr>
            </w:pPr>
            <w:r w:rsidRPr="007A53AB">
              <w:rPr>
                <w:b w:val="0"/>
                <w:color w:val="000000"/>
                <w:sz w:val="20"/>
                <w:szCs w:val="20"/>
              </w:rPr>
              <w:t>E 1</w:t>
            </w:r>
          </w:p>
        </w:tc>
        <w:tc>
          <w:tcPr>
            <w:tcW w:w="1836" w:type="dxa"/>
            <w:vMerge w:val="restart"/>
            <w:vAlign w:val="center"/>
          </w:tcPr>
          <w:p w14:paraId="294CF5D9"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7A53AB">
              <w:rPr>
                <w:rFonts w:cs="Arial"/>
                <w:color w:val="000000"/>
                <w:sz w:val="20"/>
                <w:szCs w:val="20"/>
              </w:rPr>
              <w:t>X de Los Lagos</w:t>
            </w:r>
          </w:p>
        </w:tc>
        <w:tc>
          <w:tcPr>
            <w:tcW w:w="1177" w:type="dxa"/>
            <w:vMerge w:val="restart"/>
            <w:vAlign w:val="center"/>
          </w:tcPr>
          <w:p w14:paraId="088044B3"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7A53AB">
              <w:rPr>
                <w:color w:val="000000"/>
                <w:sz w:val="20"/>
                <w:szCs w:val="20"/>
              </w:rPr>
              <w:t>Grande</w:t>
            </w:r>
          </w:p>
        </w:tc>
        <w:tc>
          <w:tcPr>
            <w:tcW w:w="1801" w:type="dxa"/>
            <w:vAlign w:val="center"/>
          </w:tcPr>
          <w:p w14:paraId="3BD849B7"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7A53AB">
              <w:rPr>
                <w:rFonts w:cs="Arial"/>
                <w:color w:val="000000"/>
                <w:sz w:val="20"/>
                <w:szCs w:val="20"/>
                <w:lang w:val="uz-Cyrl-UZ"/>
              </w:rPr>
              <w:t>10</w:t>
            </w:r>
          </w:p>
        </w:tc>
        <w:tc>
          <w:tcPr>
            <w:tcW w:w="1699" w:type="dxa"/>
            <w:vMerge w:val="restart"/>
            <w:tcBorders>
              <w:right w:val="single" w:sz="18" w:space="0" w:color="FBD4B4" w:themeColor="accent6" w:themeTint="66"/>
            </w:tcBorders>
            <w:vAlign w:val="center"/>
          </w:tcPr>
          <w:p w14:paraId="7390BE47" w14:textId="509FE061"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sz w:val="20"/>
                <w:szCs w:val="20"/>
                <w:lang w:val="es-CL"/>
              </w:rPr>
            </w:pPr>
            <w:r w:rsidRPr="007A53AB">
              <w:rPr>
                <w:sz w:val="20"/>
                <w:szCs w:val="20"/>
              </w:rPr>
              <w:t>Si</w:t>
            </w:r>
          </w:p>
        </w:tc>
      </w:tr>
      <w:tr w:rsidR="0040372C" w:rsidRPr="007A53AB" w14:paraId="49E7A096" w14:textId="77777777" w:rsidTr="00B95410">
        <w:trPr>
          <w:trHeight w:val="268"/>
          <w:jc w:val="center"/>
        </w:trPr>
        <w:tc>
          <w:tcPr>
            <w:cnfStyle w:val="001000000000" w:firstRow="0" w:lastRow="0" w:firstColumn="1" w:lastColumn="0" w:oddVBand="0" w:evenVBand="0" w:oddHBand="0" w:evenHBand="0" w:firstRowFirstColumn="0" w:firstRowLastColumn="0" w:lastRowFirstColumn="0" w:lastRowLastColumn="0"/>
            <w:tcW w:w="2084" w:type="dxa"/>
            <w:tcBorders>
              <w:left w:val="single" w:sz="18" w:space="0" w:color="FBD4B4" w:themeColor="accent6" w:themeTint="66"/>
            </w:tcBorders>
          </w:tcPr>
          <w:p w14:paraId="50F1C148" w14:textId="77777777" w:rsidR="0040372C" w:rsidRPr="007A53AB" w:rsidRDefault="0040372C" w:rsidP="00CE62F9">
            <w:pPr>
              <w:jc w:val="both"/>
              <w:rPr>
                <w:b w:val="0"/>
                <w:color w:val="000000"/>
                <w:sz w:val="20"/>
                <w:szCs w:val="20"/>
              </w:rPr>
            </w:pPr>
            <w:r w:rsidRPr="007A53AB">
              <w:rPr>
                <w:b w:val="0"/>
                <w:color w:val="000000"/>
                <w:sz w:val="20"/>
                <w:szCs w:val="20"/>
              </w:rPr>
              <w:t>E 2</w:t>
            </w:r>
          </w:p>
        </w:tc>
        <w:tc>
          <w:tcPr>
            <w:tcW w:w="1836" w:type="dxa"/>
            <w:vMerge/>
          </w:tcPr>
          <w:p w14:paraId="6590C0EB"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1177" w:type="dxa"/>
            <w:vMerge/>
          </w:tcPr>
          <w:p w14:paraId="7D45E86F"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801" w:type="dxa"/>
          </w:tcPr>
          <w:p w14:paraId="7DF2EE32"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7A53AB">
              <w:rPr>
                <w:color w:val="000000"/>
                <w:sz w:val="20"/>
                <w:szCs w:val="20"/>
              </w:rPr>
              <w:t>10</w:t>
            </w:r>
          </w:p>
        </w:tc>
        <w:tc>
          <w:tcPr>
            <w:tcW w:w="1699" w:type="dxa"/>
            <w:vMerge/>
            <w:tcBorders>
              <w:right w:val="single" w:sz="18" w:space="0" w:color="FBD4B4" w:themeColor="accent6" w:themeTint="66"/>
            </w:tcBorders>
          </w:tcPr>
          <w:p w14:paraId="6BA8E860" w14:textId="45753F68"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40372C" w:rsidRPr="007A53AB" w14:paraId="68E42A7B" w14:textId="77777777" w:rsidTr="00B95410">
        <w:trPr>
          <w:trHeight w:val="284"/>
          <w:jc w:val="center"/>
        </w:trPr>
        <w:tc>
          <w:tcPr>
            <w:cnfStyle w:val="001000000000" w:firstRow="0" w:lastRow="0" w:firstColumn="1" w:lastColumn="0" w:oddVBand="0" w:evenVBand="0" w:oddHBand="0" w:evenHBand="0" w:firstRowFirstColumn="0" w:firstRowLastColumn="0" w:lastRowFirstColumn="0" w:lastRowLastColumn="0"/>
            <w:tcW w:w="2084" w:type="dxa"/>
            <w:tcBorders>
              <w:left w:val="single" w:sz="18" w:space="0" w:color="FBD4B4" w:themeColor="accent6" w:themeTint="66"/>
            </w:tcBorders>
          </w:tcPr>
          <w:p w14:paraId="5608821E" w14:textId="77777777" w:rsidR="0040372C" w:rsidRPr="007A53AB" w:rsidRDefault="0040372C" w:rsidP="00CE62F9">
            <w:pPr>
              <w:jc w:val="both"/>
              <w:rPr>
                <w:b w:val="0"/>
                <w:color w:val="000000"/>
                <w:sz w:val="20"/>
                <w:szCs w:val="20"/>
              </w:rPr>
            </w:pPr>
            <w:r w:rsidRPr="007A53AB">
              <w:rPr>
                <w:b w:val="0"/>
                <w:color w:val="000000"/>
                <w:sz w:val="20"/>
                <w:szCs w:val="20"/>
              </w:rPr>
              <w:t>E 3</w:t>
            </w:r>
          </w:p>
        </w:tc>
        <w:tc>
          <w:tcPr>
            <w:tcW w:w="1836" w:type="dxa"/>
            <w:vMerge/>
          </w:tcPr>
          <w:p w14:paraId="1F749AC2"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1177" w:type="dxa"/>
            <w:vMerge/>
          </w:tcPr>
          <w:p w14:paraId="5761C07E"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801" w:type="dxa"/>
          </w:tcPr>
          <w:p w14:paraId="5C228E91"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7A53AB">
              <w:rPr>
                <w:color w:val="000000"/>
                <w:sz w:val="20"/>
                <w:szCs w:val="20"/>
              </w:rPr>
              <w:t>9</w:t>
            </w:r>
          </w:p>
        </w:tc>
        <w:tc>
          <w:tcPr>
            <w:tcW w:w="1699" w:type="dxa"/>
            <w:vMerge/>
            <w:tcBorders>
              <w:right w:val="single" w:sz="18" w:space="0" w:color="FBD4B4" w:themeColor="accent6" w:themeTint="66"/>
            </w:tcBorders>
          </w:tcPr>
          <w:p w14:paraId="34C446FD" w14:textId="2F70242A"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40372C" w:rsidRPr="007A53AB" w14:paraId="086B1504" w14:textId="77777777" w:rsidTr="00B95410">
        <w:trPr>
          <w:trHeight w:val="268"/>
          <w:jc w:val="center"/>
        </w:trPr>
        <w:tc>
          <w:tcPr>
            <w:cnfStyle w:val="001000000000" w:firstRow="0" w:lastRow="0" w:firstColumn="1" w:lastColumn="0" w:oddVBand="0" w:evenVBand="0" w:oddHBand="0" w:evenHBand="0" w:firstRowFirstColumn="0" w:firstRowLastColumn="0" w:lastRowFirstColumn="0" w:lastRowLastColumn="0"/>
            <w:tcW w:w="2084" w:type="dxa"/>
            <w:tcBorders>
              <w:left w:val="single" w:sz="18" w:space="0" w:color="FBD4B4" w:themeColor="accent6" w:themeTint="66"/>
            </w:tcBorders>
          </w:tcPr>
          <w:p w14:paraId="143E90F8" w14:textId="77777777" w:rsidR="0040372C" w:rsidRPr="007A53AB" w:rsidRDefault="0040372C" w:rsidP="00CE62F9">
            <w:pPr>
              <w:jc w:val="both"/>
              <w:rPr>
                <w:b w:val="0"/>
                <w:color w:val="000000"/>
                <w:sz w:val="20"/>
                <w:szCs w:val="20"/>
              </w:rPr>
            </w:pPr>
            <w:r w:rsidRPr="007A53AB">
              <w:rPr>
                <w:b w:val="0"/>
                <w:color w:val="000000"/>
                <w:sz w:val="20"/>
                <w:szCs w:val="20"/>
              </w:rPr>
              <w:t>E 4</w:t>
            </w:r>
          </w:p>
        </w:tc>
        <w:tc>
          <w:tcPr>
            <w:tcW w:w="1836" w:type="dxa"/>
            <w:vMerge/>
          </w:tcPr>
          <w:p w14:paraId="3F4C3D3B"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1177" w:type="dxa"/>
            <w:vMerge/>
          </w:tcPr>
          <w:p w14:paraId="6AD5D0AE"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801" w:type="dxa"/>
          </w:tcPr>
          <w:p w14:paraId="27B391A8"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7A53AB">
              <w:rPr>
                <w:color w:val="000000"/>
                <w:sz w:val="20"/>
                <w:szCs w:val="20"/>
              </w:rPr>
              <w:t>40</w:t>
            </w:r>
          </w:p>
        </w:tc>
        <w:tc>
          <w:tcPr>
            <w:tcW w:w="1699" w:type="dxa"/>
            <w:vMerge/>
            <w:tcBorders>
              <w:right w:val="single" w:sz="18" w:space="0" w:color="FBD4B4" w:themeColor="accent6" w:themeTint="66"/>
            </w:tcBorders>
          </w:tcPr>
          <w:p w14:paraId="2EE7A9D5" w14:textId="688F49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40372C" w:rsidRPr="007A53AB" w14:paraId="0FBF49B8" w14:textId="77777777" w:rsidTr="00B95410">
        <w:trPr>
          <w:trHeight w:val="284"/>
          <w:jc w:val="center"/>
        </w:trPr>
        <w:tc>
          <w:tcPr>
            <w:cnfStyle w:val="001000000000" w:firstRow="0" w:lastRow="0" w:firstColumn="1" w:lastColumn="0" w:oddVBand="0" w:evenVBand="0" w:oddHBand="0" w:evenHBand="0" w:firstRowFirstColumn="0" w:firstRowLastColumn="0" w:lastRowFirstColumn="0" w:lastRowLastColumn="0"/>
            <w:tcW w:w="2084" w:type="dxa"/>
            <w:tcBorders>
              <w:left w:val="single" w:sz="18" w:space="0" w:color="FBD4B4" w:themeColor="accent6" w:themeTint="66"/>
            </w:tcBorders>
          </w:tcPr>
          <w:p w14:paraId="0F11FC9E" w14:textId="77777777" w:rsidR="0040372C" w:rsidRPr="007A53AB" w:rsidRDefault="0040372C" w:rsidP="00CE62F9">
            <w:pPr>
              <w:jc w:val="both"/>
              <w:rPr>
                <w:b w:val="0"/>
                <w:color w:val="000000"/>
                <w:sz w:val="20"/>
                <w:szCs w:val="20"/>
              </w:rPr>
            </w:pPr>
            <w:r w:rsidRPr="007A53AB">
              <w:rPr>
                <w:b w:val="0"/>
                <w:color w:val="000000"/>
                <w:sz w:val="20"/>
                <w:szCs w:val="20"/>
              </w:rPr>
              <w:t>E 5</w:t>
            </w:r>
          </w:p>
        </w:tc>
        <w:tc>
          <w:tcPr>
            <w:tcW w:w="1836" w:type="dxa"/>
            <w:vMerge/>
          </w:tcPr>
          <w:p w14:paraId="4014FBC9"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1177" w:type="dxa"/>
            <w:vMerge/>
          </w:tcPr>
          <w:p w14:paraId="000C2551"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801" w:type="dxa"/>
          </w:tcPr>
          <w:p w14:paraId="6D0038FD"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7A53AB">
              <w:rPr>
                <w:color w:val="000000"/>
                <w:sz w:val="20"/>
                <w:szCs w:val="20"/>
              </w:rPr>
              <w:t>15</w:t>
            </w:r>
          </w:p>
        </w:tc>
        <w:tc>
          <w:tcPr>
            <w:tcW w:w="1699" w:type="dxa"/>
            <w:vMerge/>
            <w:tcBorders>
              <w:right w:val="single" w:sz="18" w:space="0" w:color="FBD4B4" w:themeColor="accent6" w:themeTint="66"/>
            </w:tcBorders>
          </w:tcPr>
          <w:p w14:paraId="3C973454" w14:textId="2E15BFFD"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40372C" w:rsidRPr="007A53AB" w14:paraId="3DF7CE67" w14:textId="77777777" w:rsidTr="00B95410">
        <w:trPr>
          <w:trHeight w:val="284"/>
          <w:jc w:val="center"/>
        </w:trPr>
        <w:tc>
          <w:tcPr>
            <w:cnfStyle w:val="001000000000" w:firstRow="0" w:lastRow="0" w:firstColumn="1" w:lastColumn="0" w:oddVBand="0" w:evenVBand="0" w:oddHBand="0" w:evenHBand="0" w:firstRowFirstColumn="0" w:firstRowLastColumn="0" w:lastRowFirstColumn="0" w:lastRowLastColumn="0"/>
            <w:tcW w:w="2084" w:type="dxa"/>
            <w:tcBorders>
              <w:left w:val="single" w:sz="18" w:space="0" w:color="FBD4B4" w:themeColor="accent6" w:themeTint="66"/>
            </w:tcBorders>
          </w:tcPr>
          <w:p w14:paraId="387BCB18" w14:textId="77777777" w:rsidR="0040372C" w:rsidRPr="007A53AB" w:rsidRDefault="0040372C" w:rsidP="00CE62F9">
            <w:pPr>
              <w:jc w:val="both"/>
              <w:rPr>
                <w:b w:val="0"/>
                <w:color w:val="000000"/>
                <w:sz w:val="20"/>
                <w:szCs w:val="20"/>
              </w:rPr>
            </w:pPr>
            <w:r w:rsidRPr="007A53AB">
              <w:rPr>
                <w:b w:val="0"/>
                <w:color w:val="000000"/>
                <w:sz w:val="20"/>
                <w:szCs w:val="20"/>
              </w:rPr>
              <w:t>E 6</w:t>
            </w:r>
          </w:p>
        </w:tc>
        <w:tc>
          <w:tcPr>
            <w:tcW w:w="1836" w:type="dxa"/>
            <w:vMerge/>
          </w:tcPr>
          <w:p w14:paraId="002B3ADA"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1177" w:type="dxa"/>
            <w:vMerge/>
          </w:tcPr>
          <w:p w14:paraId="157D7C96"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801" w:type="dxa"/>
          </w:tcPr>
          <w:p w14:paraId="0A215399"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7A53AB">
              <w:rPr>
                <w:color w:val="000000"/>
                <w:sz w:val="20"/>
                <w:szCs w:val="20"/>
              </w:rPr>
              <w:t>8</w:t>
            </w:r>
          </w:p>
        </w:tc>
        <w:tc>
          <w:tcPr>
            <w:tcW w:w="1699" w:type="dxa"/>
            <w:vMerge/>
            <w:tcBorders>
              <w:right w:val="single" w:sz="18" w:space="0" w:color="FBD4B4" w:themeColor="accent6" w:themeTint="66"/>
            </w:tcBorders>
          </w:tcPr>
          <w:p w14:paraId="3B90D2E7" w14:textId="12023743"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40372C" w:rsidRPr="007A53AB" w14:paraId="3C43CEFC" w14:textId="77777777" w:rsidTr="00B95410">
        <w:trPr>
          <w:trHeight w:val="268"/>
          <w:jc w:val="center"/>
        </w:trPr>
        <w:tc>
          <w:tcPr>
            <w:cnfStyle w:val="001000000000" w:firstRow="0" w:lastRow="0" w:firstColumn="1" w:lastColumn="0" w:oddVBand="0" w:evenVBand="0" w:oddHBand="0" w:evenHBand="0" w:firstRowFirstColumn="0" w:firstRowLastColumn="0" w:lastRowFirstColumn="0" w:lastRowLastColumn="0"/>
            <w:tcW w:w="2084" w:type="dxa"/>
            <w:tcBorders>
              <w:left w:val="single" w:sz="18" w:space="0" w:color="FBD4B4" w:themeColor="accent6" w:themeTint="66"/>
            </w:tcBorders>
          </w:tcPr>
          <w:p w14:paraId="66B61357" w14:textId="77777777" w:rsidR="0040372C" w:rsidRPr="007A53AB" w:rsidRDefault="0040372C" w:rsidP="00CE62F9">
            <w:pPr>
              <w:jc w:val="both"/>
              <w:rPr>
                <w:b w:val="0"/>
                <w:color w:val="000000"/>
                <w:sz w:val="20"/>
                <w:szCs w:val="20"/>
              </w:rPr>
            </w:pPr>
            <w:r w:rsidRPr="007A53AB">
              <w:rPr>
                <w:b w:val="0"/>
                <w:color w:val="000000"/>
                <w:sz w:val="20"/>
                <w:szCs w:val="20"/>
              </w:rPr>
              <w:t>E 7</w:t>
            </w:r>
          </w:p>
        </w:tc>
        <w:tc>
          <w:tcPr>
            <w:tcW w:w="1836" w:type="dxa"/>
            <w:vMerge/>
          </w:tcPr>
          <w:p w14:paraId="7210ED35"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1177" w:type="dxa"/>
            <w:vMerge/>
          </w:tcPr>
          <w:p w14:paraId="0E690D15"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801" w:type="dxa"/>
          </w:tcPr>
          <w:p w14:paraId="6F2797A6"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7A53AB">
              <w:rPr>
                <w:color w:val="000000"/>
                <w:sz w:val="20"/>
                <w:szCs w:val="20"/>
              </w:rPr>
              <w:t>9</w:t>
            </w:r>
          </w:p>
        </w:tc>
        <w:tc>
          <w:tcPr>
            <w:tcW w:w="1699" w:type="dxa"/>
            <w:vMerge/>
            <w:tcBorders>
              <w:right w:val="single" w:sz="18" w:space="0" w:color="FBD4B4" w:themeColor="accent6" w:themeTint="66"/>
            </w:tcBorders>
          </w:tcPr>
          <w:p w14:paraId="5CF19DE9" w14:textId="5982AB69"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40372C" w:rsidRPr="007A53AB" w14:paraId="5474BC50" w14:textId="77777777" w:rsidTr="00B95410">
        <w:trPr>
          <w:trHeight w:val="284"/>
          <w:jc w:val="center"/>
        </w:trPr>
        <w:tc>
          <w:tcPr>
            <w:cnfStyle w:val="001000000000" w:firstRow="0" w:lastRow="0" w:firstColumn="1" w:lastColumn="0" w:oddVBand="0" w:evenVBand="0" w:oddHBand="0" w:evenHBand="0" w:firstRowFirstColumn="0" w:firstRowLastColumn="0" w:lastRowFirstColumn="0" w:lastRowLastColumn="0"/>
            <w:tcW w:w="2084" w:type="dxa"/>
            <w:tcBorders>
              <w:left w:val="single" w:sz="18" w:space="0" w:color="FBD4B4" w:themeColor="accent6" w:themeTint="66"/>
            </w:tcBorders>
          </w:tcPr>
          <w:p w14:paraId="10685D23" w14:textId="77777777" w:rsidR="0040372C" w:rsidRPr="007A53AB" w:rsidRDefault="0040372C" w:rsidP="00CE62F9">
            <w:pPr>
              <w:jc w:val="both"/>
              <w:rPr>
                <w:b w:val="0"/>
                <w:color w:val="000000"/>
                <w:sz w:val="20"/>
                <w:szCs w:val="20"/>
              </w:rPr>
            </w:pPr>
            <w:r w:rsidRPr="007A53AB">
              <w:rPr>
                <w:b w:val="0"/>
                <w:color w:val="000000"/>
                <w:sz w:val="20"/>
                <w:szCs w:val="20"/>
              </w:rPr>
              <w:t>E 8</w:t>
            </w:r>
          </w:p>
        </w:tc>
        <w:tc>
          <w:tcPr>
            <w:tcW w:w="1836" w:type="dxa"/>
            <w:vMerge/>
          </w:tcPr>
          <w:p w14:paraId="0EC9B50D"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1177" w:type="dxa"/>
            <w:vMerge/>
          </w:tcPr>
          <w:p w14:paraId="6B336313"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801" w:type="dxa"/>
          </w:tcPr>
          <w:p w14:paraId="2D6CC850"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7A53AB">
              <w:rPr>
                <w:color w:val="000000"/>
                <w:sz w:val="20"/>
                <w:szCs w:val="20"/>
              </w:rPr>
              <w:t>6</w:t>
            </w:r>
          </w:p>
        </w:tc>
        <w:tc>
          <w:tcPr>
            <w:tcW w:w="1699" w:type="dxa"/>
            <w:vMerge/>
            <w:tcBorders>
              <w:right w:val="single" w:sz="18" w:space="0" w:color="FBD4B4" w:themeColor="accent6" w:themeTint="66"/>
            </w:tcBorders>
          </w:tcPr>
          <w:p w14:paraId="414D7B01" w14:textId="363BC48B"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40372C" w:rsidRPr="007A53AB" w14:paraId="52C5BF6E" w14:textId="77777777" w:rsidTr="00B95410">
        <w:trPr>
          <w:trHeight w:val="268"/>
          <w:jc w:val="center"/>
        </w:trPr>
        <w:tc>
          <w:tcPr>
            <w:cnfStyle w:val="001000000000" w:firstRow="0" w:lastRow="0" w:firstColumn="1" w:lastColumn="0" w:oddVBand="0" w:evenVBand="0" w:oddHBand="0" w:evenHBand="0" w:firstRowFirstColumn="0" w:firstRowLastColumn="0" w:lastRowFirstColumn="0" w:lastRowLastColumn="0"/>
            <w:tcW w:w="2084" w:type="dxa"/>
            <w:tcBorders>
              <w:left w:val="single" w:sz="18" w:space="0" w:color="FBD4B4" w:themeColor="accent6" w:themeTint="66"/>
            </w:tcBorders>
          </w:tcPr>
          <w:p w14:paraId="1D6938EF" w14:textId="77777777" w:rsidR="0040372C" w:rsidRPr="007A53AB" w:rsidRDefault="0040372C" w:rsidP="00CE62F9">
            <w:pPr>
              <w:jc w:val="both"/>
              <w:rPr>
                <w:b w:val="0"/>
                <w:color w:val="000000"/>
                <w:sz w:val="20"/>
                <w:szCs w:val="20"/>
              </w:rPr>
            </w:pPr>
            <w:r w:rsidRPr="007A53AB">
              <w:rPr>
                <w:b w:val="0"/>
                <w:color w:val="000000"/>
                <w:sz w:val="20"/>
                <w:szCs w:val="20"/>
              </w:rPr>
              <w:t>E 9</w:t>
            </w:r>
          </w:p>
        </w:tc>
        <w:tc>
          <w:tcPr>
            <w:tcW w:w="1836" w:type="dxa"/>
            <w:vMerge/>
          </w:tcPr>
          <w:p w14:paraId="68B9E391"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1177" w:type="dxa"/>
            <w:vMerge/>
          </w:tcPr>
          <w:p w14:paraId="3E5C1B1A"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801" w:type="dxa"/>
          </w:tcPr>
          <w:p w14:paraId="6E887DB9"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7A53AB">
              <w:rPr>
                <w:color w:val="000000"/>
                <w:sz w:val="20"/>
                <w:szCs w:val="20"/>
              </w:rPr>
              <w:t>16</w:t>
            </w:r>
          </w:p>
        </w:tc>
        <w:tc>
          <w:tcPr>
            <w:tcW w:w="1699" w:type="dxa"/>
            <w:vMerge/>
            <w:tcBorders>
              <w:right w:val="single" w:sz="18" w:space="0" w:color="FBD4B4" w:themeColor="accent6" w:themeTint="66"/>
            </w:tcBorders>
          </w:tcPr>
          <w:p w14:paraId="054C14C7" w14:textId="53ABBA2A"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40372C" w:rsidRPr="007A53AB" w14:paraId="6B3D372B" w14:textId="77777777" w:rsidTr="00B95410">
        <w:trPr>
          <w:trHeight w:val="162"/>
          <w:jc w:val="center"/>
        </w:trPr>
        <w:tc>
          <w:tcPr>
            <w:cnfStyle w:val="001000000000" w:firstRow="0" w:lastRow="0" w:firstColumn="1" w:lastColumn="0" w:oddVBand="0" w:evenVBand="0" w:oddHBand="0" w:evenHBand="0" w:firstRowFirstColumn="0" w:firstRowLastColumn="0" w:lastRowFirstColumn="0" w:lastRowLastColumn="0"/>
            <w:tcW w:w="2084" w:type="dxa"/>
            <w:tcBorders>
              <w:left w:val="single" w:sz="18" w:space="0" w:color="FBD4B4" w:themeColor="accent6" w:themeTint="66"/>
              <w:bottom w:val="single" w:sz="18" w:space="0" w:color="FBD4B4" w:themeColor="accent6" w:themeTint="66"/>
            </w:tcBorders>
          </w:tcPr>
          <w:p w14:paraId="074DAE17" w14:textId="77777777" w:rsidR="0040372C" w:rsidRPr="007A53AB" w:rsidRDefault="0040372C" w:rsidP="00CE62F9">
            <w:pPr>
              <w:jc w:val="both"/>
              <w:rPr>
                <w:b w:val="0"/>
                <w:color w:val="000000"/>
                <w:sz w:val="20"/>
                <w:szCs w:val="20"/>
              </w:rPr>
            </w:pPr>
            <w:r w:rsidRPr="007A53AB">
              <w:rPr>
                <w:b w:val="0"/>
                <w:color w:val="000000"/>
                <w:sz w:val="20"/>
                <w:szCs w:val="20"/>
              </w:rPr>
              <w:t>E 10</w:t>
            </w:r>
          </w:p>
        </w:tc>
        <w:tc>
          <w:tcPr>
            <w:tcW w:w="1836" w:type="dxa"/>
            <w:vMerge/>
            <w:tcBorders>
              <w:bottom w:val="single" w:sz="18" w:space="0" w:color="FBD4B4" w:themeColor="accent6" w:themeTint="66"/>
            </w:tcBorders>
          </w:tcPr>
          <w:p w14:paraId="4A1C54A3"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1177" w:type="dxa"/>
            <w:vMerge/>
            <w:tcBorders>
              <w:bottom w:val="single" w:sz="18" w:space="0" w:color="FBD4B4" w:themeColor="accent6" w:themeTint="66"/>
            </w:tcBorders>
          </w:tcPr>
          <w:p w14:paraId="3BE7D877" w14:textId="77777777"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801" w:type="dxa"/>
            <w:tcBorders>
              <w:bottom w:val="single" w:sz="18" w:space="0" w:color="FBD4B4" w:themeColor="accent6" w:themeTint="66"/>
            </w:tcBorders>
          </w:tcPr>
          <w:p w14:paraId="4868329C" w14:textId="2F71175B"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7A53AB">
              <w:rPr>
                <w:color w:val="000000"/>
                <w:sz w:val="20"/>
                <w:szCs w:val="20"/>
              </w:rPr>
              <w:t>N</w:t>
            </w:r>
            <w:r w:rsidR="002875D3">
              <w:rPr>
                <w:color w:val="000000"/>
                <w:sz w:val="20"/>
                <w:szCs w:val="20"/>
              </w:rPr>
              <w:t>o informa (NI)</w:t>
            </w:r>
          </w:p>
        </w:tc>
        <w:tc>
          <w:tcPr>
            <w:tcW w:w="1699" w:type="dxa"/>
            <w:vMerge/>
            <w:tcBorders>
              <w:bottom w:val="single" w:sz="18" w:space="0" w:color="FBD4B4" w:themeColor="accent6" w:themeTint="66"/>
              <w:right w:val="single" w:sz="18" w:space="0" w:color="FBD4B4" w:themeColor="accent6" w:themeTint="66"/>
            </w:tcBorders>
          </w:tcPr>
          <w:p w14:paraId="606A5B4B" w14:textId="5824931C" w:rsidR="0040372C" w:rsidRPr="007A53AB" w:rsidRDefault="0040372C" w:rsidP="00CE62F9">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973D33" w:rsidRPr="007A53AB" w14:paraId="5784F949" w14:textId="77777777" w:rsidTr="00B95410">
        <w:trPr>
          <w:trHeight w:val="284"/>
          <w:jc w:val="center"/>
        </w:trPr>
        <w:tc>
          <w:tcPr>
            <w:cnfStyle w:val="001000000000" w:firstRow="0" w:lastRow="0" w:firstColumn="1" w:lastColumn="0" w:oddVBand="0" w:evenVBand="0" w:oddHBand="0" w:evenHBand="0" w:firstRowFirstColumn="0" w:firstRowLastColumn="0" w:lastRowFirstColumn="0" w:lastRowLastColumn="0"/>
            <w:tcW w:w="5097" w:type="dxa"/>
            <w:gridSpan w:val="3"/>
            <w:tcBorders>
              <w:top w:val="single" w:sz="18" w:space="0" w:color="FBD4B4" w:themeColor="accent6" w:themeTint="66"/>
              <w:left w:val="single" w:sz="18" w:space="0" w:color="FBD4B4" w:themeColor="accent6" w:themeTint="66"/>
              <w:bottom w:val="single" w:sz="18" w:space="0" w:color="FBD4B4" w:themeColor="accent6" w:themeTint="66"/>
            </w:tcBorders>
          </w:tcPr>
          <w:p w14:paraId="223F694C" w14:textId="40F34646" w:rsidR="00973D33" w:rsidRPr="007A53AB" w:rsidRDefault="00973D33" w:rsidP="00CE62F9">
            <w:pPr>
              <w:jc w:val="right"/>
              <w:rPr>
                <w:b w:val="0"/>
                <w:sz w:val="20"/>
                <w:szCs w:val="20"/>
              </w:rPr>
            </w:pPr>
            <w:r w:rsidRPr="007A53AB">
              <w:rPr>
                <w:b w:val="0"/>
                <w:color w:val="000000"/>
                <w:sz w:val="20"/>
                <w:szCs w:val="20"/>
              </w:rPr>
              <w:t>Promedio</w:t>
            </w:r>
          </w:p>
        </w:tc>
        <w:tc>
          <w:tcPr>
            <w:tcW w:w="1801" w:type="dxa"/>
            <w:tcBorders>
              <w:top w:val="single" w:sz="18" w:space="0" w:color="FBD4B4" w:themeColor="accent6" w:themeTint="66"/>
              <w:bottom w:val="single" w:sz="18" w:space="0" w:color="FBD4B4" w:themeColor="accent6" w:themeTint="66"/>
            </w:tcBorders>
          </w:tcPr>
          <w:p w14:paraId="75B75AE1" w14:textId="205AED75" w:rsidR="00973D33" w:rsidRPr="007A53AB" w:rsidRDefault="00973D33" w:rsidP="00CE62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7A53AB">
              <w:rPr>
                <w:color w:val="000000"/>
                <w:sz w:val="20"/>
                <w:szCs w:val="20"/>
              </w:rPr>
              <w:t>13,7</w:t>
            </w:r>
          </w:p>
        </w:tc>
        <w:tc>
          <w:tcPr>
            <w:tcW w:w="1699" w:type="dxa"/>
            <w:tcBorders>
              <w:top w:val="single" w:sz="18" w:space="0" w:color="FBD4B4" w:themeColor="accent6" w:themeTint="66"/>
              <w:bottom w:val="single" w:sz="18" w:space="0" w:color="FBD4B4" w:themeColor="accent6" w:themeTint="66"/>
              <w:right w:val="single" w:sz="18" w:space="0" w:color="FBD4B4" w:themeColor="accent6" w:themeTint="66"/>
            </w:tcBorders>
          </w:tcPr>
          <w:p w14:paraId="16265484" w14:textId="614C0063" w:rsidR="00973D33" w:rsidRPr="007A53AB" w:rsidRDefault="00973D33" w:rsidP="00CE62F9">
            <w:pPr>
              <w:jc w:val="center"/>
              <w:cnfStyle w:val="000000000000" w:firstRow="0" w:lastRow="0" w:firstColumn="0" w:lastColumn="0" w:oddVBand="0" w:evenVBand="0" w:oddHBand="0" w:evenHBand="0" w:firstRowFirstColumn="0" w:firstRowLastColumn="0" w:lastRowFirstColumn="0" w:lastRowLastColumn="0"/>
              <w:rPr>
                <w:sz w:val="20"/>
                <w:szCs w:val="20"/>
              </w:rPr>
            </w:pPr>
            <w:r w:rsidRPr="007A53AB">
              <w:rPr>
                <w:sz w:val="20"/>
                <w:szCs w:val="20"/>
              </w:rPr>
              <w:t>Si</w:t>
            </w:r>
          </w:p>
        </w:tc>
      </w:tr>
    </w:tbl>
    <w:p w14:paraId="6F68A1F8" w14:textId="201E0B3D" w:rsidR="00245123" w:rsidRPr="007A53AB" w:rsidRDefault="00A969EF" w:rsidP="009D6C1D">
      <w:pPr>
        <w:pStyle w:val="Encabezado"/>
        <w:rPr>
          <w:sz w:val="28"/>
          <w:lang w:eastAsia="es-CL"/>
        </w:rPr>
      </w:pPr>
      <w:r w:rsidRPr="007A53AB">
        <w:rPr>
          <w:b/>
          <w:color w:val="auto"/>
          <w:sz w:val="24"/>
          <w:lang w:eastAsia="es-CL"/>
        </w:rPr>
        <w:t>Tabla</w:t>
      </w:r>
      <w:r w:rsidR="006420E2" w:rsidRPr="007A53AB">
        <w:rPr>
          <w:b/>
          <w:color w:val="auto"/>
          <w:sz w:val="24"/>
          <w:lang w:eastAsia="es-CL"/>
        </w:rPr>
        <w:t xml:space="preserve"> 1. </w:t>
      </w:r>
      <w:r w:rsidR="006420E2" w:rsidRPr="007A53AB">
        <w:rPr>
          <w:color w:val="auto"/>
          <w:sz w:val="24"/>
          <w:lang w:eastAsia="es-CL"/>
        </w:rPr>
        <w:t>Clasificación de las plantas de proceso diagnosticadas.</w:t>
      </w:r>
    </w:p>
    <w:p w14:paraId="28F1534E" w14:textId="77777777" w:rsidR="006420E2" w:rsidRPr="007A53AB" w:rsidRDefault="006420E2" w:rsidP="00CE62F9">
      <w:pPr>
        <w:pStyle w:val="Encabezado"/>
        <w:spacing w:before="240"/>
        <w:rPr>
          <w:sz w:val="28"/>
          <w:lang w:eastAsia="es-CL"/>
        </w:rPr>
      </w:pPr>
    </w:p>
    <w:p w14:paraId="240C059F" w14:textId="77777777" w:rsidR="006420E2" w:rsidRPr="007A53AB" w:rsidRDefault="006420E2" w:rsidP="00CE62F9">
      <w:pPr>
        <w:pStyle w:val="Encabezado"/>
        <w:spacing w:before="240"/>
        <w:rPr>
          <w:sz w:val="28"/>
          <w:lang w:eastAsia="es-CL"/>
        </w:rPr>
      </w:pPr>
    </w:p>
    <w:p w14:paraId="7C406678" w14:textId="77777777" w:rsidR="006420E2" w:rsidRPr="007A53AB" w:rsidRDefault="006420E2" w:rsidP="00CE62F9">
      <w:pPr>
        <w:pStyle w:val="Encabezado"/>
        <w:spacing w:before="240"/>
        <w:rPr>
          <w:sz w:val="28"/>
          <w:lang w:eastAsia="es-CL"/>
        </w:rPr>
      </w:pPr>
    </w:p>
    <w:p w14:paraId="6AE79136" w14:textId="3FB8552C" w:rsidR="00C904B1" w:rsidRDefault="00C904B1" w:rsidP="00CE62F9">
      <w:pPr>
        <w:pStyle w:val="Encabezado"/>
        <w:spacing w:before="240"/>
        <w:jc w:val="both"/>
        <w:rPr>
          <w:color w:val="auto"/>
          <w:sz w:val="24"/>
          <w:lang w:eastAsia="es-CL"/>
        </w:rPr>
      </w:pPr>
      <w:r w:rsidRPr="00492C3A">
        <w:rPr>
          <w:color w:val="auto"/>
          <w:sz w:val="24"/>
          <w:lang w:eastAsia="es-CL"/>
        </w:rPr>
        <w:t>Es importante de</w:t>
      </w:r>
      <w:r w:rsidR="003726B8" w:rsidRPr="00492C3A">
        <w:rPr>
          <w:color w:val="auto"/>
          <w:sz w:val="24"/>
          <w:lang w:eastAsia="es-CL"/>
        </w:rPr>
        <w:t>s</w:t>
      </w:r>
      <w:r w:rsidRPr="00492C3A">
        <w:rPr>
          <w:color w:val="auto"/>
          <w:sz w:val="24"/>
          <w:lang w:eastAsia="es-CL"/>
        </w:rPr>
        <w:t xml:space="preserve">tacar que todas las estimaciones fueron desarrolladas considerando un año de producción, y la </w:t>
      </w:r>
      <w:r w:rsidR="00535766" w:rsidRPr="00492C3A">
        <w:rPr>
          <w:color w:val="auto"/>
          <w:sz w:val="24"/>
          <w:lang w:eastAsia="es-CL"/>
        </w:rPr>
        <w:t>información</w:t>
      </w:r>
      <w:r w:rsidRPr="00492C3A">
        <w:rPr>
          <w:color w:val="auto"/>
          <w:sz w:val="24"/>
          <w:lang w:eastAsia="es-CL"/>
        </w:rPr>
        <w:t xml:space="preserve"> descrita en este documento corresponde a la descripción productiva del año 2015. </w:t>
      </w:r>
    </w:p>
    <w:p w14:paraId="5094C57F" w14:textId="77777777" w:rsidR="00CE7C87" w:rsidRPr="00492C3A" w:rsidRDefault="00CE7C87" w:rsidP="00CE62F9">
      <w:pPr>
        <w:pStyle w:val="Encabezado"/>
        <w:spacing w:before="240"/>
        <w:jc w:val="both"/>
        <w:rPr>
          <w:color w:val="auto"/>
          <w:sz w:val="24"/>
          <w:lang w:eastAsia="es-CL"/>
        </w:rPr>
      </w:pPr>
    </w:p>
    <w:p w14:paraId="574D8DAF" w14:textId="19625453" w:rsidR="002A3919" w:rsidRPr="00ED26C2" w:rsidRDefault="002A3919" w:rsidP="00343562">
      <w:pPr>
        <w:pStyle w:val="Ttulo2"/>
        <w:rPr>
          <w:b w:val="0"/>
          <w:sz w:val="32"/>
          <w:szCs w:val="32"/>
          <w:lang w:eastAsia="es-CL"/>
        </w:rPr>
      </w:pPr>
      <w:bookmarkStart w:id="4" w:name="_Toc471999515"/>
      <w:r w:rsidRPr="00ED26C2">
        <w:rPr>
          <w:b w:val="0"/>
          <w:sz w:val="32"/>
          <w:szCs w:val="32"/>
          <w:lang w:eastAsia="es-CL"/>
        </w:rPr>
        <w:lastRenderedPageBreak/>
        <w:t>Representatividad de la m</w:t>
      </w:r>
      <w:r w:rsidR="00846AD9" w:rsidRPr="00ED26C2">
        <w:rPr>
          <w:b w:val="0"/>
          <w:sz w:val="32"/>
          <w:szCs w:val="32"/>
          <w:lang w:eastAsia="es-CL"/>
        </w:rPr>
        <w:t>uestra e información general de las empresas</w:t>
      </w:r>
      <w:bookmarkEnd w:id="4"/>
    </w:p>
    <w:p w14:paraId="554159E6" w14:textId="31C819A0" w:rsidR="002A3919" w:rsidRPr="007A53AB" w:rsidRDefault="002A3919" w:rsidP="00CE62F9">
      <w:pPr>
        <w:pStyle w:val="Encabezado"/>
        <w:tabs>
          <w:tab w:val="clear" w:pos="4252"/>
        </w:tabs>
        <w:spacing w:before="240" w:line="276" w:lineRule="auto"/>
        <w:jc w:val="both"/>
        <w:rPr>
          <w:color w:val="auto"/>
          <w:sz w:val="24"/>
          <w:lang w:eastAsia="es-CL"/>
        </w:rPr>
      </w:pPr>
      <w:r w:rsidRPr="007A53AB">
        <w:rPr>
          <w:color w:val="auto"/>
          <w:sz w:val="24"/>
          <w:lang w:eastAsia="es-CL"/>
        </w:rPr>
        <w:t>La muestra encuestada representa un volumen total d</w:t>
      </w:r>
      <w:r w:rsidR="00E044C8">
        <w:rPr>
          <w:color w:val="auto"/>
          <w:sz w:val="24"/>
          <w:lang w:eastAsia="es-CL"/>
        </w:rPr>
        <w:t>e materia prima procesada de 17</w:t>
      </w:r>
      <w:r w:rsidR="001E0FD7">
        <w:rPr>
          <w:color w:val="auto"/>
          <w:sz w:val="24"/>
          <w:lang w:eastAsia="es-CL"/>
        </w:rPr>
        <w:t>1.819</w:t>
      </w:r>
      <w:r w:rsidR="00245123" w:rsidRPr="007A53AB">
        <w:rPr>
          <w:color w:val="auto"/>
          <w:sz w:val="24"/>
          <w:lang w:eastAsia="es-CL"/>
        </w:rPr>
        <w:t xml:space="preserve"> </w:t>
      </w:r>
      <w:r w:rsidR="00E044C8">
        <w:rPr>
          <w:color w:val="auto"/>
          <w:sz w:val="24"/>
          <w:lang w:eastAsia="es-CL"/>
        </w:rPr>
        <w:t xml:space="preserve">toneladas </w:t>
      </w:r>
      <w:r w:rsidR="00245123" w:rsidRPr="007A53AB">
        <w:rPr>
          <w:color w:val="auto"/>
          <w:sz w:val="24"/>
          <w:lang w:eastAsia="es-CL"/>
        </w:rPr>
        <w:t>(Ton)</w:t>
      </w:r>
      <w:r w:rsidRPr="007A53AB">
        <w:rPr>
          <w:color w:val="auto"/>
          <w:sz w:val="24"/>
          <w:lang w:eastAsia="es-CL"/>
        </w:rPr>
        <w:t xml:space="preserve"> en 2015, </w:t>
      </w:r>
      <w:r w:rsidR="00E044C8">
        <w:rPr>
          <w:color w:val="auto"/>
          <w:sz w:val="24"/>
          <w:lang w:eastAsia="es-CL"/>
        </w:rPr>
        <w:t>lo cual equivale al 60</w:t>
      </w:r>
      <w:r w:rsidRPr="007A53AB">
        <w:rPr>
          <w:color w:val="auto"/>
          <w:sz w:val="24"/>
          <w:lang w:eastAsia="es-CL"/>
        </w:rPr>
        <w:t xml:space="preserve">% de las cosechas totales del </w:t>
      </w:r>
      <w:r w:rsidR="002875D3">
        <w:rPr>
          <w:color w:val="auto"/>
          <w:sz w:val="24"/>
          <w:lang w:eastAsia="es-CL"/>
        </w:rPr>
        <w:t>sector mitilicultor</w:t>
      </w:r>
      <w:r w:rsidR="00E044C8">
        <w:rPr>
          <w:color w:val="auto"/>
          <w:sz w:val="24"/>
          <w:lang w:eastAsia="es-CL"/>
        </w:rPr>
        <w:t xml:space="preserve">, considerando que la materia prima procesada fue de 286.000 toneladas (Ton). </w:t>
      </w:r>
      <w:r w:rsidR="006F5CEA">
        <w:rPr>
          <w:color w:val="auto"/>
          <w:sz w:val="24"/>
          <w:lang w:eastAsia="es-CL"/>
        </w:rPr>
        <w:t>Señalar también</w:t>
      </w:r>
      <w:r w:rsidR="002875D3">
        <w:rPr>
          <w:color w:val="auto"/>
          <w:sz w:val="24"/>
          <w:lang w:eastAsia="es-CL"/>
        </w:rPr>
        <w:t>,</w:t>
      </w:r>
      <w:r w:rsidR="006F5CEA">
        <w:rPr>
          <w:color w:val="auto"/>
          <w:sz w:val="24"/>
          <w:lang w:eastAsia="es-CL"/>
        </w:rPr>
        <w:t xml:space="preserve"> que el </w:t>
      </w:r>
      <w:r w:rsidR="00E044C8">
        <w:rPr>
          <w:color w:val="auto"/>
          <w:sz w:val="24"/>
          <w:lang w:eastAsia="es-CL"/>
        </w:rPr>
        <w:t xml:space="preserve"> promedio de materia prima</w:t>
      </w:r>
      <w:r w:rsidR="006F5CEA">
        <w:rPr>
          <w:color w:val="auto"/>
          <w:sz w:val="24"/>
          <w:lang w:eastAsia="es-CL"/>
        </w:rPr>
        <w:t xml:space="preserve"> por empresa fue de </w:t>
      </w:r>
      <w:r w:rsidR="00DC4E06" w:rsidRPr="007A53AB">
        <w:rPr>
          <w:color w:val="auto"/>
          <w:sz w:val="24"/>
          <w:lang w:eastAsia="es-CL"/>
        </w:rPr>
        <w:t>19</w:t>
      </w:r>
      <w:r w:rsidR="00E044C8">
        <w:rPr>
          <w:color w:val="auto"/>
          <w:sz w:val="24"/>
          <w:lang w:eastAsia="es-CL"/>
        </w:rPr>
        <w:t>.</w:t>
      </w:r>
      <w:r w:rsidR="00B05B0C">
        <w:rPr>
          <w:color w:val="auto"/>
          <w:sz w:val="24"/>
          <w:lang w:eastAsia="es-CL"/>
        </w:rPr>
        <w:t xml:space="preserve">091 </w:t>
      </w:r>
      <w:r w:rsidR="00E044C8">
        <w:rPr>
          <w:color w:val="auto"/>
          <w:sz w:val="24"/>
          <w:lang w:eastAsia="es-CL"/>
        </w:rPr>
        <w:t>toneladas (</w:t>
      </w:r>
      <w:r w:rsidR="00DC4E06" w:rsidRPr="007A53AB">
        <w:rPr>
          <w:color w:val="auto"/>
          <w:sz w:val="24"/>
          <w:lang w:eastAsia="es-CL"/>
        </w:rPr>
        <w:t>Ton</w:t>
      </w:r>
      <w:r w:rsidR="00E044C8">
        <w:rPr>
          <w:color w:val="auto"/>
          <w:sz w:val="24"/>
          <w:lang w:eastAsia="es-CL"/>
        </w:rPr>
        <w:t>)</w:t>
      </w:r>
      <w:r w:rsidR="002875D3">
        <w:rPr>
          <w:color w:val="auto"/>
          <w:sz w:val="24"/>
          <w:lang w:eastAsia="es-CL"/>
        </w:rPr>
        <w:t xml:space="preserve">, la </w:t>
      </w:r>
      <w:r w:rsidR="006F5CEA">
        <w:rPr>
          <w:color w:val="auto"/>
          <w:sz w:val="24"/>
          <w:lang w:eastAsia="es-CL"/>
        </w:rPr>
        <w:t>cual</w:t>
      </w:r>
      <w:r w:rsidR="002875D3">
        <w:rPr>
          <w:color w:val="auto"/>
          <w:sz w:val="24"/>
          <w:lang w:eastAsia="es-CL"/>
        </w:rPr>
        <w:t xml:space="preserve"> permitió </w:t>
      </w:r>
      <w:r w:rsidR="006F5CEA">
        <w:rPr>
          <w:color w:val="auto"/>
          <w:sz w:val="24"/>
          <w:lang w:eastAsia="es-CL"/>
        </w:rPr>
        <w:t>elabor</w:t>
      </w:r>
      <w:r w:rsidR="002875D3">
        <w:rPr>
          <w:color w:val="auto"/>
          <w:sz w:val="24"/>
          <w:lang w:eastAsia="es-CL"/>
        </w:rPr>
        <w:t>ar</w:t>
      </w:r>
      <w:r w:rsidR="006F4E1E">
        <w:rPr>
          <w:color w:val="auto"/>
          <w:sz w:val="24"/>
          <w:lang w:eastAsia="es-CL"/>
        </w:rPr>
        <w:t xml:space="preserve"> </w:t>
      </w:r>
      <w:r w:rsidR="006F5CEA">
        <w:rPr>
          <w:color w:val="auto"/>
          <w:sz w:val="24"/>
          <w:lang w:eastAsia="es-CL"/>
        </w:rPr>
        <w:t>5.6</w:t>
      </w:r>
      <w:r w:rsidR="00B05B0C">
        <w:rPr>
          <w:color w:val="auto"/>
          <w:sz w:val="24"/>
          <w:lang w:eastAsia="es-CL"/>
        </w:rPr>
        <w:t>34</w:t>
      </w:r>
      <w:r w:rsidR="006F5CEA">
        <w:rPr>
          <w:color w:val="auto"/>
          <w:sz w:val="24"/>
          <w:lang w:eastAsia="es-CL"/>
        </w:rPr>
        <w:t xml:space="preserve"> toneladas (</w:t>
      </w:r>
      <w:r w:rsidR="006F4E1E">
        <w:rPr>
          <w:color w:val="auto"/>
          <w:sz w:val="24"/>
          <w:lang w:eastAsia="es-CL"/>
        </w:rPr>
        <w:t>Ton</w:t>
      </w:r>
      <w:r w:rsidR="006F5CEA">
        <w:rPr>
          <w:color w:val="auto"/>
          <w:sz w:val="24"/>
          <w:lang w:eastAsia="es-CL"/>
        </w:rPr>
        <w:t>)</w:t>
      </w:r>
      <w:r w:rsidR="006F4E1E">
        <w:rPr>
          <w:color w:val="auto"/>
          <w:sz w:val="24"/>
          <w:lang w:eastAsia="es-CL"/>
        </w:rPr>
        <w:t xml:space="preserve"> de producto final</w:t>
      </w:r>
      <w:r w:rsidR="00153640">
        <w:rPr>
          <w:color w:val="auto"/>
          <w:sz w:val="24"/>
          <w:lang w:eastAsia="es-CL"/>
        </w:rPr>
        <w:t xml:space="preserve"> </w:t>
      </w:r>
      <w:r w:rsidR="009E3E4C" w:rsidRPr="007A53AB">
        <w:rPr>
          <w:color w:val="auto"/>
          <w:sz w:val="24"/>
          <w:lang w:eastAsia="es-CL"/>
        </w:rPr>
        <w:t>(Figura 1)</w:t>
      </w:r>
      <w:r w:rsidR="00DC4E06" w:rsidRPr="007A53AB">
        <w:rPr>
          <w:color w:val="auto"/>
          <w:sz w:val="24"/>
          <w:lang w:eastAsia="es-CL"/>
        </w:rPr>
        <w:t>.</w:t>
      </w:r>
    </w:p>
    <w:p w14:paraId="79DDE601" w14:textId="254AFE8D" w:rsidR="00F1166D" w:rsidRDefault="002875D3" w:rsidP="00CE62F9">
      <w:pPr>
        <w:pStyle w:val="Encabezado"/>
        <w:spacing w:before="240" w:line="276" w:lineRule="auto"/>
        <w:jc w:val="both"/>
        <w:rPr>
          <w:color w:val="auto"/>
          <w:sz w:val="24"/>
          <w:lang w:eastAsia="es-CL"/>
        </w:rPr>
      </w:pPr>
      <w:r>
        <w:rPr>
          <w:color w:val="auto"/>
          <w:sz w:val="24"/>
          <w:lang w:eastAsia="es-CL"/>
        </w:rPr>
        <w:t>Las estimaciones realizadas en el presente documento se efectuaron considerando  el volumen</w:t>
      </w:r>
      <w:r w:rsidR="0005272D">
        <w:rPr>
          <w:color w:val="auto"/>
          <w:sz w:val="24"/>
          <w:lang w:eastAsia="es-CL"/>
        </w:rPr>
        <w:t xml:space="preserve"> </w:t>
      </w:r>
      <w:r>
        <w:rPr>
          <w:color w:val="auto"/>
          <w:sz w:val="24"/>
          <w:lang w:eastAsia="es-CL"/>
        </w:rPr>
        <w:t xml:space="preserve">total de </w:t>
      </w:r>
      <w:r w:rsidR="00322EFC">
        <w:rPr>
          <w:color w:val="auto"/>
          <w:sz w:val="24"/>
          <w:lang w:eastAsia="es-CL"/>
        </w:rPr>
        <w:t xml:space="preserve">producto final </w:t>
      </w:r>
      <w:r w:rsidR="00DB70A0">
        <w:rPr>
          <w:color w:val="auto"/>
          <w:sz w:val="24"/>
          <w:lang w:eastAsia="es-CL"/>
        </w:rPr>
        <w:t>informado por las empresas</w:t>
      </w:r>
      <w:r>
        <w:rPr>
          <w:color w:val="auto"/>
          <w:sz w:val="24"/>
          <w:lang w:eastAsia="es-CL"/>
        </w:rPr>
        <w:t>. N</w:t>
      </w:r>
      <w:r w:rsidR="001E0FD7">
        <w:rPr>
          <w:color w:val="auto"/>
          <w:sz w:val="24"/>
          <w:lang w:eastAsia="es-CL"/>
        </w:rPr>
        <w:t>o</w:t>
      </w:r>
      <w:r>
        <w:rPr>
          <w:color w:val="auto"/>
          <w:sz w:val="24"/>
          <w:lang w:eastAsia="es-CL"/>
        </w:rPr>
        <w:t xml:space="preserve"> fue posible diferenciar volúmenes de producción por línea de producto</w:t>
      </w:r>
      <w:r w:rsidR="006F4E1E">
        <w:rPr>
          <w:color w:val="auto"/>
          <w:sz w:val="24"/>
          <w:lang w:eastAsia="es-CL"/>
        </w:rPr>
        <w:t xml:space="preserve">, </w:t>
      </w:r>
      <w:r>
        <w:rPr>
          <w:color w:val="auto"/>
          <w:sz w:val="24"/>
          <w:lang w:eastAsia="es-CL"/>
        </w:rPr>
        <w:t>puesto que la información no fue entregada por la mayoría de los entrevistados</w:t>
      </w:r>
      <w:r w:rsidR="001E0FD7">
        <w:rPr>
          <w:color w:val="auto"/>
          <w:sz w:val="24"/>
          <w:lang w:eastAsia="es-CL"/>
        </w:rPr>
        <w:t>. De és</w:t>
      </w:r>
      <w:r>
        <w:rPr>
          <w:color w:val="auto"/>
          <w:sz w:val="24"/>
          <w:lang w:eastAsia="es-CL"/>
        </w:rPr>
        <w:t xml:space="preserve">ta forma se calculó que la muestra elaboró </w:t>
      </w:r>
      <w:r w:rsidR="001E0FD7">
        <w:rPr>
          <w:color w:val="auto"/>
          <w:sz w:val="24"/>
          <w:lang w:eastAsia="es-CL"/>
        </w:rPr>
        <w:t>50.709</w:t>
      </w:r>
      <w:r w:rsidR="0057494A">
        <w:rPr>
          <w:color w:val="auto"/>
          <w:sz w:val="24"/>
          <w:lang w:eastAsia="es-CL"/>
        </w:rPr>
        <w:t xml:space="preserve"> toneladas</w:t>
      </w:r>
      <w:r w:rsidR="002A3919" w:rsidRPr="007A53AB">
        <w:rPr>
          <w:color w:val="auto"/>
          <w:sz w:val="24"/>
          <w:lang w:eastAsia="es-CL"/>
        </w:rPr>
        <w:t xml:space="preserve"> </w:t>
      </w:r>
      <w:r w:rsidR="0057494A">
        <w:rPr>
          <w:color w:val="auto"/>
          <w:sz w:val="24"/>
          <w:lang w:eastAsia="es-CL"/>
        </w:rPr>
        <w:t>(</w:t>
      </w:r>
      <w:r w:rsidR="002A3919" w:rsidRPr="007A53AB">
        <w:rPr>
          <w:color w:val="auto"/>
          <w:sz w:val="24"/>
          <w:lang w:eastAsia="es-CL"/>
        </w:rPr>
        <w:t>Ton</w:t>
      </w:r>
      <w:r w:rsidR="0057494A">
        <w:rPr>
          <w:color w:val="auto"/>
          <w:sz w:val="24"/>
          <w:lang w:eastAsia="es-CL"/>
        </w:rPr>
        <w:t>)</w:t>
      </w:r>
      <w:r>
        <w:rPr>
          <w:color w:val="auto"/>
          <w:sz w:val="24"/>
          <w:lang w:eastAsia="es-CL"/>
        </w:rPr>
        <w:t xml:space="preserve"> de producto final con un </w:t>
      </w:r>
      <w:r w:rsidR="001D3602">
        <w:rPr>
          <w:color w:val="auto"/>
          <w:sz w:val="24"/>
          <w:lang w:eastAsia="es-CL"/>
        </w:rPr>
        <w:t>rendimiento promedio del 30%</w:t>
      </w:r>
      <w:r w:rsidR="00040686">
        <w:rPr>
          <w:color w:val="auto"/>
          <w:sz w:val="24"/>
          <w:lang w:eastAsia="es-CL"/>
        </w:rPr>
        <w:t xml:space="preserve"> </w:t>
      </w:r>
      <w:r w:rsidR="00C95232">
        <w:rPr>
          <w:color w:val="auto"/>
          <w:sz w:val="24"/>
          <w:lang w:eastAsia="es-CL"/>
        </w:rPr>
        <w:t>(Figura 1).</w:t>
      </w:r>
    </w:p>
    <w:p w14:paraId="02D5F549" w14:textId="13C94CC7" w:rsidR="006420E2" w:rsidRPr="00153640" w:rsidRDefault="00515034" w:rsidP="00CE62F9">
      <w:pPr>
        <w:pStyle w:val="Encabezado"/>
        <w:spacing w:before="240"/>
        <w:jc w:val="both"/>
        <w:rPr>
          <w:color w:val="auto"/>
          <w:sz w:val="24"/>
          <w:lang w:eastAsia="es-CL"/>
        </w:rPr>
      </w:pPr>
      <w:r>
        <w:rPr>
          <w:noProof/>
          <w:lang w:val="es-CL" w:eastAsia="es-CL"/>
        </w:rPr>
        <w:drawing>
          <wp:inline distT="0" distB="0" distL="0" distR="0" wp14:anchorId="28169767" wp14:editId="05BB16B3">
            <wp:extent cx="2550582" cy="2168371"/>
            <wp:effectExtent l="0" t="0" r="21590" b="22860"/>
            <wp:docPr id="456" name="Gráfico 45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noProof/>
          <w:lang w:val="es-CL" w:eastAsia="es-CL"/>
        </w:rPr>
        <w:drawing>
          <wp:inline distT="0" distB="0" distL="0" distR="0" wp14:anchorId="7562810E" wp14:editId="5EFDE07C">
            <wp:extent cx="2550582" cy="2168371"/>
            <wp:effectExtent l="0" t="0" r="21590" b="22860"/>
            <wp:docPr id="457" name="Gráfico 45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153640">
        <w:rPr>
          <w:b/>
          <w:color w:val="auto"/>
          <w:sz w:val="24"/>
          <w:lang w:eastAsia="es-CL"/>
        </w:rPr>
        <w:t>F</w:t>
      </w:r>
      <w:r w:rsidR="006420E2" w:rsidRPr="007A53AB">
        <w:rPr>
          <w:b/>
          <w:color w:val="auto"/>
          <w:sz w:val="24"/>
          <w:lang w:eastAsia="es-CL"/>
        </w:rPr>
        <w:t xml:space="preserve">igura </w:t>
      </w:r>
      <w:r w:rsidR="00A969EF" w:rsidRPr="007A53AB">
        <w:rPr>
          <w:b/>
          <w:color w:val="auto"/>
          <w:sz w:val="24"/>
          <w:lang w:eastAsia="es-CL"/>
        </w:rPr>
        <w:t>1</w:t>
      </w:r>
      <w:r w:rsidR="006420E2" w:rsidRPr="007A53AB">
        <w:rPr>
          <w:color w:val="auto"/>
          <w:sz w:val="24"/>
          <w:lang w:eastAsia="es-CL"/>
        </w:rPr>
        <w:t>. Representatividad de la muestra encuestada</w:t>
      </w:r>
    </w:p>
    <w:p w14:paraId="18C799A0" w14:textId="77777777" w:rsidR="00A73E47" w:rsidRPr="00ED26C2" w:rsidRDefault="00A73E47" w:rsidP="00343562">
      <w:pPr>
        <w:pStyle w:val="Ttulo2"/>
        <w:rPr>
          <w:b w:val="0"/>
          <w:sz w:val="32"/>
          <w:szCs w:val="32"/>
        </w:rPr>
      </w:pPr>
      <w:bookmarkStart w:id="5" w:name="_Toc471999516"/>
      <w:r w:rsidRPr="00ED26C2">
        <w:rPr>
          <w:b w:val="0"/>
          <w:sz w:val="32"/>
          <w:szCs w:val="32"/>
        </w:rPr>
        <w:t>Líneas de Producción</w:t>
      </w:r>
      <w:bookmarkEnd w:id="5"/>
    </w:p>
    <w:p w14:paraId="3C5D51A9" w14:textId="6AFA7AD5" w:rsidR="00A73E47" w:rsidRDefault="00A73E47" w:rsidP="00CE62F9">
      <w:pPr>
        <w:pStyle w:val="Encabezado"/>
        <w:spacing w:before="240" w:line="276" w:lineRule="auto"/>
        <w:jc w:val="both"/>
        <w:rPr>
          <w:color w:val="auto"/>
          <w:sz w:val="24"/>
          <w:lang w:eastAsia="es-CL"/>
        </w:rPr>
      </w:pPr>
      <w:r w:rsidRPr="007A53AB">
        <w:rPr>
          <w:color w:val="auto"/>
          <w:sz w:val="24"/>
          <w:lang w:eastAsia="es-CL"/>
        </w:rPr>
        <w:t>La</w:t>
      </w:r>
      <w:r w:rsidR="0057494A">
        <w:rPr>
          <w:color w:val="auto"/>
          <w:sz w:val="24"/>
          <w:lang w:eastAsia="es-CL"/>
        </w:rPr>
        <w:t>s principales líneas de producción de las plantas de proceso</w:t>
      </w:r>
      <w:r w:rsidRPr="007A53AB">
        <w:rPr>
          <w:color w:val="auto"/>
          <w:sz w:val="24"/>
          <w:lang w:eastAsia="es-CL"/>
        </w:rPr>
        <w:t xml:space="preserve"> </w:t>
      </w:r>
      <w:r w:rsidR="0057494A">
        <w:rPr>
          <w:color w:val="auto"/>
          <w:sz w:val="24"/>
          <w:lang w:eastAsia="es-CL"/>
        </w:rPr>
        <w:t xml:space="preserve">de </w:t>
      </w:r>
      <w:proofErr w:type="spellStart"/>
      <w:r w:rsidR="0057494A">
        <w:rPr>
          <w:color w:val="auto"/>
          <w:sz w:val="24"/>
          <w:lang w:eastAsia="es-CL"/>
        </w:rPr>
        <w:t>chorito</w:t>
      </w:r>
      <w:proofErr w:type="spellEnd"/>
      <w:r w:rsidR="0057494A">
        <w:rPr>
          <w:color w:val="auto"/>
          <w:sz w:val="24"/>
          <w:lang w:eastAsia="es-CL"/>
        </w:rPr>
        <w:t xml:space="preserve"> cocido congelado son: línea de carne IQF, línea de media concha, línea de entero </w:t>
      </w:r>
      <w:r w:rsidR="0057494A" w:rsidRPr="00B53E12">
        <w:rPr>
          <w:color w:val="auto"/>
          <w:sz w:val="24"/>
          <w:lang w:eastAsia="es-CL"/>
        </w:rPr>
        <w:t>sellado al vacío</w:t>
      </w:r>
      <w:r w:rsidR="00753963" w:rsidRPr="00B53E12">
        <w:rPr>
          <w:color w:val="auto"/>
          <w:sz w:val="24"/>
          <w:lang w:eastAsia="es-CL"/>
        </w:rPr>
        <w:t xml:space="preserve"> (</w:t>
      </w:r>
      <w:proofErr w:type="spellStart"/>
      <w:r w:rsidR="00B05B0C" w:rsidRPr="00B53E12">
        <w:rPr>
          <w:color w:val="auto"/>
          <w:sz w:val="24"/>
          <w:lang w:eastAsia="es-CL"/>
        </w:rPr>
        <w:t>Jugozón</w:t>
      </w:r>
      <w:proofErr w:type="spellEnd"/>
      <w:r w:rsidR="00B05B0C" w:rsidRPr="00B53E12">
        <w:rPr>
          <w:color w:val="auto"/>
          <w:sz w:val="24"/>
          <w:lang w:eastAsia="es-CL"/>
        </w:rPr>
        <w:t xml:space="preserve">: en formato </w:t>
      </w:r>
      <w:r w:rsidR="001B6116" w:rsidRPr="00B53E12">
        <w:rPr>
          <w:color w:val="auto"/>
          <w:sz w:val="24"/>
          <w:lang w:eastAsia="es-CL"/>
        </w:rPr>
        <w:t xml:space="preserve">natural o </w:t>
      </w:r>
      <w:r w:rsidR="00D21F21" w:rsidRPr="00B53E12">
        <w:rPr>
          <w:color w:val="auto"/>
          <w:sz w:val="24"/>
          <w:lang w:eastAsia="es-CL"/>
        </w:rPr>
        <w:t>con salsa</w:t>
      </w:r>
      <w:r w:rsidR="00B05B0C" w:rsidRPr="00B53E12">
        <w:rPr>
          <w:color w:val="auto"/>
          <w:sz w:val="24"/>
          <w:lang w:eastAsia="es-CL"/>
        </w:rPr>
        <w:t>s</w:t>
      </w:r>
      <w:r w:rsidR="00753963" w:rsidRPr="00B53E12">
        <w:rPr>
          <w:color w:val="auto"/>
          <w:sz w:val="24"/>
          <w:lang w:eastAsia="es-CL"/>
        </w:rPr>
        <w:t>)</w:t>
      </w:r>
      <w:r w:rsidR="0057494A" w:rsidRPr="00B53E12">
        <w:rPr>
          <w:color w:val="auto"/>
          <w:sz w:val="24"/>
          <w:lang w:eastAsia="es-CL"/>
        </w:rPr>
        <w:t>, línea de entero IQF con o sin jugo</w:t>
      </w:r>
      <w:r w:rsidR="006E13A7" w:rsidRPr="00B53E12">
        <w:rPr>
          <w:color w:val="auto"/>
          <w:sz w:val="24"/>
          <w:lang w:eastAsia="es-CL"/>
        </w:rPr>
        <w:t>. Cabe señalar que la mayoría</w:t>
      </w:r>
      <w:r w:rsidR="006E13A7">
        <w:rPr>
          <w:color w:val="auto"/>
          <w:sz w:val="24"/>
          <w:lang w:eastAsia="es-CL"/>
        </w:rPr>
        <w:t xml:space="preserve"> de las plantas poseen más de una línea de </w:t>
      </w:r>
      <w:r w:rsidR="006E13A7" w:rsidRPr="00D80ABA">
        <w:rPr>
          <w:color w:val="auto"/>
          <w:sz w:val="24"/>
          <w:lang w:eastAsia="es-CL"/>
        </w:rPr>
        <w:t>elaboración</w:t>
      </w:r>
      <w:r w:rsidR="001B6116">
        <w:rPr>
          <w:color w:val="auto"/>
          <w:sz w:val="24"/>
          <w:lang w:eastAsia="es-CL"/>
        </w:rPr>
        <w:t xml:space="preserve">. Las líneas de elaboración de  </w:t>
      </w:r>
      <w:r w:rsidR="006E13A7" w:rsidRPr="001B6116">
        <w:rPr>
          <w:color w:val="auto"/>
          <w:sz w:val="24"/>
          <w:lang w:eastAsia="es-CL"/>
        </w:rPr>
        <w:t>producto</w:t>
      </w:r>
      <w:r w:rsidR="003D2FAD">
        <w:rPr>
          <w:color w:val="auto"/>
          <w:sz w:val="24"/>
          <w:lang w:eastAsia="es-CL"/>
        </w:rPr>
        <w:t xml:space="preserve"> terminado </w:t>
      </w:r>
      <w:r w:rsidR="00D21F21">
        <w:rPr>
          <w:color w:val="auto"/>
          <w:sz w:val="24"/>
          <w:lang w:eastAsia="es-CL"/>
        </w:rPr>
        <w:t xml:space="preserve">más </w:t>
      </w:r>
      <w:r w:rsidR="001B6116" w:rsidRPr="001B6116">
        <w:rPr>
          <w:color w:val="auto"/>
          <w:sz w:val="24"/>
          <w:lang w:eastAsia="es-CL"/>
        </w:rPr>
        <w:t>común</w:t>
      </w:r>
      <w:r w:rsidRPr="001B6116">
        <w:rPr>
          <w:color w:val="auto"/>
          <w:sz w:val="24"/>
          <w:lang w:eastAsia="es-CL"/>
        </w:rPr>
        <w:t xml:space="preserve"> </w:t>
      </w:r>
      <w:r w:rsidR="00D21F21" w:rsidRPr="001B6116">
        <w:rPr>
          <w:color w:val="auto"/>
          <w:sz w:val="24"/>
          <w:lang w:eastAsia="es-CL"/>
        </w:rPr>
        <w:t>son</w:t>
      </w:r>
      <w:r w:rsidR="00FB7D47" w:rsidRPr="00D80ABA">
        <w:rPr>
          <w:color w:val="auto"/>
          <w:sz w:val="24"/>
          <w:lang w:eastAsia="es-CL"/>
        </w:rPr>
        <w:t xml:space="preserve"> </w:t>
      </w:r>
      <w:r w:rsidRPr="00D80ABA">
        <w:rPr>
          <w:color w:val="auto"/>
          <w:sz w:val="24"/>
          <w:lang w:eastAsia="es-CL"/>
        </w:rPr>
        <w:t>carne</w:t>
      </w:r>
      <w:r w:rsidR="00753963" w:rsidRPr="00D80ABA">
        <w:rPr>
          <w:color w:val="auto"/>
          <w:sz w:val="24"/>
          <w:lang w:eastAsia="es-CL"/>
        </w:rPr>
        <w:t xml:space="preserve"> IQF y entero sellado al vacío</w:t>
      </w:r>
      <w:r w:rsidR="001B6116">
        <w:rPr>
          <w:color w:val="auto"/>
          <w:sz w:val="24"/>
          <w:lang w:eastAsia="es-CL"/>
        </w:rPr>
        <w:t xml:space="preserve"> con un 89%</w:t>
      </w:r>
      <w:r w:rsidR="00004F8F">
        <w:rPr>
          <w:color w:val="auto"/>
          <w:sz w:val="24"/>
          <w:lang w:eastAsia="es-CL"/>
        </w:rPr>
        <w:t xml:space="preserve"> (8 empresas)</w:t>
      </w:r>
      <w:r w:rsidR="0081192B" w:rsidRPr="00D80ABA">
        <w:rPr>
          <w:color w:val="auto"/>
          <w:sz w:val="24"/>
          <w:lang w:eastAsia="es-CL"/>
        </w:rPr>
        <w:t xml:space="preserve">, seguido </w:t>
      </w:r>
      <w:r w:rsidR="00D83BD8" w:rsidRPr="00D80ABA">
        <w:rPr>
          <w:color w:val="auto"/>
          <w:sz w:val="24"/>
          <w:lang w:eastAsia="es-CL"/>
        </w:rPr>
        <w:t xml:space="preserve">por la línea de </w:t>
      </w:r>
      <w:r w:rsidRPr="00D80ABA">
        <w:rPr>
          <w:color w:val="auto"/>
          <w:sz w:val="24"/>
          <w:lang w:eastAsia="es-CL"/>
        </w:rPr>
        <w:t>media concha</w:t>
      </w:r>
      <w:r w:rsidR="00061647">
        <w:rPr>
          <w:color w:val="auto"/>
          <w:sz w:val="24"/>
          <w:lang w:eastAsia="es-CL"/>
        </w:rPr>
        <w:t xml:space="preserve"> </w:t>
      </w:r>
      <w:r w:rsidR="00D83BD8" w:rsidRPr="00D80ABA">
        <w:rPr>
          <w:color w:val="auto"/>
          <w:sz w:val="24"/>
          <w:lang w:eastAsia="es-CL"/>
        </w:rPr>
        <w:t>67%</w:t>
      </w:r>
      <w:r w:rsidR="00D80ABA" w:rsidRPr="00D80ABA">
        <w:rPr>
          <w:color w:val="auto"/>
          <w:sz w:val="24"/>
          <w:lang w:eastAsia="es-CL"/>
        </w:rPr>
        <w:t xml:space="preserve"> (6 empresas), y</w:t>
      </w:r>
      <w:r w:rsidR="00CB3619">
        <w:rPr>
          <w:color w:val="auto"/>
          <w:sz w:val="24"/>
          <w:lang w:eastAsia="es-CL"/>
        </w:rPr>
        <w:t xml:space="preserve"> 4 plantas realizan el proceso </w:t>
      </w:r>
      <w:r w:rsidRPr="007A53AB">
        <w:rPr>
          <w:color w:val="auto"/>
          <w:sz w:val="24"/>
          <w:lang w:eastAsia="es-CL"/>
        </w:rPr>
        <w:t>conservas</w:t>
      </w:r>
      <w:r w:rsidR="00D80ABA">
        <w:rPr>
          <w:color w:val="auto"/>
          <w:sz w:val="24"/>
          <w:lang w:eastAsia="es-CL"/>
        </w:rPr>
        <w:t xml:space="preserve">, porcentaje que representa el </w:t>
      </w:r>
      <w:r w:rsidR="00D83BD8" w:rsidRPr="007A53AB">
        <w:rPr>
          <w:color w:val="auto"/>
          <w:sz w:val="24"/>
          <w:lang w:eastAsia="es-CL"/>
        </w:rPr>
        <w:t>44</w:t>
      </w:r>
      <w:r w:rsidRPr="007A53AB">
        <w:rPr>
          <w:color w:val="auto"/>
          <w:sz w:val="24"/>
          <w:lang w:eastAsia="es-CL"/>
        </w:rPr>
        <w:t>%</w:t>
      </w:r>
      <w:r w:rsidR="00D80ABA">
        <w:rPr>
          <w:color w:val="auto"/>
          <w:sz w:val="24"/>
          <w:lang w:eastAsia="es-CL"/>
        </w:rPr>
        <w:t xml:space="preserve"> del total de </w:t>
      </w:r>
      <w:r w:rsidR="00186989">
        <w:rPr>
          <w:color w:val="auto"/>
          <w:sz w:val="24"/>
          <w:lang w:eastAsia="es-CL"/>
        </w:rPr>
        <w:t xml:space="preserve">la </w:t>
      </w:r>
      <w:r w:rsidR="00B53E12">
        <w:rPr>
          <w:color w:val="auto"/>
          <w:sz w:val="24"/>
          <w:lang w:eastAsia="es-CL"/>
        </w:rPr>
        <w:t>muestra (</w:t>
      </w:r>
      <w:r w:rsidRPr="007A53AB">
        <w:rPr>
          <w:color w:val="auto"/>
          <w:sz w:val="24"/>
          <w:lang w:eastAsia="es-CL"/>
        </w:rPr>
        <w:t>Figura</w:t>
      </w:r>
      <w:r w:rsidR="00C95232">
        <w:rPr>
          <w:color w:val="auto"/>
          <w:sz w:val="24"/>
          <w:lang w:eastAsia="es-CL"/>
        </w:rPr>
        <w:t xml:space="preserve"> 2)</w:t>
      </w:r>
      <w:r w:rsidRPr="007A53AB">
        <w:rPr>
          <w:color w:val="auto"/>
          <w:sz w:val="24"/>
          <w:lang w:eastAsia="es-CL"/>
        </w:rPr>
        <w:t>.</w:t>
      </w:r>
    </w:p>
    <w:p w14:paraId="174DFE53" w14:textId="77777777" w:rsidR="00D446B4" w:rsidRDefault="00C95232" w:rsidP="00CE62F9">
      <w:pPr>
        <w:pStyle w:val="Encabezado"/>
        <w:spacing w:before="240"/>
        <w:rPr>
          <w:b/>
          <w:bCs/>
          <w:color w:val="auto"/>
          <w:sz w:val="24"/>
          <w:lang w:eastAsia="es-CL"/>
        </w:rPr>
      </w:pPr>
      <w:r>
        <w:rPr>
          <w:noProof/>
          <w:lang w:val="es-CL" w:eastAsia="es-CL"/>
        </w:rPr>
        <w:lastRenderedPageBreak/>
        <w:drawing>
          <wp:inline distT="0" distB="0" distL="0" distR="0" wp14:anchorId="67600083" wp14:editId="35E963CF">
            <wp:extent cx="3291840" cy="1940118"/>
            <wp:effectExtent l="0" t="0" r="22860" b="22225"/>
            <wp:docPr id="460" name="Gráfico 46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DE41ECE" w14:textId="262268BB" w:rsidR="006420E2" w:rsidRPr="004A3355" w:rsidRDefault="0092144F" w:rsidP="009D6C1D">
      <w:pPr>
        <w:pStyle w:val="Encabezado"/>
        <w:rPr>
          <w:b/>
          <w:bCs/>
          <w:color w:val="auto"/>
          <w:sz w:val="24"/>
          <w:lang w:eastAsia="es-CL"/>
        </w:rPr>
      </w:pPr>
      <w:r>
        <w:rPr>
          <w:b/>
          <w:bCs/>
          <w:color w:val="auto"/>
          <w:sz w:val="24"/>
          <w:lang w:eastAsia="es-CL"/>
        </w:rPr>
        <w:t>F</w:t>
      </w:r>
      <w:r w:rsidR="006420E2" w:rsidRPr="007A53AB">
        <w:rPr>
          <w:b/>
          <w:bCs/>
          <w:color w:val="auto"/>
          <w:sz w:val="24"/>
          <w:lang w:eastAsia="es-CL"/>
        </w:rPr>
        <w:t xml:space="preserve">igura </w:t>
      </w:r>
      <w:r w:rsidR="009E3E4C" w:rsidRPr="007A53AB">
        <w:rPr>
          <w:b/>
          <w:bCs/>
          <w:color w:val="auto"/>
          <w:sz w:val="24"/>
          <w:lang w:eastAsia="es-CL"/>
        </w:rPr>
        <w:t>2</w:t>
      </w:r>
      <w:r w:rsidR="006420E2" w:rsidRPr="007A53AB">
        <w:rPr>
          <w:b/>
          <w:bCs/>
          <w:color w:val="auto"/>
          <w:sz w:val="24"/>
          <w:lang w:eastAsia="es-CL"/>
        </w:rPr>
        <w:t xml:space="preserve">. </w:t>
      </w:r>
      <w:r w:rsidR="006420E2" w:rsidRPr="007A53AB">
        <w:rPr>
          <w:bCs/>
          <w:color w:val="auto"/>
          <w:sz w:val="24"/>
          <w:lang w:eastAsia="es-CL"/>
        </w:rPr>
        <w:t>Principales Líneas de Producción  Plantas de Proceso.</w:t>
      </w:r>
    </w:p>
    <w:p w14:paraId="110F25BF" w14:textId="77777777" w:rsidR="006420E2" w:rsidRDefault="006420E2" w:rsidP="00CE62F9">
      <w:pPr>
        <w:pStyle w:val="Encabezado"/>
        <w:spacing w:before="240" w:after="240"/>
        <w:rPr>
          <w:bCs/>
          <w:color w:val="auto"/>
          <w:sz w:val="24"/>
          <w:lang w:eastAsia="es-CL"/>
        </w:rPr>
      </w:pPr>
    </w:p>
    <w:p w14:paraId="1B289E5F" w14:textId="77777777" w:rsidR="00ED26C2" w:rsidRPr="007A53AB" w:rsidRDefault="00ED26C2" w:rsidP="00CE62F9">
      <w:pPr>
        <w:pStyle w:val="Encabezado"/>
        <w:spacing w:before="240" w:after="240"/>
        <w:rPr>
          <w:bCs/>
          <w:color w:val="auto"/>
          <w:sz w:val="24"/>
          <w:lang w:eastAsia="es-CL"/>
        </w:rPr>
      </w:pPr>
    </w:p>
    <w:p w14:paraId="1EFFCFEF" w14:textId="637EC317" w:rsidR="00582FDE" w:rsidRPr="00ED26C2" w:rsidRDefault="00582FDE" w:rsidP="00343562">
      <w:pPr>
        <w:pStyle w:val="Ttulo2"/>
        <w:rPr>
          <w:b w:val="0"/>
          <w:color w:val="auto"/>
          <w:sz w:val="32"/>
          <w:szCs w:val="32"/>
          <w:lang w:eastAsia="es-CL"/>
        </w:rPr>
      </w:pPr>
      <w:bookmarkStart w:id="6" w:name="_Toc471999517"/>
      <w:r w:rsidRPr="00ED26C2">
        <w:rPr>
          <w:b w:val="0"/>
          <w:sz w:val="32"/>
          <w:szCs w:val="32"/>
        </w:rPr>
        <w:t>Fuerza laboral</w:t>
      </w:r>
      <w:bookmarkEnd w:id="6"/>
    </w:p>
    <w:p w14:paraId="56D8CA7B" w14:textId="658E27EE" w:rsidR="00582FDE" w:rsidRPr="007A53AB" w:rsidRDefault="00582FDE" w:rsidP="00CE62F9">
      <w:pPr>
        <w:spacing w:before="240" w:after="240"/>
        <w:jc w:val="both"/>
        <w:rPr>
          <w:color w:val="auto"/>
          <w:sz w:val="24"/>
          <w:lang w:eastAsia="es-CL"/>
        </w:rPr>
      </w:pPr>
      <w:r w:rsidRPr="007A53AB">
        <w:rPr>
          <w:color w:val="auto"/>
          <w:sz w:val="24"/>
          <w:lang w:eastAsia="es-CL"/>
        </w:rPr>
        <w:t>El número de trabajadores de la</w:t>
      </w:r>
      <w:r w:rsidR="00186989">
        <w:rPr>
          <w:color w:val="auto"/>
          <w:sz w:val="24"/>
          <w:lang w:eastAsia="es-CL"/>
        </w:rPr>
        <w:t>s empresas</w:t>
      </w:r>
      <w:r w:rsidR="00B53E12">
        <w:rPr>
          <w:color w:val="auto"/>
          <w:sz w:val="24"/>
          <w:lang w:eastAsia="es-CL"/>
        </w:rPr>
        <w:t xml:space="preserve"> </w:t>
      </w:r>
      <w:r w:rsidRPr="007A53AB">
        <w:rPr>
          <w:color w:val="auto"/>
          <w:sz w:val="24"/>
          <w:lang w:eastAsia="es-CL"/>
        </w:rPr>
        <w:t>diagnostica</w:t>
      </w:r>
      <w:r w:rsidR="00FF4711">
        <w:rPr>
          <w:color w:val="auto"/>
          <w:sz w:val="24"/>
          <w:lang w:eastAsia="es-CL"/>
        </w:rPr>
        <w:t>da</w:t>
      </w:r>
      <w:r w:rsidR="00186989">
        <w:rPr>
          <w:color w:val="auto"/>
          <w:sz w:val="24"/>
          <w:lang w:eastAsia="es-CL"/>
        </w:rPr>
        <w:t>s</w:t>
      </w:r>
      <w:r w:rsidR="00FF4711">
        <w:rPr>
          <w:color w:val="auto"/>
          <w:sz w:val="24"/>
          <w:lang w:eastAsia="es-CL"/>
        </w:rPr>
        <w:t xml:space="preserve"> asciende a 2.834</w:t>
      </w:r>
      <w:r w:rsidR="00515034">
        <w:rPr>
          <w:color w:val="auto"/>
          <w:sz w:val="24"/>
          <w:lang w:eastAsia="es-CL"/>
        </w:rPr>
        <w:t xml:space="preserve"> trabajadores</w:t>
      </w:r>
      <w:r w:rsidR="006420E2" w:rsidRPr="007A53AB">
        <w:rPr>
          <w:color w:val="auto"/>
          <w:sz w:val="24"/>
          <w:lang w:eastAsia="es-CL"/>
        </w:rPr>
        <w:t>.</w:t>
      </w:r>
      <w:r w:rsidRPr="007A53AB">
        <w:rPr>
          <w:color w:val="auto"/>
          <w:sz w:val="24"/>
          <w:lang w:eastAsia="es-CL"/>
        </w:rPr>
        <w:t xml:space="preserve"> </w:t>
      </w:r>
      <w:r w:rsidR="00FE5536">
        <w:rPr>
          <w:color w:val="auto"/>
          <w:sz w:val="24"/>
          <w:lang w:eastAsia="es-CL"/>
        </w:rPr>
        <w:t xml:space="preserve">Cabe señalar que la fuerza laboral fue evaluada </w:t>
      </w:r>
      <w:r w:rsidR="00186989">
        <w:rPr>
          <w:color w:val="auto"/>
          <w:sz w:val="24"/>
          <w:lang w:eastAsia="es-CL"/>
        </w:rPr>
        <w:t xml:space="preserve">para </w:t>
      </w:r>
      <w:r w:rsidR="00FE5536">
        <w:rPr>
          <w:color w:val="auto"/>
          <w:sz w:val="24"/>
          <w:lang w:eastAsia="es-CL"/>
        </w:rPr>
        <w:t>el mes de marzo del 2015, ya que</w:t>
      </w:r>
      <w:r w:rsidR="00515034">
        <w:rPr>
          <w:color w:val="auto"/>
          <w:sz w:val="24"/>
          <w:lang w:eastAsia="es-CL"/>
        </w:rPr>
        <w:t xml:space="preserve"> durante</w:t>
      </w:r>
      <w:r w:rsidR="00FE5536">
        <w:rPr>
          <w:color w:val="auto"/>
          <w:sz w:val="24"/>
          <w:lang w:eastAsia="es-CL"/>
        </w:rPr>
        <w:t xml:space="preserve"> este </w:t>
      </w:r>
      <w:r w:rsidR="00186989">
        <w:rPr>
          <w:color w:val="auto"/>
          <w:sz w:val="24"/>
          <w:lang w:eastAsia="es-CL"/>
        </w:rPr>
        <w:t xml:space="preserve">periodo </w:t>
      </w:r>
      <w:r w:rsidR="00FE5536">
        <w:rPr>
          <w:color w:val="auto"/>
          <w:sz w:val="24"/>
          <w:lang w:eastAsia="es-CL"/>
        </w:rPr>
        <w:t>la</w:t>
      </w:r>
      <w:r w:rsidR="00E01FF6">
        <w:rPr>
          <w:color w:val="auto"/>
          <w:sz w:val="24"/>
          <w:lang w:eastAsia="es-CL"/>
        </w:rPr>
        <w:t xml:space="preserve"> industria mitilicultora </w:t>
      </w:r>
      <w:r w:rsidR="00B53E12">
        <w:rPr>
          <w:color w:val="auto"/>
          <w:sz w:val="24"/>
          <w:lang w:eastAsia="es-CL"/>
        </w:rPr>
        <w:t>se encuentra</w:t>
      </w:r>
      <w:r w:rsidR="00FE5536">
        <w:rPr>
          <w:color w:val="auto"/>
          <w:sz w:val="24"/>
          <w:lang w:eastAsia="es-CL"/>
        </w:rPr>
        <w:t xml:space="preserve"> en </w:t>
      </w:r>
      <w:r w:rsidR="00B53E12">
        <w:rPr>
          <w:color w:val="auto"/>
          <w:sz w:val="24"/>
          <w:lang w:eastAsia="es-CL"/>
        </w:rPr>
        <w:t>el</w:t>
      </w:r>
      <w:r w:rsidR="00FE5536">
        <w:rPr>
          <w:color w:val="auto"/>
          <w:sz w:val="24"/>
          <w:lang w:eastAsia="es-CL"/>
        </w:rPr>
        <w:t xml:space="preserve"> </w:t>
      </w:r>
      <w:proofErr w:type="spellStart"/>
      <w:r w:rsidR="00FE5536">
        <w:rPr>
          <w:color w:val="auto"/>
          <w:sz w:val="24"/>
          <w:lang w:eastAsia="es-CL"/>
        </w:rPr>
        <w:t>peak</w:t>
      </w:r>
      <w:proofErr w:type="spellEnd"/>
      <w:r w:rsidR="00FE5536">
        <w:rPr>
          <w:color w:val="auto"/>
          <w:sz w:val="24"/>
          <w:lang w:eastAsia="es-CL"/>
        </w:rPr>
        <w:t xml:space="preserve"> </w:t>
      </w:r>
      <w:r w:rsidR="006C3712">
        <w:rPr>
          <w:color w:val="auto"/>
          <w:sz w:val="24"/>
          <w:lang w:eastAsia="es-CL"/>
        </w:rPr>
        <w:t>de producción</w:t>
      </w:r>
      <w:r w:rsidR="00E01FF6">
        <w:rPr>
          <w:color w:val="auto"/>
          <w:sz w:val="24"/>
          <w:lang w:eastAsia="es-CL"/>
        </w:rPr>
        <w:t xml:space="preserve">, </w:t>
      </w:r>
      <w:r w:rsidR="000E5220">
        <w:rPr>
          <w:color w:val="auto"/>
          <w:sz w:val="24"/>
          <w:lang w:eastAsia="es-CL"/>
        </w:rPr>
        <w:t>prá</w:t>
      </w:r>
      <w:r w:rsidR="00B53E12">
        <w:rPr>
          <w:color w:val="auto"/>
          <w:sz w:val="24"/>
          <w:lang w:eastAsia="es-CL"/>
        </w:rPr>
        <w:t>cticamen</w:t>
      </w:r>
      <w:r w:rsidR="000E5220">
        <w:rPr>
          <w:color w:val="auto"/>
          <w:sz w:val="24"/>
          <w:lang w:eastAsia="es-CL"/>
        </w:rPr>
        <w:t xml:space="preserve">te no existe movilidad laboral y </w:t>
      </w:r>
      <w:r w:rsidR="00FF4711" w:rsidRPr="00940E0E">
        <w:rPr>
          <w:color w:val="auto"/>
          <w:sz w:val="24"/>
          <w:lang w:eastAsia="es-CL"/>
        </w:rPr>
        <w:t>las</w:t>
      </w:r>
      <w:r w:rsidR="00940E0E" w:rsidRPr="00940E0E">
        <w:rPr>
          <w:color w:val="auto"/>
          <w:sz w:val="24"/>
          <w:lang w:eastAsia="es-CL"/>
        </w:rPr>
        <w:t xml:space="preserve"> plantas</w:t>
      </w:r>
      <w:r w:rsidR="00515034">
        <w:rPr>
          <w:color w:val="auto"/>
          <w:sz w:val="24"/>
          <w:lang w:eastAsia="es-CL"/>
        </w:rPr>
        <w:t xml:space="preserve"> </w:t>
      </w:r>
      <w:r w:rsidR="000E5220">
        <w:rPr>
          <w:color w:val="auto"/>
          <w:sz w:val="24"/>
          <w:lang w:eastAsia="es-CL"/>
        </w:rPr>
        <w:t xml:space="preserve">de proceso normalmente </w:t>
      </w:r>
      <w:r w:rsidR="00112C2D">
        <w:rPr>
          <w:color w:val="auto"/>
          <w:sz w:val="24"/>
          <w:lang w:eastAsia="es-CL"/>
        </w:rPr>
        <w:t xml:space="preserve">se encuentran </w:t>
      </w:r>
      <w:r w:rsidR="00515034">
        <w:rPr>
          <w:color w:val="auto"/>
          <w:sz w:val="24"/>
          <w:lang w:eastAsia="es-CL"/>
        </w:rPr>
        <w:t xml:space="preserve">operando </w:t>
      </w:r>
      <w:r w:rsidR="000E5220">
        <w:rPr>
          <w:color w:val="auto"/>
          <w:sz w:val="24"/>
          <w:lang w:eastAsia="es-CL"/>
        </w:rPr>
        <w:t xml:space="preserve">la mayoría sino </w:t>
      </w:r>
      <w:r w:rsidR="00515034">
        <w:rPr>
          <w:color w:val="auto"/>
          <w:sz w:val="24"/>
          <w:lang w:eastAsia="es-CL"/>
        </w:rPr>
        <w:t>todas sus líneas de p</w:t>
      </w:r>
      <w:r w:rsidR="00B53E12">
        <w:rPr>
          <w:color w:val="auto"/>
          <w:sz w:val="24"/>
          <w:lang w:eastAsia="es-CL"/>
        </w:rPr>
        <w:t>roducción.</w:t>
      </w:r>
    </w:p>
    <w:p w14:paraId="2D226CD4" w14:textId="532BD8EC" w:rsidR="00112C2D" w:rsidRDefault="00582FDE" w:rsidP="00CE62F9">
      <w:pPr>
        <w:spacing w:before="240"/>
        <w:jc w:val="both"/>
        <w:rPr>
          <w:color w:val="auto"/>
          <w:sz w:val="24"/>
          <w:lang w:eastAsia="es-CL"/>
        </w:rPr>
      </w:pPr>
      <w:r w:rsidRPr="007A53AB">
        <w:rPr>
          <w:color w:val="auto"/>
          <w:sz w:val="24"/>
          <w:lang w:eastAsia="es-CL"/>
        </w:rPr>
        <w:t xml:space="preserve">En promedio, las plantas encuestadas mantienen </w:t>
      </w:r>
      <w:r w:rsidR="00112C2D">
        <w:rPr>
          <w:color w:val="auto"/>
          <w:sz w:val="24"/>
          <w:lang w:eastAsia="es-CL"/>
        </w:rPr>
        <w:t>354</w:t>
      </w:r>
      <w:r w:rsidRPr="007A53AB">
        <w:rPr>
          <w:color w:val="auto"/>
          <w:sz w:val="24"/>
          <w:lang w:eastAsia="es-CL"/>
        </w:rPr>
        <w:t xml:space="preserve"> trabajadores</w:t>
      </w:r>
      <w:r w:rsidR="00112C2D">
        <w:rPr>
          <w:color w:val="auto"/>
          <w:sz w:val="24"/>
          <w:lang w:eastAsia="es-CL"/>
        </w:rPr>
        <w:t xml:space="preserve"> en Marzo del 2015</w:t>
      </w:r>
      <w:r w:rsidRPr="007A53AB">
        <w:rPr>
          <w:color w:val="auto"/>
          <w:sz w:val="24"/>
          <w:lang w:eastAsia="es-CL"/>
        </w:rPr>
        <w:t>. Del total de</w:t>
      </w:r>
      <w:r w:rsidR="000E5220">
        <w:rPr>
          <w:color w:val="auto"/>
          <w:sz w:val="24"/>
          <w:lang w:eastAsia="es-CL"/>
        </w:rPr>
        <w:t xml:space="preserve"> ellos</w:t>
      </w:r>
      <w:r w:rsidRPr="007A53AB">
        <w:rPr>
          <w:color w:val="auto"/>
          <w:sz w:val="24"/>
          <w:lang w:eastAsia="es-CL"/>
        </w:rPr>
        <w:t xml:space="preserve"> </w:t>
      </w:r>
      <w:r w:rsidR="00112C2D" w:rsidRPr="007A53AB">
        <w:rPr>
          <w:color w:val="auto"/>
          <w:sz w:val="24"/>
          <w:lang w:eastAsia="es-CL"/>
        </w:rPr>
        <w:t>216 personas</w:t>
      </w:r>
      <w:r w:rsidR="00112C2D">
        <w:rPr>
          <w:color w:val="auto"/>
          <w:sz w:val="24"/>
          <w:lang w:eastAsia="es-CL"/>
        </w:rPr>
        <w:t xml:space="preserve"> poseen contrato temporal</w:t>
      </w:r>
      <w:r w:rsidR="00112C2D" w:rsidRPr="007A53AB">
        <w:rPr>
          <w:color w:val="auto"/>
          <w:sz w:val="24"/>
          <w:lang w:eastAsia="es-CL"/>
        </w:rPr>
        <w:t xml:space="preserve"> (61%)</w:t>
      </w:r>
      <w:r w:rsidR="00112C2D">
        <w:rPr>
          <w:color w:val="auto"/>
          <w:sz w:val="24"/>
          <w:lang w:eastAsia="es-CL"/>
        </w:rPr>
        <w:t xml:space="preserve"> y</w:t>
      </w:r>
      <w:r w:rsidR="00112C2D" w:rsidRPr="007A53AB">
        <w:rPr>
          <w:color w:val="auto"/>
          <w:sz w:val="24"/>
          <w:lang w:eastAsia="es-CL"/>
        </w:rPr>
        <w:t xml:space="preserve"> </w:t>
      </w:r>
      <w:r w:rsidRPr="007A53AB">
        <w:rPr>
          <w:color w:val="auto"/>
          <w:sz w:val="24"/>
          <w:lang w:eastAsia="es-CL"/>
        </w:rPr>
        <w:t xml:space="preserve"> 138 personas (39%) tienen contrato indefinido </w:t>
      </w:r>
      <w:r w:rsidR="004A3355">
        <w:rPr>
          <w:color w:val="auto"/>
          <w:sz w:val="24"/>
          <w:lang w:eastAsia="es-CL"/>
        </w:rPr>
        <w:t>(Figura 3</w:t>
      </w:r>
      <w:r w:rsidRPr="007A53AB">
        <w:rPr>
          <w:color w:val="auto"/>
          <w:sz w:val="24"/>
          <w:lang w:eastAsia="es-CL"/>
        </w:rPr>
        <w:t xml:space="preserve">). </w:t>
      </w:r>
    </w:p>
    <w:p w14:paraId="55DCB589" w14:textId="5A2BED08" w:rsidR="00582FDE" w:rsidRDefault="000E5220" w:rsidP="00CE62F9">
      <w:pPr>
        <w:spacing w:before="240"/>
        <w:jc w:val="both"/>
        <w:rPr>
          <w:color w:val="auto"/>
          <w:sz w:val="24"/>
          <w:lang w:eastAsia="es-CL"/>
        </w:rPr>
      </w:pPr>
      <w:r>
        <w:rPr>
          <w:color w:val="auto"/>
          <w:sz w:val="24"/>
          <w:lang w:eastAsia="es-CL"/>
        </w:rPr>
        <w:t xml:space="preserve">Se observó también que </w:t>
      </w:r>
      <w:r w:rsidR="00582FDE" w:rsidRPr="007A53AB">
        <w:rPr>
          <w:color w:val="auto"/>
          <w:sz w:val="24"/>
          <w:lang w:eastAsia="es-CL"/>
        </w:rPr>
        <w:t xml:space="preserve">el promedio de mujeres </w:t>
      </w:r>
      <w:r>
        <w:rPr>
          <w:color w:val="auto"/>
          <w:sz w:val="24"/>
          <w:lang w:eastAsia="es-CL"/>
        </w:rPr>
        <w:t xml:space="preserve">que se desempeñan </w:t>
      </w:r>
      <w:r w:rsidR="00582FDE" w:rsidRPr="007A53AB">
        <w:rPr>
          <w:color w:val="auto"/>
          <w:sz w:val="24"/>
          <w:lang w:eastAsia="es-CL"/>
        </w:rPr>
        <w:t xml:space="preserve">en las plantas </w:t>
      </w:r>
      <w:r>
        <w:rPr>
          <w:color w:val="auto"/>
          <w:sz w:val="24"/>
          <w:lang w:eastAsia="es-CL"/>
        </w:rPr>
        <w:t xml:space="preserve">de proceso </w:t>
      </w:r>
      <w:r w:rsidR="00FF4711">
        <w:rPr>
          <w:color w:val="auto"/>
          <w:sz w:val="24"/>
          <w:lang w:eastAsia="es-CL"/>
        </w:rPr>
        <w:t xml:space="preserve">es </w:t>
      </w:r>
      <w:r w:rsidR="00582FDE" w:rsidRPr="007A53AB">
        <w:rPr>
          <w:color w:val="auto"/>
          <w:sz w:val="24"/>
          <w:lang w:eastAsia="es-CL"/>
        </w:rPr>
        <w:t>de 214 (60%), mientras que el de trabajadores</w:t>
      </w:r>
      <w:r w:rsidR="00940E0E">
        <w:rPr>
          <w:color w:val="auto"/>
          <w:sz w:val="24"/>
          <w:lang w:eastAsia="es-CL"/>
        </w:rPr>
        <w:t xml:space="preserve"> hombres es de 141 </w:t>
      </w:r>
      <w:r w:rsidR="00582FDE" w:rsidRPr="007A53AB">
        <w:rPr>
          <w:color w:val="auto"/>
          <w:sz w:val="24"/>
          <w:lang w:eastAsia="es-CL"/>
        </w:rPr>
        <w:t>(40%)</w:t>
      </w:r>
      <w:r w:rsidR="00B53E12">
        <w:rPr>
          <w:color w:val="auto"/>
          <w:sz w:val="24"/>
          <w:lang w:eastAsia="es-CL"/>
        </w:rPr>
        <w:t xml:space="preserve"> </w:t>
      </w:r>
      <w:r w:rsidR="00582FDE" w:rsidRPr="007A53AB">
        <w:rPr>
          <w:color w:val="auto"/>
          <w:sz w:val="24"/>
          <w:lang w:eastAsia="es-CL"/>
        </w:rPr>
        <w:t xml:space="preserve">(Figura </w:t>
      </w:r>
      <w:r w:rsidR="009E3E4C" w:rsidRPr="007A53AB">
        <w:rPr>
          <w:color w:val="auto"/>
          <w:sz w:val="24"/>
          <w:lang w:eastAsia="es-CL"/>
        </w:rPr>
        <w:t>3</w:t>
      </w:r>
      <w:r w:rsidR="00582FDE" w:rsidRPr="007A53AB">
        <w:rPr>
          <w:color w:val="auto"/>
          <w:sz w:val="24"/>
          <w:lang w:eastAsia="es-CL"/>
        </w:rPr>
        <w:t>).</w:t>
      </w:r>
    </w:p>
    <w:p w14:paraId="01E96F33" w14:textId="537FFF05" w:rsidR="009C4432" w:rsidRDefault="009C4432" w:rsidP="00CE62F9">
      <w:pPr>
        <w:pStyle w:val="Encabezado"/>
        <w:spacing w:before="240"/>
        <w:rPr>
          <w:lang w:eastAsia="es-CL"/>
        </w:rPr>
      </w:pPr>
      <w:r>
        <w:rPr>
          <w:noProof/>
          <w:lang w:val="es-CL" w:eastAsia="es-CL"/>
        </w:rPr>
        <w:drawing>
          <wp:inline distT="0" distB="0" distL="0" distR="0" wp14:anchorId="726474FD" wp14:editId="476B9E37">
            <wp:extent cx="2774154" cy="1878748"/>
            <wp:effectExtent l="0" t="0" r="26670" b="26670"/>
            <wp:docPr id="471" name="Gráfico 47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Pr>
          <w:noProof/>
          <w:lang w:val="es-CL" w:eastAsia="es-CL"/>
        </w:rPr>
        <w:drawing>
          <wp:inline distT="0" distB="0" distL="0" distR="0" wp14:anchorId="11060957" wp14:editId="2FFE3381">
            <wp:extent cx="2774154" cy="1878748"/>
            <wp:effectExtent l="0" t="0" r="26670" b="26670"/>
            <wp:docPr id="472" name="Gráfico 47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74E6950" w14:textId="4230B6E8" w:rsidR="00776E8C" w:rsidRPr="007A53AB" w:rsidRDefault="00776E8C" w:rsidP="009D6C1D">
      <w:pPr>
        <w:pStyle w:val="Encabezado"/>
        <w:rPr>
          <w:color w:val="auto"/>
          <w:sz w:val="24"/>
          <w:lang w:eastAsia="es-CL"/>
        </w:rPr>
      </w:pPr>
      <w:r w:rsidRPr="007A53AB">
        <w:rPr>
          <w:b/>
          <w:color w:val="auto"/>
          <w:sz w:val="24"/>
          <w:lang w:eastAsia="es-CL"/>
        </w:rPr>
        <w:lastRenderedPageBreak/>
        <w:t xml:space="preserve">Figura </w:t>
      </w:r>
      <w:r w:rsidR="009E3E4C" w:rsidRPr="007A53AB">
        <w:rPr>
          <w:b/>
          <w:color w:val="auto"/>
          <w:sz w:val="24"/>
          <w:lang w:eastAsia="es-CL"/>
        </w:rPr>
        <w:t>3</w:t>
      </w:r>
      <w:r w:rsidRPr="007A53AB">
        <w:rPr>
          <w:color w:val="auto"/>
          <w:sz w:val="24"/>
          <w:lang w:eastAsia="es-CL"/>
        </w:rPr>
        <w:t xml:space="preserve">. Recurso </w:t>
      </w:r>
      <w:r w:rsidR="00A82171" w:rsidRPr="007A53AB">
        <w:rPr>
          <w:color w:val="auto"/>
          <w:sz w:val="24"/>
          <w:lang w:eastAsia="es-CL"/>
        </w:rPr>
        <w:t>h</w:t>
      </w:r>
      <w:r w:rsidRPr="007A53AB">
        <w:rPr>
          <w:color w:val="auto"/>
          <w:sz w:val="24"/>
          <w:lang w:eastAsia="es-CL"/>
        </w:rPr>
        <w:t>umano</w:t>
      </w:r>
      <w:r w:rsidR="00A82171" w:rsidRPr="007A53AB">
        <w:rPr>
          <w:color w:val="auto"/>
          <w:sz w:val="24"/>
          <w:lang w:eastAsia="es-CL"/>
        </w:rPr>
        <w:t xml:space="preserve"> </w:t>
      </w:r>
      <w:r w:rsidRPr="007A53AB">
        <w:rPr>
          <w:color w:val="auto"/>
          <w:sz w:val="24"/>
          <w:lang w:eastAsia="es-CL"/>
        </w:rPr>
        <w:t>promedio según tipo de contrato y género</w:t>
      </w:r>
      <w:r w:rsidR="0092144F">
        <w:rPr>
          <w:color w:val="auto"/>
          <w:sz w:val="24"/>
          <w:lang w:eastAsia="es-CL"/>
        </w:rPr>
        <w:t>.</w:t>
      </w:r>
    </w:p>
    <w:p w14:paraId="2629BF21" w14:textId="2F15EBC7" w:rsidR="00A35E2F" w:rsidRDefault="009C4432" w:rsidP="00CE62F9">
      <w:pPr>
        <w:pStyle w:val="Encabezado"/>
        <w:tabs>
          <w:tab w:val="clear" w:pos="4252"/>
          <w:tab w:val="center" w:pos="709"/>
        </w:tabs>
        <w:spacing w:before="240" w:line="276" w:lineRule="auto"/>
        <w:ind w:firstLine="709"/>
        <w:jc w:val="both"/>
        <w:rPr>
          <w:color w:val="auto"/>
          <w:sz w:val="24"/>
          <w:lang w:eastAsia="es-CL"/>
        </w:rPr>
      </w:pPr>
      <w:r>
        <w:rPr>
          <w:lang w:eastAsia="es-CL"/>
        </w:rPr>
        <w:tab/>
      </w:r>
      <w:r>
        <w:rPr>
          <w:lang w:eastAsia="es-CL"/>
        </w:rPr>
        <w:tab/>
      </w:r>
      <w:r w:rsidR="000E5220">
        <w:rPr>
          <w:color w:val="auto"/>
          <w:sz w:val="24"/>
          <w:lang w:eastAsia="es-CL"/>
        </w:rPr>
        <w:t xml:space="preserve">Es importante mencionar que </w:t>
      </w:r>
      <w:r w:rsidR="00C61795" w:rsidRPr="007A53AB">
        <w:rPr>
          <w:color w:val="auto"/>
          <w:sz w:val="24"/>
          <w:lang w:eastAsia="es-CL"/>
        </w:rPr>
        <w:t xml:space="preserve"> la mayoría de las plantas </w:t>
      </w:r>
      <w:r w:rsidR="00940E0E">
        <w:rPr>
          <w:color w:val="auto"/>
          <w:sz w:val="24"/>
          <w:lang w:eastAsia="es-CL"/>
        </w:rPr>
        <w:t xml:space="preserve">de proceso no registra el nivel </w:t>
      </w:r>
      <w:r w:rsidR="00C61795" w:rsidRPr="007A53AB">
        <w:rPr>
          <w:color w:val="auto"/>
          <w:sz w:val="24"/>
          <w:lang w:eastAsia="es-CL"/>
        </w:rPr>
        <w:t xml:space="preserve">de </w:t>
      </w:r>
      <w:r w:rsidR="00940E0E">
        <w:rPr>
          <w:color w:val="auto"/>
          <w:sz w:val="24"/>
          <w:lang w:eastAsia="es-CL"/>
        </w:rPr>
        <w:t xml:space="preserve">escolaridad </w:t>
      </w:r>
      <w:r w:rsidR="00C61795" w:rsidRPr="007A53AB">
        <w:rPr>
          <w:color w:val="auto"/>
          <w:sz w:val="24"/>
          <w:lang w:eastAsia="es-CL"/>
        </w:rPr>
        <w:t>del recurso humano contratado</w:t>
      </w:r>
      <w:r w:rsidR="00940E0E">
        <w:rPr>
          <w:color w:val="auto"/>
          <w:sz w:val="24"/>
          <w:lang w:eastAsia="es-CL"/>
        </w:rPr>
        <w:t>. El</w:t>
      </w:r>
      <w:r w:rsidR="00FF4711" w:rsidRPr="00940E0E">
        <w:rPr>
          <w:color w:val="auto"/>
          <w:sz w:val="24"/>
          <w:lang w:eastAsia="es-CL"/>
        </w:rPr>
        <w:t xml:space="preserve"> </w:t>
      </w:r>
      <w:r w:rsidR="00BF128F" w:rsidRPr="00940E0E">
        <w:rPr>
          <w:color w:val="auto"/>
          <w:sz w:val="24"/>
          <w:lang w:eastAsia="es-CL"/>
        </w:rPr>
        <w:t>56%</w:t>
      </w:r>
      <w:r w:rsidR="00061647" w:rsidRPr="00940E0E">
        <w:rPr>
          <w:color w:val="auto"/>
          <w:sz w:val="24"/>
          <w:lang w:eastAsia="es-CL"/>
        </w:rPr>
        <w:t xml:space="preserve"> </w:t>
      </w:r>
      <w:r w:rsidR="00940E0E">
        <w:rPr>
          <w:color w:val="auto"/>
          <w:sz w:val="24"/>
          <w:lang w:eastAsia="es-CL"/>
        </w:rPr>
        <w:t xml:space="preserve">de las empresas </w:t>
      </w:r>
      <w:r w:rsidR="00061647" w:rsidRPr="00940E0E">
        <w:rPr>
          <w:color w:val="auto"/>
          <w:sz w:val="24"/>
          <w:lang w:eastAsia="es-CL"/>
        </w:rPr>
        <w:t>n</w:t>
      </w:r>
      <w:r w:rsidR="00940E0E" w:rsidRPr="00940E0E">
        <w:rPr>
          <w:color w:val="auto"/>
          <w:sz w:val="24"/>
          <w:lang w:eastAsia="es-CL"/>
        </w:rPr>
        <w:t xml:space="preserve">o </w:t>
      </w:r>
      <w:r w:rsidR="00940E0E">
        <w:rPr>
          <w:color w:val="auto"/>
          <w:sz w:val="24"/>
          <w:lang w:eastAsia="es-CL"/>
        </w:rPr>
        <w:t>informa</w:t>
      </w:r>
      <w:r w:rsidR="00FF4711">
        <w:rPr>
          <w:color w:val="auto"/>
          <w:sz w:val="24"/>
          <w:lang w:eastAsia="es-CL"/>
        </w:rPr>
        <w:t xml:space="preserve"> (NI</w:t>
      </w:r>
      <w:r w:rsidR="00080E2E">
        <w:rPr>
          <w:color w:val="auto"/>
          <w:sz w:val="24"/>
          <w:lang w:eastAsia="es-CL"/>
        </w:rPr>
        <w:t>)</w:t>
      </w:r>
      <w:r>
        <w:rPr>
          <w:color w:val="auto"/>
          <w:sz w:val="24"/>
          <w:lang w:eastAsia="es-CL"/>
        </w:rPr>
        <w:t xml:space="preserve"> </w:t>
      </w:r>
      <w:r w:rsidR="000E5220">
        <w:rPr>
          <w:color w:val="auto"/>
          <w:sz w:val="24"/>
          <w:lang w:eastAsia="es-CL"/>
        </w:rPr>
        <w:t xml:space="preserve">estos antecedentes </w:t>
      </w:r>
      <w:r>
        <w:rPr>
          <w:color w:val="auto"/>
          <w:sz w:val="24"/>
          <w:lang w:eastAsia="es-CL"/>
        </w:rPr>
        <w:t>y</w:t>
      </w:r>
      <w:r w:rsidR="00940E0E">
        <w:rPr>
          <w:color w:val="auto"/>
          <w:sz w:val="24"/>
          <w:lang w:eastAsia="es-CL"/>
        </w:rPr>
        <w:t xml:space="preserve"> </w:t>
      </w:r>
      <w:r w:rsidR="00AE71BB">
        <w:rPr>
          <w:color w:val="auto"/>
          <w:sz w:val="24"/>
          <w:lang w:eastAsia="es-CL"/>
        </w:rPr>
        <w:t>el 44%</w:t>
      </w:r>
      <w:r>
        <w:rPr>
          <w:color w:val="auto"/>
          <w:sz w:val="24"/>
          <w:lang w:eastAsia="es-CL"/>
        </w:rPr>
        <w:t xml:space="preserve"> (4 empresas) </w:t>
      </w:r>
      <w:r w:rsidR="00940E0E">
        <w:rPr>
          <w:color w:val="auto"/>
          <w:sz w:val="24"/>
          <w:lang w:eastAsia="es-CL"/>
        </w:rPr>
        <w:t>que si informan el nivel de escolaridad</w:t>
      </w:r>
      <w:r w:rsidR="00080E2E">
        <w:rPr>
          <w:color w:val="auto"/>
          <w:sz w:val="24"/>
          <w:lang w:eastAsia="es-CL"/>
        </w:rPr>
        <w:t xml:space="preserve">, </w:t>
      </w:r>
      <w:r>
        <w:rPr>
          <w:color w:val="auto"/>
          <w:sz w:val="24"/>
          <w:lang w:eastAsia="es-CL"/>
        </w:rPr>
        <w:t xml:space="preserve">señala que </w:t>
      </w:r>
      <w:r w:rsidR="00AE71BB">
        <w:rPr>
          <w:color w:val="auto"/>
          <w:sz w:val="24"/>
          <w:lang w:eastAsia="es-CL"/>
        </w:rPr>
        <w:t>el</w:t>
      </w:r>
      <w:r w:rsidR="00C61795" w:rsidRPr="007A53AB">
        <w:rPr>
          <w:color w:val="auto"/>
          <w:sz w:val="24"/>
          <w:lang w:eastAsia="es-CL"/>
        </w:rPr>
        <w:t xml:space="preserve"> 52% de los trabajadores ha cursado la educ</w:t>
      </w:r>
      <w:r>
        <w:rPr>
          <w:color w:val="auto"/>
          <w:sz w:val="24"/>
          <w:lang w:eastAsia="es-CL"/>
        </w:rPr>
        <w:t>ación básica, el</w:t>
      </w:r>
      <w:r w:rsidR="00C61795" w:rsidRPr="007A53AB">
        <w:rPr>
          <w:color w:val="auto"/>
          <w:sz w:val="24"/>
          <w:lang w:eastAsia="es-CL"/>
        </w:rPr>
        <w:t xml:space="preserve"> 33% la enseñanza media, </w:t>
      </w:r>
      <w:r>
        <w:rPr>
          <w:color w:val="auto"/>
          <w:sz w:val="24"/>
          <w:lang w:eastAsia="es-CL"/>
        </w:rPr>
        <w:t xml:space="preserve">el </w:t>
      </w:r>
      <w:r w:rsidR="00C61795" w:rsidRPr="007A53AB">
        <w:rPr>
          <w:color w:val="auto"/>
          <w:sz w:val="24"/>
          <w:lang w:eastAsia="es-CL"/>
        </w:rPr>
        <w:t>7% enseñanza profesional técnica</w:t>
      </w:r>
      <w:r w:rsidR="00FF4711">
        <w:rPr>
          <w:color w:val="auto"/>
          <w:sz w:val="24"/>
          <w:lang w:eastAsia="es-CL"/>
        </w:rPr>
        <w:t xml:space="preserve"> y</w:t>
      </w:r>
      <w:r w:rsidR="00C61795" w:rsidRPr="007A53AB">
        <w:rPr>
          <w:color w:val="auto"/>
          <w:sz w:val="24"/>
          <w:lang w:eastAsia="es-CL"/>
        </w:rPr>
        <w:t xml:space="preserve"> estudios superiores</w:t>
      </w:r>
      <w:r w:rsidR="00080E2E">
        <w:rPr>
          <w:color w:val="auto"/>
          <w:sz w:val="24"/>
          <w:lang w:eastAsia="es-CL"/>
        </w:rPr>
        <w:t>, por lo tanto el nivel educacional es inversamente proporcional al número de trabajadores, esto significa que al aumentar el nivel de educación el número de trabajadores disminuye</w:t>
      </w:r>
      <w:r w:rsidR="00D85FC4">
        <w:rPr>
          <w:color w:val="auto"/>
          <w:sz w:val="24"/>
          <w:lang w:eastAsia="es-CL"/>
        </w:rPr>
        <w:t xml:space="preserve"> </w:t>
      </w:r>
      <w:r w:rsidR="00D50B9A" w:rsidRPr="007A53AB">
        <w:rPr>
          <w:color w:val="auto"/>
          <w:sz w:val="24"/>
          <w:lang w:eastAsia="es-CL"/>
        </w:rPr>
        <w:t xml:space="preserve">(Figura </w:t>
      </w:r>
      <w:r w:rsidR="009E3E4C" w:rsidRPr="007A53AB">
        <w:rPr>
          <w:color w:val="auto"/>
          <w:sz w:val="24"/>
          <w:lang w:eastAsia="es-CL"/>
        </w:rPr>
        <w:t>4</w:t>
      </w:r>
      <w:r w:rsidR="00D50B9A" w:rsidRPr="007A53AB">
        <w:rPr>
          <w:color w:val="auto"/>
          <w:sz w:val="24"/>
          <w:lang w:eastAsia="es-CL"/>
        </w:rPr>
        <w:t>)</w:t>
      </w:r>
      <w:r w:rsidR="00C33D4C" w:rsidRPr="007A53AB">
        <w:rPr>
          <w:color w:val="auto"/>
          <w:sz w:val="24"/>
          <w:lang w:eastAsia="es-CL"/>
        </w:rPr>
        <w:t>.</w:t>
      </w:r>
    </w:p>
    <w:p w14:paraId="63DB73BE" w14:textId="77777777" w:rsidR="00B53E12" w:rsidRDefault="00B53E12" w:rsidP="00CE62F9">
      <w:pPr>
        <w:pStyle w:val="Encabezado"/>
        <w:tabs>
          <w:tab w:val="clear" w:pos="4252"/>
          <w:tab w:val="center" w:pos="709"/>
        </w:tabs>
        <w:spacing w:before="240" w:line="276" w:lineRule="auto"/>
        <w:ind w:firstLine="709"/>
        <w:jc w:val="both"/>
        <w:rPr>
          <w:color w:val="auto"/>
          <w:sz w:val="24"/>
          <w:lang w:eastAsia="es-CL"/>
        </w:rPr>
      </w:pPr>
    </w:p>
    <w:p w14:paraId="74F41DFB" w14:textId="77777777" w:rsidR="00B53E12" w:rsidRDefault="00B53E12" w:rsidP="00CE62F9">
      <w:pPr>
        <w:pStyle w:val="Encabezado"/>
        <w:tabs>
          <w:tab w:val="clear" w:pos="4252"/>
          <w:tab w:val="center" w:pos="709"/>
        </w:tabs>
        <w:spacing w:before="240" w:line="276" w:lineRule="auto"/>
        <w:ind w:firstLine="709"/>
        <w:jc w:val="both"/>
        <w:rPr>
          <w:color w:val="auto"/>
          <w:sz w:val="24"/>
          <w:lang w:eastAsia="es-CL"/>
        </w:rPr>
      </w:pPr>
    </w:p>
    <w:p w14:paraId="3BD2F93E" w14:textId="77777777" w:rsidR="00CE62F9" w:rsidRDefault="00CE62F9" w:rsidP="00CE62F9">
      <w:pPr>
        <w:pStyle w:val="Encabezado"/>
        <w:tabs>
          <w:tab w:val="clear" w:pos="4252"/>
          <w:tab w:val="center" w:pos="709"/>
        </w:tabs>
        <w:spacing w:before="240" w:line="276" w:lineRule="auto"/>
        <w:ind w:firstLine="709"/>
        <w:jc w:val="both"/>
        <w:rPr>
          <w:color w:val="auto"/>
          <w:sz w:val="24"/>
          <w:lang w:eastAsia="es-CL"/>
        </w:rPr>
      </w:pPr>
    </w:p>
    <w:p w14:paraId="5461A2D9" w14:textId="48071E88" w:rsidR="00751C26" w:rsidRPr="007A53AB" w:rsidRDefault="00B53E12" w:rsidP="00CE62F9">
      <w:pPr>
        <w:pStyle w:val="Encabezado"/>
        <w:tabs>
          <w:tab w:val="clear" w:pos="4252"/>
          <w:tab w:val="center" w:pos="709"/>
        </w:tabs>
        <w:spacing w:before="240" w:line="276" w:lineRule="auto"/>
        <w:jc w:val="both"/>
        <w:rPr>
          <w:lang w:eastAsia="es-CL"/>
        </w:rPr>
      </w:pPr>
      <w:r>
        <w:rPr>
          <w:noProof/>
          <w:lang w:val="es-CL" w:eastAsia="es-CL"/>
        </w:rPr>
        <mc:AlternateContent>
          <mc:Choice Requires="wpg">
            <w:drawing>
              <wp:inline distT="0" distB="0" distL="0" distR="0" wp14:anchorId="0A5192E6" wp14:editId="2ABCC770">
                <wp:extent cx="5459095" cy="2023745"/>
                <wp:effectExtent l="0" t="0" r="27305" b="14605"/>
                <wp:docPr id="479" name="9 Grupo"/>
                <wp:cNvGraphicFramePr/>
                <a:graphic xmlns:a="http://schemas.openxmlformats.org/drawingml/2006/main">
                  <a:graphicData uri="http://schemas.microsoft.com/office/word/2010/wordprocessingGroup">
                    <wpg:wgp>
                      <wpg:cNvGrpSpPr/>
                      <wpg:grpSpPr>
                        <a:xfrm>
                          <a:off x="0" y="0"/>
                          <a:ext cx="5459095" cy="2023745"/>
                          <a:chOff x="501989" y="4978238"/>
                          <a:chExt cx="7220141" cy="2774293"/>
                        </a:xfrm>
                      </wpg:grpSpPr>
                      <wpg:graphicFrame>
                        <wpg:cNvPr id="96" name="1 Gráfico"/>
                        <wpg:cNvFrPr/>
                        <wpg:xfrm>
                          <a:off x="4078797" y="4978375"/>
                          <a:ext cx="3643333" cy="2774156"/>
                        </wpg:xfrm>
                        <a:graphic>
                          <a:graphicData uri="http://schemas.openxmlformats.org/drawingml/2006/chart">
                            <c:chart xmlns:c="http://schemas.openxmlformats.org/drawingml/2006/chart" xmlns:r="http://schemas.openxmlformats.org/officeDocument/2006/relationships" r:id="rId19"/>
                          </a:graphicData>
                        </a:graphic>
                      </wpg:graphicFrame>
                      <wpg:graphicFrame>
                        <wpg:cNvPr id="97" name="7 Gráfico"/>
                        <wpg:cNvFrPr/>
                        <wpg:xfrm>
                          <a:off x="501989" y="4978238"/>
                          <a:ext cx="3497722" cy="2774156"/>
                        </wpg:xfrm>
                        <a:graphic>
                          <a:graphicData uri="http://schemas.openxmlformats.org/drawingml/2006/chart">
                            <c:chart xmlns:c="http://schemas.openxmlformats.org/drawingml/2006/chart" xmlns:r="http://schemas.openxmlformats.org/officeDocument/2006/relationships" r:id="rId20"/>
                          </a:graphicData>
                        </a:graphic>
                      </wpg:graphicFrame>
                    </wpg:wgp>
                  </a:graphicData>
                </a:graphic>
              </wp:inline>
            </w:drawing>
          </mc:Choice>
          <mc:Fallback>
            <w:pict>
              <v:group id="9 Grupo" o:spid="_x0000_s1026" style="width:429.85pt;height:159.35pt;mso-position-horizontal-relative:char;mso-position-vertical-relative:line" coordorigin="5019,49782" coordsize="72201,27742" o:gfxdata="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 Gráfico" o:spid="_x0000_s1027" type="#_x0000_t75" style="position:absolute;left:40736;top:49698;width:36604;height:27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">
                  <v:imagedata r:id="rId21" o:title=""/>
                  <o:lock v:ext="edit" aspectratio="f"/>
                </v:shape>
                <v:shape id="7 Gráfico" o:spid="_x0000_s1028" type="#_x0000_t75" style="position:absolute;left:4939;top:49698;width:35152;height:27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">
                  <v:imagedata r:id="rId22" o:title=""/>
                  <o:lock v:ext="edit" aspectratio="f"/>
                </v:shape>
                <w10:anchorlock/>
              </v:group>
            </w:pict>
          </mc:Fallback>
        </mc:AlternateContent>
      </w:r>
    </w:p>
    <w:p w14:paraId="7702FA1F" w14:textId="77777777" w:rsidR="00D85FC4" w:rsidRDefault="00D85FC4" w:rsidP="00CE62F9">
      <w:pPr>
        <w:pStyle w:val="Encabezado"/>
        <w:spacing w:before="240"/>
        <w:rPr>
          <w:b/>
          <w:color w:val="auto"/>
          <w:sz w:val="24"/>
          <w:lang w:eastAsia="es-CL"/>
        </w:rPr>
      </w:pPr>
    </w:p>
    <w:p w14:paraId="2B0BE170" w14:textId="72134028" w:rsidR="00BF128F" w:rsidRPr="007A53AB" w:rsidRDefault="00BF128F" w:rsidP="00D85FC4">
      <w:pPr>
        <w:pStyle w:val="Encabezado"/>
      </w:pPr>
      <w:r w:rsidRPr="007A53AB">
        <w:rPr>
          <w:b/>
          <w:color w:val="auto"/>
          <w:sz w:val="24"/>
          <w:lang w:eastAsia="es-CL"/>
        </w:rPr>
        <w:t xml:space="preserve">Figura </w:t>
      </w:r>
      <w:r w:rsidR="009E3E4C" w:rsidRPr="007A53AB">
        <w:rPr>
          <w:b/>
          <w:color w:val="auto"/>
          <w:sz w:val="24"/>
          <w:lang w:eastAsia="es-CL"/>
        </w:rPr>
        <w:t>4</w:t>
      </w:r>
      <w:r w:rsidRPr="007A53AB">
        <w:rPr>
          <w:b/>
          <w:color w:val="auto"/>
          <w:sz w:val="24"/>
          <w:lang w:eastAsia="es-CL"/>
        </w:rPr>
        <w:t xml:space="preserve">. </w:t>
      </w:r>
      <w:r w:rsidR="00AE71BB">
        <w:rPr>
          <w:color w:val="auto"/>
          <w:sz w:val="24"/>
          <w:lang w:eastAsia="es-CL"/>
        </w:rPr>
        <w:t xml:space="preserve">Porcentaje de empresas </w:t>
      </w:r>
      <w:r w:rsidR="00AE71BB" w:rsidRPr="00E11EB9">
        <w:rPr>
          <w:color w:val="auto"/>
          <w:sz w:val="24"/>
          <w:lang w:eastAsia="es-CL"/>
        </w:rPr>
        <w:t>que informan</w:t>
      </w:r>
      <w:r w:rsidR="00AE71BB">
        <w:rPr>
          <w:color w:val="auto"/>
          <w:sz w:val="24"/>
          <w:lang w:eastAsia="es-CL"/>
        </w:rPr>
        <w:t xml:space="preserve"> el nivel de escolaridad de sus trabajadores</w:t>
      </w:r>
      <w:r w:rsidR="00804906">
        <w:rPr>
          <w:color w:val="auto"/>
          <w:sz w:val="24"/>
          <w:lang w:eastAsia="es-CL"/>
        </w:rPr>
        <w:t>.</w:t>
      </w:r>
    </w:p>
    <w:p w14:paraId="7579A67E" w14:textId="77777777" w:rsidR="00E11EB9" w:rsidRPr="00273D1A" w:rsidRDefault="00E11EB9" w:rsidP="00CE62F9">
      <w:pPr>
        <w:spacing w:before="240" w:after="0"/>
        <w:jc w:val="both"/>
        <w:rPr>
          <w:rFonts w:eastAsia="Arial Unicode MS" w:cs="Times New Roman" w:hint="eastAsia"/>
          <w:color w:val="auto"/>
          <w:sz w:val="24"/>
          <w:highlight w:val="yellow"/>
          <w:lang w:eastAsia="es-CL"/>
        </w:rPr>
      </w:pPr>
    </w:p>
    <w:p w14:paraId="3C8969AF" w14:textId="65228E30" w:rsidR="00D87CF4" w:rsidRDefault="00E11EB9" w:rsidP="00CE62F9">
      <w:pPr>
        <w:spacing w:before="240" w:after="0"/>
        <w:jc w:val="both"/>
        <w:rPr>
          <w:color w:val="auto"/>
          <w:sz w:val="24"/>
          <w:lang w:eastAsia="es-CL"/>
        </w:rPr>
      </w:pPr>
      <w:r w:rsidRPr="00273D1A">
        <w:rPr>
          <w:rFonts w:eastAsia="Arial Unicode MS" w:cs="Times New Roman"/>
          <w:color w:val="auto"/>
          <w:sz w:val="24"/>
          <w:lang w:eastAsia="es-CL"/>
        </w:rPr>
        <w:t xml:space="preserve">El análisis de toneladas producidas por trabajador evidencia en promedio </w:t>
      </w:r>
      <w:r w:rsidR="00D87CF4" w:rsidRPr="00273D1A">
        <w:rPr>
          <w:color w:val="auto"/>
          <w:sz w:val="24"/>
          <w:lang w:eastAsia="es-CL"/>
        </w:rPr>
        <w:t>16</w:t>
      </w:r>
      <w:r w:rsidR="00AE71BB" w:rsidRPr="00273D1A">
        <w:rPr>
          <w:color w:val="auto"/>
          <w:sz w:val="24"/>
          <w:lang w:eastAsia="es-CL"/>
        </w:rPr>
        <w:t xml:space="preserve"> (Ton/</w:t>
      </w:r>
      <w:r w:rsidR="00DC3A1F">
        <w:rPr>
          <w:color w:val="auto"/>
          <w:sz w:val="24"/>
          <w:lang w:eastAsia="es-CL"/>
        </w:rPr>
        <w:t>Trabajador</w:t>
      </w:r>
      <w:r w:rsidR="00AE71BB" w:rsidRPr="00273D1A">
        <w:rPr>
          <w:color w:val="auto"/>
          <w:sz w:val="24"/>
          <w:lang w:eastAsia="es-CL"/>
        </w:rPr>
        <w:t xml:space="preserve">), esto </w:t>
      </w:r>
      <w:r w:rsidR="00DC3A1F">
        <w:rPr>
          <w:color w:val="auto"/>
          <w:sz w:val="24"/>
          <w:lang w:eastAsia="es-CL"/>
        </w:rPr>
        <w:t xml:space="preserve">permite inferir que </w:t>
      </w:r>
      <w:r w:rsidR="00AE71BB" w:rsidRPr="00273D1A">
        <w:rPr>
          <w:color w:val="auto"/>
          <w:sz w:val="24"/>
          <w:lang w:eastAsia="es-CL"/>
        </w:rPr>
        <w:t xml:space="preserve"> </w:t>
      </w:r>
      <w:r w:rsidR="00DC3A1F">
        <w:rPr>
          <w:color w:val="auto"/>
          <w:sz w:val="24"/>
          <w:lang w:eastAsia="es-CL"/>
        </w:rPr>
        <w:t xml:space="preserve">cada persona que desarrolla funciones en las plantas de proceso contribuye a generar </w:t>
      </w:r>
      <w:r w:rsidR="003E6E09" w:rsidRPr="00273D1A">
        <w:rPr>
          <w:color w:val="auto"/>
          <w:sz w:val="24"/>
          <w:lang w:eastAsia="es-CL"/>
        </w:rPr>
        <w:t>16 Ton</w:t>
      </w:r>
      <w:r w:rsidR="00DC3A1F">
        <w:rPr>
          <w:color w:val="auto"/>
          <w:sz w:val="24"/>
          <w:lang w:eastAsia="es-CL"/>
        </w:rPr>
        <w:t xml:space="preserve"> de producto final</w:t>
      </w:r>
      <w:r w:rsidR="00D87CF4" w:rsidRPr="00273D1A">
        <w:rPr>
          <w:color w:val="auto"/>
          <w:sz w:val="24"/>
          <w:lang w:eastAsia="es-CL"/>
        </w:rPr>
        <w:t xml:space="preserve"> (Figura 5).</w:t>
      </w:r>
    </w:p>
    <w:p w14:paraId="15E0907D" w14:textId="77777777" w:rsidR="00CF6E54" w:rsidRDefault="00D87CF4" w:rsidP="00CE62F9">
      <w:pPr>
        <w:spacing w:before="240" w:after="0"/>
        <w:rPr>
          <w:color w:val="auto"/>
          <w:sz w:val="24"/>
          <w:lang w:eastAsia="es-CL"/>
        </w:rPr>
      </w:pPr>
      <w:r>
        <w:rPr>
          <w:noProof/>
          <w:lang w:val="es-CL" w:eastAsia="es-CL"/>
        </w:rPr>
        <w:lastRenderedPageBreak/>
        <w:drawing>
          <wp:inline distT="0" distB="0" distL="0" distR="0" wp14:anchorId="7F23E68E" wp14:editId="1764144D">
            <wp:extent cx="2854518" cy="1924216"/>
            <wp:effectExtent l="0" t="0" r="22225" b="19050"/>
            <wp:docPr id="461" name="Gráfico 46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FF81209" w14:textId="141D55C3" w:rsidR="00D87CF4" w:rsidRDefault="00D446B4" w:rsidP="009D6C1D">
      <w:pPr>
        <w:spacing w:after="0"/>
        <w:jc w:val="both"/>
        <w:rPr>
          <w:color w:val="auto"/>
          <w:sz w:val="24"/>
          <w:lang w:eastAsia="es-CL"/>
        </w:rPr>
      </w:pPr>
      <w:r>
        <w:rPr>
          <w:b/>
          <w:color w:val="auto"/>
          <w:sz w:val="24"/>
          <w:lang w:eastAsia="es-CL"/>
        </w:rPr>
        <w:t>Figura 5</w:t>
      </w:r>
      <w:r w:rsidR="00CF6E54" w:rsidRPr="007A53AB">
        <w:rPr>
          <w:b/>
          <w:color w:val="auto"/>
          <w:sz w:val="24"/>
          <w:lang w:eastAsia="es-CL"/>
        </w:rPr>
        <w:t xml:space="preserve">. </w:t>
      </w:r>
      <w:r w:rsidR="00E11EB9" w:rsidRPr="00E11EB9">
        <w:rPr>
          <w:color w:val="auto"/>
          <w:sz w:val="24"/>
          <w:lang w:eastAsia="es-CL"/>
        </w:rPr>
        <w:t>Toneladas promedio</w:t>
      </w:r>
      <w:r w:rsidR="00E11EB9">
        <w:rPr>
          <w:b/>
          <w:color w:val="auto"/>
          <w:sz w:val="24"/>
          <w:lang w:eastAsia="es-CL"/>
        </w:rPr>
        <w:t xml:space="preserve"> </w:t>
      </w:r>
      <w:r w:rsidR="003E6E09" w:rsidRPr="00E11EB9">
        <w:rPr>
          <w:color w:val="auto"/>
          <w:sz w:val="24"/>
          <w:lang w:eastAsia="es-CL"/>
        </w:rPr>
        <w:t>produc</w:t>
      </w:r>
      <w:r w:rsidR="00E11EB9" w:rsidRPr="00E11EB9">
        <w:rPr>
          <w:color w:val="auto"/>
          <w:sz w:val="24"/>
          <w:lang w:eastAsia="es-CL"/>
        </w:rPr>
        <w:t xml:space="preserve">idas por </w:t>
      </w:r>
      <w:r w:rsidR="003E6E09" w:rsidRPr="00E11EB9">
        <w:rPr>
          <w:color w:val="auto"/>
          <w:sz w:val="24"/>
          <w:lang w:eastAsia="es-CL"/>
        </w:rPr>
        <w:t xml:space="preserve">trabajador </w:t>
      </w:r>
      <w:r w:rsidR="00CF6E54" w:rsidRPr="00E11EB9">
        <w:rPr>
          <w:color w:val="auto"/>
          <w:sz w:val="24"/>
          <w:lang w:eastAsia="es-CL"/>
        </w:rPr>
        <w:t>(</w:t>
      </w:r>
      <w:r w:rsidR="00061647" w:rsidRPr="00E11EB9">
        <w:rPr>
          <w:color w:val="auto"/>
          <w:sz w:val="24"/>
          <w:lang w:eastAsia="es-CL"/>
        </w:rPr>
        <w:t>Ton</w:t>
      </w:r>
      <w:r w:rsidR="003E6E09" w:rsidRPr="00E11EB9">
        <w:rPr>
          <w:color w:val="auto"/>
          <w:sz w:val="24"/>
          <w:lang w:eastAsia="es-CL"/>
        </w:rPr>
        <w:t>/</w:t>
      </w:r>
      <w:r w:rsidR="00DC3A1F" w:rsidRPr="00E11EB9" w:rsidDel="00DC3A1F">
        <w:rPr>
          <w:color w:val="auto"/>
          <w:sz w:val="24"/>
          <w:lang w:eastAsia="es-CL"/>
        </w:rPr>
        <w:t xml:space="preserve"> </w:t>
      </w:r>
      <w:r w:rsidR="00DC3A1F">
        <w:rPr>
          <w:color w:val="auto"/>
          <w:sz w:val="24"/>
          <w:lang w:eastAsia="es-CL"/>
        </w:rPr>
        <w:t>Trabajador</w:t>
      </w:r>
      <w:r w:rsidR="00CF6E54" w:rsidRPr="00E11EB9">
        <w:rPr>
          <w:color w:val="auto"/>
          <w:sz w:val="24"/>
          <w:lang w:eastAsia="es-CL"/>
        </w:rPr>
        <w:t>).</w:t>
      </w:r>
    </w:p>
    <w:p w14:paraId="7AD8B217" w14:textId="77777777" w:rsidR="00D87CF4" w:rsidRDefault="00D87CF4" w:rsidP="00CE62F9">
      <w:pPr>
        <w:spacing w:before="240"/>
        <w:jc w:val="both"/>
        <w:rPr>
          <w:color w:val="auto"/>
          <w:sz w:val="24"/>
          <w:lang w:eastAsia="es-CL"/>
        </w:rPr>
      </w:pPr>
    </w:p>
    <w:p w14:paraId="4EF685D9" w14:textId="77777777" w:rsidR="009D4C01" w:rsidRDefault="009D4C01" w:rsidP="009D4C01">
      <w:pPr>
        <w:pStyle w:val="Encabezado"/>
        <w:rPr>
          <w:lang w:eastAsia="es-CL"/>
        </w:rPr>
      </w:pPr>
    </w:p>
    <w:p w14:paraId="6279BB95" w14:textId="77777777" w:rsidR="009D4C01" w:rsidRPr="009D4C01" w:rsidRDefault="009D4C01" w:rsidP="009D4C01">
      <w:pPr>
        <w:pStyle w:val="Encabezado"/>
        <w:rPr>
          <w:lang w:eastAsia="es-CL"/>
        </w:rPr>
      </w:pPr>
    </w:p>
    <w:p w14:paraId="1796795E" w14:textId="060A6FE6" w:rsidR="00A07EBA" w:rsidRPr="00ED26C2" w:rsidRDefault="00A07EBA" w:rsidP="00343562">
      <w:pPr>
        <w:pStyle w:val="Ttulo2"/>
        <w:rPr>
          <w:b w:val="0"/>
          <w:sz w:val="32"/>
          <w:szCs w:val="32"/>
        </w:rPr>
      </w:pPr>
      <w:bookmarkStart w:id="7" w:name="_Toc471999518"/>
      <w:r w:rsidRPr="00ED26C2">
        <w:rPr>
          <w:b w:val="0"/>
          <w:sz w:val="32"/>
          <w:szCs w:val="32"/>
        </w:rPr>
        <w:t>Materias Primas e Insumos</w:t>
      </w:r>
      <w:bookmarkEnd w:id="7"/>
      <w:r w:rsidRPr="00ED26C2">
        <w:rPr>
          <w:b w:val="0"/>
          <w:sz w:val="32"/>
          <w:szCs w:val="32"/>
        </w:rPr>
        <w:t xml:space="preserve"> </w:t>
      </w:r>
    </w:p>
    <w:p w14:paraId="109D7501" w14:textId="0BD2073F" w:rsidR="00AC4176" w:rsidRDefault="00804906" w:rsidP="00CE62F9">
      <w:pPr>
        <w:pStyle w:val="Encabezado"/>
        <w:tabs>
          <w:tab w:val="clear" w:pos="4252"/>
        </w:tabs>
        <w:spacing w:before="240" w:line="276" w:lineRule="auto"/>
        <w:jc w:val="both"/>
        <w:rPr>
          <w:rFonts w:cs="Arial"/>
          <w:bCs/>
          <w:color w:val="000000"/>
          <w:sz w:val="24"/>
        </w:rPr>
      </w:pPr>
      <w:r>
        <w:rPr>
          <w:rFonts w:cs="Arial"/>
          <w:bCs/>
          <w:color w:val="000000"/>
          <w:sz w:val="24"/>
        </w:rPr>
        <w:t xml:space="preserve">El </w:t>
      </w:r>
      <w:proofErr w:type="spellStart"/>
      <w:r>
        <w:rPr>
          <w:rFonts w:cs="Arial"/>
          <w:bCs/>
          <w:color w:val="000000"/>
          <w:sz w:val="24"/>
        </w:rPr>
        <w:t>chorito</w:t>
      </w:r>
      <w:proofErr w:type="spellEnd"/>
      <w:r>
        <w:rPr>
          <w:rFonts w:cs="Arial"/>
          <w:bCs/>
          <w:color w:val="000000"/>
          <w:sz w:val="24"/>
        </w:rPr>
        <w:t xml:space="preserve"> </w:t>
      </w:r>
      <w:r w:rsidRPr="003D218D">
        <w:rPr>
          <w:rFonts w:cs="Arial"/>
          <w:bCs/>
          <w:color w:val="000000"/>
          <w:sz w:val="24"/>
        </w:rPr>
        <w:t>fres</w:t>
      </w:r>
      <w:r w:rsidR="00AC4176" w:rsidRPr="003D218D">
        <w:rPr>
          <w:rFonts w:cs="Arial"/>
          <w:bCs/>
          <w:color w:val="000000"/>
          <w:sz w:val="24"/>
        </w:rPr>
        <w:t>c</w:t>
      </w:r>
      <w:r w:rsidRPr="003D218D">
        <w:rPr>
          <w:rFonts w:cs="Arial"/>
          <w:bCs/>
          <w:color w:val="000000"/>
          <w:sz w:val="24"/>
        </w:rPr>
        <w:t xml:space="preserve">o </w:t>
      </w:r>
      <w:r w:rsidR="00AC4176" w:rsidRPr="003D218D">
        <w:rPr>
          <w:rFonts w:cs="Arial"/>
          <w:bCs/>
          <w:color w:val="000000"/>
          <w:sz w:val="24"/>
        </w:rPr>
        <w:t>(</w:t>
      </w:r>
      <w:proofErr w:type="spellStart"/>
      <w:r w:rsidR="00AC4176" w:rsidRPr="003D218D">
        <w:rPr>
          <w:rFonts w:cs="Arial"/>
          <w:bCs/>
          <w:i/>
          <w:color w:val="000000"/>
          <w:sz w:val="24"/>
        </w:rPr>
        <w:t>Mytilus</w:t>
      </w:r>
      <w:proofErr w:type="spellEnd"/>
      <w:r w:rsidR="00AC4176" w:rsidRPr="003D218D">
        <w:rPr>
          <w:rFonts w:cs="Arial"/>
          <w:bCs/>
          <w:i/>
          <w:color w:val="000000"/>
          <w:sz w:val="24"/>
        </w:rPr>
        <w:t xml:space="preserve"> </w:t>
      </w:r>
      <w:proofErr w:type="spellStart"/>
      <w:r w:rsidR="00AC4176" w:rsidRPr="003D218D">
        <w:rPr>
          <w:rFonts w:cs="Arial"/>
          <w:bCs/>
          <w:i/>
          <w:color w:val="000000"/>
          <w:sz w:val="24"/>
        </w:rPr>
        <w:t>chilensis</w:t>
      </w:r>
      <w:proofErr w:type="spellEnd"/>
      <w:r w:rsidR="00AC4176">
        <w:rPr>
          <w:rFonts w:cs="Arial"/>
          <w:bCs/>
          <w:color w:val="000000"/>
          <w:sz w:val="24"/>
        </w:rPr>
        <w:t>)</w:t>
      </w:r>
      <w:r w:rsidR="003D218D">
        <w:rPr>
          <w:rFonts w:cs="Arial"/>
          <w:bCs/>
          <w:color w:val="000000"/>
          <w:sz w:val="24"/>
        </w:rPr>
        <w:t>,</w:t>
      </w:r>
      <w:r w:rsidR="00AC4176">
        <w:rPr>
          <w:rFonts w:cs="Arial"/>
          <w:bCs/>
          <w:color w:val="000000"/>
          <w:sz w:val="24"/>
        </w:rPr>
        <w:t xml:space="preserve"> </w:t>
      </w:r>
      <w:r>
        <w:rPr>
          <w:rFonts w:cs="Arial"/>
          <w:bCs/>
          <w:color w:val="000000"/>
          <w:sz w:val="24"/>
        </w:rPr>
        <w:t>es l</w:t>
      </w:r>
      <w:r w:rsidR="0044604D" w:rsidRPr="007A53AB">
        <w:rPr>
          <w:rFonts w:cs="Arial"/>
          <w:bCs/>
          <w:color w:val="000000"/>
          <w:sz w:val="24"/>
        </w:rPr>
        <w:t xml:space="preserve">a </w:t>
      </w:r>
      <w:r w:rsidR="00352C45" w:rsidRPr="007A53AB">
        <w:rPr>
          <w:rFonts w:cs="Arial"/>
          <w:bCs/>
          <w:color w:val="000000"/>
          <w:sz w:val="24"/>
        </w:rPr>
        <w:t>materia prima</w:t>
      </w:r>
      <w:r w:rsidR="0044604D" w:rsidRPr="007A53AB">
        <w:rPr>
          <w:rFonts w:cs="Arial"/>
          <w:bCs/>
          <w:color w:val="000000"/>
          <w:sz w:val="24"/>
        </w:rPr>
        <w:t xml:space="preserve"> (MP)</w:t>
      </w:r>
      <w:r w:rsidR="00352C45" w:rsidRPr="007A53AB">
        <w:rPr>
          <w:rFonts w:cs="Arial"/>
          <w:bCs/>
          <w:color w:val="000000"/>
          <w:sz w:val="24"/>
        </w:rPr>
        <w:t xml:space="preserve"> utilizada </w:t>
      </w:r>
      <w:r>
        <w:rPr>
          <w:rFonts w:cs="Arial"/>
          <w:bCs/>
          <w:color w:val="000000"/>
          <w:sz w:val="24"/>
        </w:rPr>
        <w:t xml:space="preserve">por las </w:t>
      </w:r>
      <w:r w:rsidR="00352C45" w:rsidRPr="007A53AB">
        <w:rPr>
          <w:rFonts w:cs="Arial"/>
          <w:bCs/>
          <w:color w:val="000000"/>
          <w:sz w:val="24"/>
        </w:rPr>
        <w:t>plantas de proceso</w:t>
      </w:r>
      <w:r w:rsidR="00A300FB">
        <w:rPr>
          <w:rFonts w:cs="Arial"/>
          <w:bCs/>
          <w:color w:val="000000"/>
          <w:sz w:val="24"/>
        </w:rPr>
        <w:t xml:space="preserve"> para la elaboración del producto final.</w:t>
      </w:r>
    </w:p>
    <w:p w14:paraId="7858ABF9" w14:textId="43B1B922" w:rsidR="00352C45" w:rsidRDefault="00352C45" w:rsidP="00CE62F9">
      <w:pPr>
        <w:pStyle w:val="Encabezado"/>
        <w:tabs>
          <w:tab w:val="clear" w:pos="4252"/>
          <w:tab w:val="center" w:pos="0"/>
        </w:tabs>
        <w:spacing w:before="240" w:line="276" w:lineRule="auto"/>
        <w:jc w:val="both"/>
        <w:rPr>
          <w:rFonts w:cs="Arial"/>
          <w:bCs/>
          <w:color w:val="000000"/>
          <w:sz w:val="24"/>
        </w:rPr>
      </w:pPr>
      <w:r w:rsidRPr="007A53AB">
        <w:rPr>
          <w:rFonts w:cs="Arial"/>
          <w:bCs/>
          <w:color w:val="000000"/>
          <w:sz w:val="24"/>
        </w:rPr>
        <w:t xml:space="preserve">Dentro de los principales insumos </w:t>
      </w:r>
      <w:r w:rsidR="00804906">
        <w:rPr>
          <w:rFonts w:cs="Arial"/>
          <w:bCs/>
          <w:color w:val="000000"/>
          <w:sz w:val="24"/>
        </w:rPr>
        <w:t xml:space="preserve">utilizados en el proceso de elaboración </w:t>
      </w:r>
      <w:r w:rsidR="00A300FB">
        <w:rPr>
          <w:rFonts w:cs="Arial"/>
          <w:bCs/>
          <w:color w:val="000000"/>
          <w:sz w:val="24"/>
        </w:rPr>
        <w:t>s</w:t>
      </w:r>
      <w:r w:rsidRPr="007A53AB">
        <w:rPr>
          <w:rFonts w:cs="Arial"/>
          <w:bCs/>
          <w:color w:val="000000"/>
          <w:sz w:val="24"/>
        </w:rPr>
        <w:t>e encuentran: mallas</w:t>
      </w:r>
      <w:r w:rsidR="00804906">
        <w:rPr>
          <w:rFonts w:cs="Arial"/>
          <w:bCs/>
          <w:color w:val="000000"/>
          <w:sz w:val="24"/>
        </w:rPr>
        <w:t xml:space="preserve"> de cosecha</w:t>
      </w:r>
      <w:r w:rsidRPr="007A53AB">
        <w:rPr>
          <w:rFonts w:cs="Arial"/>
          <w:bCs/>
          <w:color w:val="000000"/>
          <w:sz w:val="24"/>
        </w:rPr>
        <w:t xml:space="preserve">, </w:t>
      </w:r>
      <w:proofErr w:type="spellStart"/>
      <w:r w:rsidRPr="007A53AB">
        <w:rPr>
          <w:rFonts w:cs="Arial"/>
          <w:bCs/>
          <w:color w:val="000000"/>
          <w:sz w:val="24"/>
        </w:rPr>
        <w:t>bins</w:t>
      </w:r>
      <w:proofErr w:type="spellEnd"/>
      <w:r w:rsidRPr="007A53AB">
        <w:rPr>
          <w:rFonts w:cs="Arial"/>
          <w:bCs/>
          <w:color w:val="000000"/>
          <w:sz w:val="24"/>
        </w:rPr>
        <w:t xml:space="preserve">, </w:t>
      </w:r>
      <w:proofErr w:type="spellStart"/>
      <w:r w:rsidRPr="007A53AB">
        <w:rPr>
          <w:rFonts w:cs="Arial"/>
          <w:bCs/>
          <w:color w:val="000000"/>
          <w:sz w:val="24"/>
        </w:rPr>
        <w:t>maxisacos</w:t>
      </w:r>
      <w:proofErr w:type="spellEnd"/>
      <w:r w:rsidRPr="007A53AB">
        <w:rPr>
          <w:rFonts w:cs="Arial"/>
          <w:bCs/>
          <w:color w:val="000000"/>
          <w:sz w:val="24"/>
        </w:rPr>
        <w:t xml:space="preserve">, cajas cartón, bolsas plásticas, cintas embalaje, etiquetas, </w:t>
      </w:r>
      <w:proofErr w:type="spellStart"/>
      <w:r w:rsidRPr="007A53AB">
        <w:rPr>
          <w:rFonts w:cs="Arial"/>
          <w:bCs/>
          <w:color w:val="000000"/>
          <w:sz w:val="24"/>
        </w:rPr>
        <w:t>vitafilm</w:t>
      </w:r>
      <w:proofErr w:type="spellEnd"/>
      <w:r w:rsidRPr="007A53AB">
        <w:rPr>
          <w:rFonts w:cs="Arial"/>
          <w:bCs/>
          <w:color w:val="000000"/>
          <w:sz w:val="24"/>
        </w:rPr>
        <w:t xml:space="preserve">, pallets madera, pallets plásticos, tocas, guantes quirúrgico, guantes de hilo, botas, mascarillas, protectores auditivos, pecheras desechables, salsas, aceites y grasas. Los consumos </w:t>
      </w:r>
      <w:r w:rsidR="00F8595A">
        <w:rPr>
          <w:rFonts w:cs="Arial"/>
          <w:bCs/>
          <w:color w:val="000000"/>
          <w:sz w:val="24"/>
        </w:rPr>
        <w:t xml:space="preserve">promedios </w:t>
      </w:r>
      <w:r w:rsidRPr="007A53AB">
        <w:rPr>
          <w:rFonts w:cs="Arial"/>
          <w:bCs/>
          <w:color w:val="000000"/>
          <w:sz w:val="24"/>
        </w:rPr>
        <w:t>informados</w:t>
      </w:r>
      <w:r w:rsidR="00F8595A">
        <w:rPr>
          <w:rFonts w:cs="Arial"/>
          <w:bCs/>
          <w:color w:val="000000"/>
          <w:sz w:val="24"/>
        </w:rPr>
        <w:t xml:space="preserve"> </w:t>
      </w:r>
      <w:r w:rsidR="00F8595A" w:rsidRPr="00301CAE">
        <w:rPr>
          <w:rFonts w:cs="Arial"/>
          <w:bCs/>
          <w:color w:val="000000"/>
          <w:sz w:val="24"/>
        </w:rPr>
        <w:t>por las empresas</w:t>
      </w:r>
      <w:r w:rsidR="00F869D1" w:rsidRPr="00301CAE">
        <w:rPr>
          <w:rFonts w:cs="Arial"/>
          <w:bCs/>
          <w:color w:val="000000"/>
          <w:sz w:val="24"/>
        </w:rPr>
        <w:t xml:space="preserve"> para la elaboración de </w:t>
      </w:r>
      <w:r w:rsidRPr="00301CAE">
        <w:rPr>
          <w:rFonts w:cs="Arial"/>
          <w:bCs/>
          <w:color w:val="000000"/>
          <w:sz w:val="24"/>
        </w:rPr>
        <w:t>Mil</w:t>
      </w:r>
      <w:r w:rsidR="00F8595A" w:rsidRPr="00301CAE">
        <w:rPr>
          <w:rFonts w:cs="Arial"/>
          <w:bCs/>
          <w:color w:val="000000"/>
          <w:sz w:val="24"/>
        </w:rPr>
        <w:t xml:space="preserve"> toneladas</w:t>
      </w:r>
      <w:r w:rsidRPr="00301CAE">
        <w:rPr>
          <w:rFonts w:cs="Arial"/>
          <w:bCs/>
          <w:color w:val="000000"/>
          <w:sz w:val="24"/>
        </w:rPr>
        <w:t xml:space="preserve"> se detallan en la Figura </w:t>
      </w:r>
      <w:r w:rsidR="00D446B4" w:rsidRPr="00301CAE">
        <w:rPr>
          <w:rFonts w:cs="Arial"/>
          <w:bCs/>
          <w:color w:val="000000"/>
          <w:sz w:val="24"/>
        </w:rPr>
        <w:t>6</w:t>
      </w:r>
      <w:r w:rsidRPr="00301CAE">
        <w:rPr>
          <w:rFonts w:cs="Arial"/>
          <w:bCs/>
          <w:color w:val="000000"/>
          <w:sz w:val="24"/>
        </w:rPr>
        <w:t>.</w:t>
      </w:r>
    </w:p>
    <w:p w14:paraId="5BA04E90" w14:textId="6E35C637" w:rsidR="00301CAE" w:rsidRDefault="00301CAE" w:rsidP="00CE62F9">
      <w:pPr>
        <w:pStyle w:val="Encabezado"/>
        <w:spacing w:before="240" w:line="276" w:lineRule="auto"/>
        <w:rPr>
          <w:rFonts w:cs="Arial"/>
          <w:bCs/>
          <w:color w:val="000000"/>
          <w:sz w:val="24"/>
        </w:rPr>
      </w:pPr>
      <w:r>
        <w:rPr>
          <w:noProof/>
          <w:lang w:val="es-CL" w:eastAsia="es-CL"/>
        </w:rPr>
        <w:lastRenderedPageBreak/>
        <w:drawing>
          <wp:inline distT="0" distB="0" distL="0" distR="0" wp14:anchorId="20022D16" wp14:editId="114A1987">
            <wp:extent cx="3667125" cy="4800600"/>
            <wp:effectExtent l="0" t="0" r="9525" b="19050"/>
            <wp:docPr id="98" name="Gráfico 9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8A613B8" w14:textId="10E0EFBC" w:rsidR="00352C45" w:rsidRPr="007A53AB" w:rsidRDefault="00301CAE" w:rsidP="009D6C1D">
      <w:pPr>
        <w:pStyle w:val="Encabezado"/>
        <w:rPr>
          <w:rFonts w:cs="Arial"/>
          <w:bCs/>
          <w:color w:val="000000"/>
          <w:sz w:val="24"/>
        </w:rPr>
      </w:pPr>
      <w:r>
        <w:rPr>
          <w:rFonts w:cs="Arial"/>
          <w:b/>
          <w:bCs/>
          <w:color w:val="000000"/>
          <w:sz w:val="24"/>
        </w:rPr>
        <w:t>F</w:t>
      </w:r>
      <w:r w:rsidR="00352C45" w:rsidRPr="007A53AB">
        <w:rPr>
          <w:rFonts w:cs="Arial"/>
          <w:b/>
          <w:bCs/>
          <w:color w:val="000000"/>
          <w:sz w:val="24"/>
        </w:rPr>
        <w:t xml:space="preserve">igura </w:t>
      </w:r>
      <w:r w:rsidR="00D446B4">
        <w:rPr>
          <w:rFonts w:cs="Arial"/>
          <w:b/>
          <w:bCs/>
          <w:color w:val="000000"/>
          <w:sz w:val="24"/>
        </w:rPr>
        <w:t>6</w:t>
      </w:r>
      <w:r w:rsidR="00352C45" w:rsidRPr="007A53AB">
        <w:rPr>
          <w:rFonts w:cs="Arial"/>
          <w:bCs/>
          <w:color w:val="000000"/>
          <w:sz w:val="24"/>
        </w:rPr>
        <w:t xml:space="preserve">. </w:t>
      </w:r>
      <w:r>
        <w:rPr>
          <w:rFonts w:cs="Arial"/>
          <w:bCs/>
          <w:color w:val="000000"/>
          <w:sz w:val="24"/>
        </w:rPr>
        <w:t>In</w:t>
      </w:r>
      <w:r w:rsidR="00352C45" w:rsidRPr="007A53AB">
        <w:rPr>
          <w:rFonts w:cs="Arial"/>
          <w:bCs/>
          <w:color w:val="000000"/>
          <w:sz w:val="24"/>
        </w:rPr>
        <w:t>sumos por cada mil t</w:t>
      </w:r>
      <w:r w:rsidR="00E91DAA">
        <w:rPr>
          <w:rFonts w:cs="Arial"/>
          <w:bCs/>
          <w:color w:val="000000"/>
          <w:sz w:val="24"/>
        </w:rPr>
        <w:t>oneladas de producto final (I</w:t>
      </w:r>
      <w:r w:rsidR="005D0CCA">
        <w:rPr>
          <w:rFonts w:cs="Arial"/>
          <w:bCs/>
          <w:color w:val="000000"/>
          <w:sz w:val="24"/>
        </w:rPr>
        <w:t>nsumo</w:t>
      </w:r>
      <w:r>
        <w:rPr>
          <w:rFonts w:cs="Arial"/>
          <w:bCs/>
          <w:color w:val="000000"/>
          <w:sz w:val="24"/>
        </w:rPr>
        <w:t xml:space="preserve"> </w:t>
      </w:r>
      <w:r w:rsidR="005D0CCA">
        <w:rPr>
          <w:rFonts w:cs="Arial"/>
          <w:bCs/>
          <w:color w:val="000000"/>
          <w:sz w:val="24"/>
        </w:rPr>
        <w:t>/</w:t>
      </w:r>
      <w:r>
        <w:rPr>
          <w:rFonts w:cs="Arial"/>
          <w:bCs/>
          <w:color w:val="000000"/>
          <w:sz w:val="24"/>
        </w:rPr>
        <w:t xml:space="preserve">Mil Ton </w:t>
      </w:r>
      <w:r w:rsidR="005D0CCA">
        <w:rPr>
          <w:rFonts w:cs="Arial"/>
          <w:bCs/>
          <w:color w:val="000000"/>
          <w:sz w:val="24"/>
        </w:rPr>
        <w:t>PF</w:t>
      </w:r>
      <w:r w:rsidR="00CB3619">
        <w:rPr>
          <w:rFonts w:cs="Arial"/>
          <w:bCs/>
          <w:color w:val="000000"/>
          <w:sz w:val="24"/>
        </w:rPr>
        <w:t>)</w:t>
      </w:r>
      <w:r w:rsidR="005D0CCA">
        <w:rPr>
          <w:rFonts w:cs="Arial"/>
          <w:bCs/>
          <w:color w:val="000000"/>
          <w:sz w:val="24"/>
        </w:rPr>
        <w:t>.</w:t>
      </w:r>
    </w:p>
    <w:p w14:paraId="01A460BE" w14:textId="77777777" w:rsidR="00D04B0F" w:rsidRDefault="00810EEB" w:rsidP="00CE62F9">
      <w:pPr>
        <w:pStyle w:val="Sinespaciado"/>
        <w:spacing w:before="240" w:line="276" w:lineRule="auto"/>
        <w:rPr>
          <w:rFonts w:eastAsiaTheme="minorHAnsi" w:cs="Arial"/>
          <w:bCs/>
          <w:color w:val="000000"/>
          <w:lang w:val="es-ES" w:eastAsia="en-US"/>
        </w:rPr>
      </w:pPr>
      <w:r w:rsidRPr="0091685A">
        <w:rPr>
          <w:rFonts w:eastAsiaTheme="minorHAnsi" w:cs="Arial"/>
          <w:bCs/>
          <w:color w:val="000000"/>
          <w:lang w:val="es-ES" w:eastAsia="en-US"/>
        </w:rPr>
        <w:t>De los re</w:t>
      </w:r>
      <w:r w:rsidR="00301CAE">
        <w:rPr>
          <w:rFonts w:eastAsiaTheme="minorHAnsi" w:cs="Arial"/>
          <w:bCs/>
          <w:color w:val="000000"/>
          <w:lang w:val="es-ES" w:eastAsia="en-US"/>
        </w:rPr>
        <w:t>sultados anteriores se identifica</w:t>
      </w:r>
      <w:r w:rsidRPr="0091685A">
        <w:rPr>
          <w:rFonts w:eastAsiaTheme="minorHAnsi" w:cs="Arial"/>
          <w:bCs/>
          <w:color w:val="000000"/>
          <w:lang w:val="es-ES" w:eastAsia="en-US"/>
        </w:rPr>
        <w:t xml:space="preserve"> que los principales insumos </w:t>
      </w:r>
      <w:r w:rsidR="00857989" w:rsidRPr="0091685A">
        <w:rPr>
          <w:rFonts w:eastAsiaTheme="minorHAnsi" w:cs="Arial"/>
          <w:bCs/>
          <w:color w:val="000000"/>
          <w:lang w:val="es-ES" w:eastAsia="en-US"/>
        </w:rPr>
        <w:t xml:space="preserve">en promedio </w:t>
      </w:r>
      <w:r w:rsidRPr="0091685A">
        <w:rPr>
          <w:rFonts w:eastAsiaTheme="minorHAnsi" w:cs="Arial"/>
          <w:bCs/>
          <w:color w:val="000000"/>
          <w:lang w:val="es-ES" w:eastAsia="en-US"/>
        </w:rPr>
        <w:t>utilizados son: bolsas plásticas (</w:t>
      </w:r>
      <w:r w:rsidR="0005620E" w:rsidRPr="0091685A">
        <w:rPr>
          <w:rFonts w:eastAsiaTheme="minorHAnsi" w:cs="Arial"/>
          <w:bCs/>
          <w:color w:val="000000"/>
          <w:lang w:val="es-ES" w:eastAsia="en-US"/>
        </w:rPr>
        <w:t xml:space="preserve">355.598 </w:t>
      </w:r>
      <w:r w:rsidRPr="0091685A">
        <w:rPr>
          <w:rFonts w:eastAsiaTheme="minorHAnsi" w:cs="Arial"/>
          <w:bCs/>
          <w:color w:val="000000"/>
          <w:lang w:val="es-ES" w:eastAsia="en-US"/>
        </w:rPr>
        <w:t>u/Mil Ton PF), etiquetas (</w:t>
      </w:r>
      <w:r w:rsidR="0005620E" w:rsidRPr="0091685A">
        <w:rPr>
          <w:rFonts w:eastAsiaTheme="minorHAnsi" w:cs="Arial"/>
          <w:bCs/>
          <w:color w:val="000000"/>
          <w:lang w:val="es-ES" w:eastAsia="en-US"/>
        </w:rPr>
        <w:t xml:space="preserve">345.394 </w:t>
      </w:r>
      <w:r w:rsidRPr="0091685A">
        <w:rPr>
          <w:rFonts w:eastAsiaTheme="minorHAnsi" w:cs="Arial"/>
          <w:bCs/>
          <w:color w:val="000000"/>
          <w:lang w:val="es-ES" w:eastAsia="en-US"/>
        </w:rPr>
        <w:t>u/ Mil Ton PF), cajas de cartón (</w:t>
      </w:r>
      <w:r w:rsidR="0005620E" w:rsidRPr="0091685A">
        <w:rPr>
          <w:rFonts w:eastAsiaTheme="minorHAnsi" w:cs="Arial"/>
          <w:bCs/>
          <w:color w:val="000000"/>
          <w:lang w:val="es-ES" w:eastAsia="en-US"/>
        </w:rPr>
        <w:t>154.794</w:t>
      </w:r>
      <w:r w:rsidRPr="0091685A">
        <w:rPr>
          <w:rFonts w:eastAsiaTheme="minorHAnsi" w:cs="Arial"/>
          <w:bCs/>
          <w:color w:val="000000"/>
          <w:lang w:val="es-ES" w:eastAsia="en-US"/>
        </w:rPr>
        <w:t xml:space="preserve"> u/ Mil Ton PF), mallas (5</w:t>
      </w:r>
      <w:r w:rsidR="00352F02" w:rsidRPr="0091685A">
        <w:rPr>
          <w:rFonts w:eastAsiaTheme="minorHAnsi" w:cs="Arial"/>
          <w:bCs/>
          <w:color w:val="000000"/>
          <w:lang w:val="es-ES" w:eastAsia="en-US"/>
        </w:rPr>
        <w:t>9</w:t>
      </w:r>
      <w:r w:rsidRPr="0091685A">
        <w:rPr>
          <w:rFonts w:eastAsiaTheme="minorHAnsi" w:cs="Arial"/>
          <w:bCs/>
          <w:color w:val="000000"/>
          <w:lang w:val="es-ES" w:eastAsia="en-US"/>
        </w:rPr>
        <w:t>.</w:t>
      </w:r>
      <w:r w:rsidR="00352F02" w:rsidRPr="0091685A">
        <w:rPr>
          <w:rFonts w:eastAsiaTheme="minorHAnsi" w:cs="Arial"/>
          <w:bCs/>
          <w:color w:val="000000"/>
          <w:lang w:val="es-ES" w:eastAsia="en-US"/>
        </w:rPr>
        <w:t xml:space="preserve">318 </w:t>
      </w:r>
      <w:r w:rsidRPr="0091685A">
        <w:rPr>
          <w:rFonts w:eastAsiaTheme="minorHAnsi" w:cs="Arial"/>
          <w:bCs/>
          <w:color w:val="000000"/>
          <w:lang w:val="es-ES" w:eastAsia="en-US"/>
        </w:rPr>
        <w:t>u/ Mil Ton PF).</w:t>
      </w:r>
      <w:r w:rsidR="002878D8">
        <w:rPr>
          <w:rFonts w:eastAsiaTheme="minorHAnsi" w:cs="Arial"/>
          <w:bCs/>
          <w:color w:val="000000"/>
          <w:lang w:val="es-ES" w:eastAsia="en-US"/>
        </w:rPr>
        <w:t xml:space="preserve"> </w:t>
      </w:r>
    </w:p>
    <w:p w14:paraId="50ECC5BC" w14:textId="1E407310" w:rsidR="00BF128F" w:rsidRPr="007A53AB" w:rsidRDefault="00D04B0F" w:rsidP="00CE62F9">
      <w:pPr>
        <w:pStyle w:val="Sinespaciado"/>
        <w:spacing w:before="240" w:line="276" w:lineRule="auto"/>
        <w:rPr>
          <w:rFonts w:hint="eastAsia"/>
        </w:rPr>
      </w:pPr>
      <w:r>
        <w:rPr>
          <w:rFonts w:eastAsiaTheme="minorHAnsi" w:cs="Arial"/>
          <w:bCs/>
          <w:color w:val="000000"/>
          <w:lang w:val="es-ES" w:eastAsia="en-US"/>
        </w:rPr>
        <w:t xml:space="preserve">Cabe destacar  que  gran parte de los </w:t>
      </w:r>
      <w:r w:rsidR="00FA447E" w:rsidRPr="0091685A">
        <w:rPr>
          <w:rFonts w:eastAsiaTheme="minorHAnsi" w:cs="Arial"/>
          <w:bCs/>
          <w:color w:val="000000"/>
          <w:lang w:val="es-ES" w:eastAsia="en-US"/>
        </w:rPr>
        <w:t xml:space="preserve">insumos utilizados </w:t>
      </w:r>
      <w:r>
        <w:rPr>
          <w:rFonts w:eastAsiaTheme="minorHAnsi" w:cs="Arial"/>
          <w:bCs/>
          <w:color w:val="000000"/>
          <w:lang w:val="es-ES" w:eastAsia="en-US"/>
        </w:rPr>
        <w:t xml:space="preserve">por las plantas de proceso </w:t>
      </w:r>
      <w:r w:rsidR="00FA447E" w:rsidRPr="0091685A">
        <w:rPr>
          <w:rFonts w:eastAsiaTheme="minorHAnsi" w:cs="Arial"/>
          <w:bCs/>
          <w:color w:val="000000"/>
          <w:lang w:val="es-ES" w:eastAsia="en-US"/>
        </w:rPr>
        <w:t xml:space="preserve">son </w:t>
      </w:r>
      <w:r>
        <w:rPr>
          <w:rFonts w:eastAsiaTheme="minorHAnsi" w:cs="Arial"/>
          <w:bCs/>
          <w:color w:val="000000"/>
          <w:lang w:val="es-ES" w:eastAsia="en-US"/>
        </w:rPr>
        <w:t xml:space="preserve">de </w:t>
      </w:r>
      <w:proofErr w:type="spellStart"/>
      <w:r>
        <w:rPr>
          <w:rFonts w:eastAsiaTheme="minorHAnsi" w:cs="Arial"/>
          <w:bCs/>
          <w:color w:val="000000"/>
          <w:lang w:val="es-ES" w:eastAsia="en-US"/>
        </w:rPr>
        <w:t>de</w:t>
      </w:r>
      <w:proofErr w:type="spellEnd"/>
      <w:r>
        <w:rPr>
          <w:rFonts w:eastAsiaTheme="minorHAnsi" w:cs="Arial"/>
          <w:bCs/>
          <w:color w:val="000000"/>
          <w:lang w:val="es-ES" w:eastAsia="en-US"/>
        </w:rPr>
        <w:t xml:space="preserve"> </w:t>
      </w:r>
      <w:r w:rsidR="00FA447E" w:rsidRPr="0091685A">
        <w:rPr>
          <w:rFonts w:eastAsiaTheme="minorHAnsi" w:cs="Arial"/>
          <w:bCs/>
          <w:color w:val="000000"/>
          <w:lang w:val="es-ES" w:eastAsia="en-US"/>
        </w:rPr>
        <w:t xml:space="preserve"> materiales como plástico</w:t>
      </w:r>
      <w:r w:rsidR="00751C26">
        <w:rPr>
          <w:rFonts w:eastAsiaTheme="minorHAnsi" w:cs="Arial"/>
          <w:bCs/>
          <w:color w:val="000000"/>
          <w:lang w:val="es-ES" w:eastAsia="en-US"/>
        </w:rPr>
        <w:t xml:space="preserve"> </w:t>
      </w:r>
      <w:r w:rsidR="00FA447E" w:rsidRPr="0091685A">
        <w:rPr>
          <w:rFonts w:eastAsiaTheme="minorHAnsi" w:cs="Arial"/>
          <w:bCs/>
          <w:color w:val="000000"/>
          <w:lang w:val="es-ES" w:eastAsia="en-US"/>
        </w:rPr>
        <w:t xml:space="preserve">y cartón, los </w:t>
      </w:r>
      <w:r>
        <w:rPr>
          <w:rFonts w:eastAsiaTheme="minorHAnsi" w:cs="Arial"/>
          <w:bCs/>
          <w:color w:val="000000"/>
          <w:lang w:val="es-ES" w:eastAsia="en-US"/>
        </w:rPr>
        <w:t xml:space="preserve">que </w:t>
      </w:r>
      <w:r w:rsidR="00FA447E" w:rsidRPr="0091685A">
        <w:rPr>
          <w:rFonts w:eastAsiaTheme="minorHAnsi" w:cs="Arial"/>
          <w:bCs/>
          <w:color w:val="000000"/>
          <w:lang w:val="es-ES" w:eastAsia="en-US"/>
        </w:rPr>
        <w:t xml:space="preserve">posteriormente pasan a formar parte de los residuos sólidos de las </w:t>
      </w:r>
      <w:r>
        <w:rPr>
          <w:lang w:val="es-ES"/>
        </w:rPr>
        <w:t>empresas.</w:t>
      </w:r>
    </w:p>
    <w:p w14:paraId="6796BC4B" w14:textId="77777777" w:rsidR="00ED26C2" w:rsidRDefault="00ED26C2" w:rsidP="00343562">
      <w:pPr>
        <w:pStyle w:val="Ttulo2"/>
        <w:rPr>
          <w:b w:val="0"/>
          <w:sz w:val="32"/>
          <w:szCs w:val="32"/>
        </w:rPr>
      </w:pPr>
      <w:bookmarkStart w:id="8" w:name="_Toc471999519"/>
    </w:p>
    <w:p w14:paraId="7AAA5D05" w14:textId="551DA7B7" w:rsidR="004377CC" w:rsidRPr="00ED26C2" w:rsidRDefault="004377CC" w:rsidP="00343562">
      <w:pPr>
        <w:pStyle w:val="Ttulo2"/>
        <w:rPr>
          <w:b w:val="0"/>
          <w:sz w:val="32"/>
          <w:szCs w:val="32"/>
        </w:rPr>
      </w:pPr>
      <w:r w:rsidRPr="00ED26C2">
        <w:rPr>
          <w:b w:val="0"/>
          <w:sz w:val="32"/>
          <w:szCs w:val="32"/>
        </w:rPr>
        <w:t>Consumos de Agua</w:t>
      </w:r>
      <w:bookmarkEnd w:id="8"/>
      <w:r w:rsidRPr="00ED26C2">
        <w:rPr>
          <w:b w:val="0"/>
          <w:sz w:val="32"/>
          <w:szCs w:val="32"/>
        </w:rPr>
        <w:t xml:space="preserve"> </w:t>
      </w:r>
    </w:p>
    <w:p w14:paraId="5007ADF1" w14:textId="77777777" w:rsidR="00846AD9" w:rsidRDefault="00763B81" w:rsidP="00CE62F9">
      <w:pPr>
        <w:pStyle w:val="NormalWeb"/>
        <w:shd w:val="clear" w:color="auto" w:fill="FFFFFF"/>
        <w:spacing w:before="240" w:beforeAutospacing="0" w:after="0" w:afterAutospacing="0" w:line="276" w:lineRule="auto"/>
        <w:jc w:val="both"/>
        <w:rPr>
          <w:rFonts w:ascii="Titillium" w:eastAsiaTheme="minorHAnsi" w:hAnsi="Titillium" w:cs="Arial"/>
          <w:bCs/>
          <w:color w:val="000000"/>
          <w:szCs w:val="22"/>
          <w:lang w:val="es-ES" w:eastAsia="en-US"/>
        </w:rPr>
      </w:pPr>
      <w:r w:rsidRPr="00246095">
        <w:rPr>
          <w:rFonts w:ascii="Titillium" w:eastAsiaTheme="minorHAnsi" w:hAnsi="Titillium" w:cs="Arial"/>
          <w:bCs/>
          <w:color w:val="000000"/>
          <w:szCs w:val="22"/>
          <w:lang w:val="es-ES" w:eastAsia="en-US"/>
        </w:rPr>
        <w:t>El agua dulce es un recurso natural indispensable para la supervivencia de todos los</w:t>
      </w:r>
      <w:r w:rsidRPr="00246095">
        <w:rPr>
          <w:rFonts w:ascii="Titillium" w:eastAsiaTheme="minorHAnsi" w:hAnsi="Titillium"/>
          <w:bCs/>
          <w:color w:val="000000"/>
          <w:szCs w:val="22"/>
          <w:lang w:val="es-ES" w:eastAsia="en-US"/>
        </w:rPr>
        <w:t> </w:t>
      </w:r>
      <w:hyperlink r:id="rId25" w:tooltip="Ecosistema" w:history="1">
        <w:r w:rsidRPr="00246095">
          <w:rPr>
            <w:rFonts w:ascii="Titillium" w:eastAsiaTheme="minorHAnsi" w:hAnsi="Titillium"/>
            <w:bCs/>
            <w:color w:val="000000"/>
            <w:szCs w:val="22"/>
            <w:lang w:val="es-ES" w:eastAsia="en-US"/>
          </w:rPr>
          <w:t>ecosistemas</w:t>
        </w:r>
      </w:hyperlink>
      <w:r w:rsidRPr="00246095">
        <w:rPr>
          <w:rFonts w:ascii="Titillium" w:eastAsiaTheme="minorHAnsi" w:hAnsi="Titillium" w:cs="Arial"/>
          <w:bCs/>
          <w:color w:val="000000"/>
          <w:szCs w:val="22"/>
          <w:lang w:val="es-ES" w:eastAsia="en-US"/>
        </w:rPr>
        <w:t xml:space="preserve">. Los seres humanos utilizan el agua para consumo y  como recurso en actividades industriales. </w:t>
      </w:r>
    </w:p>
    <w:p w14:paraId="197C7ABC" w14:textId="77777777" w:rsidR="00846AD9" w:rsidRDefault="00763B81" w:rsidP="00CE62F9">
      <w:pPr>
        <w:pStyle w:val="NormalWeb"/>
        <w:shd w:val="clear" w:color="auto" w:fill="FFFFFF"/>
        <w:spacing w:before="240" w:beforeAutospacing="0" w:after="0" w:afterAutospacing="0" w:line="276" w:lineRule="auto"/>
        <w:jc w:val="both"/>
        <w:rPr>
          <w:rFonts w:ascii="Titillium" w:eastAsiaTheme="minorHAnsi" w:hAnsi="Titillium" w:cs="Arial"/>
          <w:bCs/>
          <w:color w:val="000000"/>
          <w:szCs w:val="22"/>
          <w:lang w:val="es-ES" w:eastAsia="en-US"/>
        </w:rPr>
      </w:pPr>
      <w:r w:rsidRPr="00246095">
        <w:rPr>
          <w:rFonts w:ascii="Titillium" w:eastAsiaTheme="minorHAnsi" w:hAnsi="Titillium" w:cs="Arial"/>
          <w:bCs/>
          <w:color w:val="000000"/>
          <w:szCs w:val="22"/>
          <w:lang w:val="es-ES" w:eastAsia="en-US"/>
        </w:rPr>
        <w:t>El agua dulce es un</w:t>
      </w:r>
      <w:r w:rsidRPr="00246095">
        <w:rPr>
          <w:rFonts w:ascii="Titillium" w:eastAsiaTheme="minorHAnsi" w:hAnsi="Titillium"/>
          <w:bCs/>
          <w:color w:val="000000"/>
          <w:szCs w:val="22"/>
          <w:lang w:val="es-ES" w:eastAsia="en-US"/>
        </w:rPr>
        <w:t> </w:t>
      </w:r>
      <w:hyperlink r:id="rId26" w:tooltip="Recurso natural" w:history="1">
        <w:r w:rsidRPr="00246095">
          <w:rPr>
            <w:rFonts w:ascii="Titillium" w:eastAsiaTheme="minorHAnsi" w:hAnsi="Titillium"/>
            <w:bCs/>
            <w:color w:val="000000"/>
            <w:szCs w:val="22"/>
            <w:lang w:val="es-ES" w:eastAsia="en-US"/>
          </w:rPr>
          <w:t>recurso natural</w:t>
        </w:r>
      </w:hyperlink>
      <w:r w:rsidRPr="00246095">
        <w:rPr>
          <w:rFonts w:ascii="Titillium" w:eastAsiaTheme="minorHAnsi" w:hAnsi="Titillium"/>
          <w:bCs/>
          <w:color w:val="000000"/>
          <w:szCs w:val="22"/>
          <w:lang w:val="es-ES" w:eastAsia="en-US"/>
        </w:rPr>
        <w:t> </w:t>
      </w:r>
      <w:hyperlink r:id="rId27" w:tooltip="Recurso renovable" w:history="1">
        <w:r w:rsidRPr="00246095">
          <w:rPr>
            <w:rFonts w:ascii="Titillium" w:eastAsiaTheme="minorHAnsi" w:hAnsi="Titillium"/>
            <w:bCs/>
            <w:color w:val="000000"/>
            <w:szCs w:val="22"/>
            <w:lang w:val="es-ES" w:eastAsia="en-US"/>
          </w:rPr>
          <w:t>renovable</w:t>
        </w:r>
      </w:hyperlink>
      <w:r w:rsidRPr="00246095">
        <w:rPr>
          <w:rFonts w:ascii="Titillium" w:eastAsiaTheme="minorHAnsi" w:hAnsi="Titillium" w:cs="Arial"/>
          <w:bCs/>
          <w:color w:val="000000"/>
          <w:szCs w:val="22"/>
          <w:lang w:val="es-ES" w:eastAsia="en-US"/>
        </w:rPr>
        <w:t>, variable y  limitado</w:t>
      </w:r>
      <w:r w:rsidR="008B59A4" w:rsidRPr="00246095">
        <w:rPr>
          <w:rFonts w:ascii="Titillium" w:eastAsiaTheme="minorHAnsi" w:hAnsi="Titillium" w:cs="Arial"/>
          <w:bCs/>
          <w:color w:val="000000"/>
          <w:szCs w:val="22"/>
          <w:lang w:val="es-ES" w:eastAsia="en-US"/>
        </w:rPr>
        <w:t xml:space="preserve">, </w:t>
      </w:r>
      <w:r w:rsidRPr="00246095">
        <w:rPr>
          <w:rFonts w:ascii="Titillium" w:eastAsiaTheme="minorHAnsi" w:hAnsi="Titillium" w:cs="Arial"/>
          <w:bCs/>
          <w:color w:val="000000"/>
          <w:szCs w:val="22"/>
          <w:lang w:val="es-ES" w:eastAsia="en-US"/>
        </w:rPr>
        <w:t>sólo puede reponerse a través del</w:t>
      </w:r>
      <w:r w:rsidRPr="00246095">
        <w:rPr>
          <w:rFonts w:ascii="Titillium" w:eastAsiaTheme="minorHAnsi" w:hAnsi="Titillium"/>
          <w:bCs/>
          <w:color w:val="000000"/>
          <w:szCs w:val="22"/>
          <w:lang w:val="es-ES" w:eastAsia="en-US"/>
        </w:rPr>
        <w:t> </w:t>
      </w:r>
      <w:hyperlink r:id="rId28" w:tooltip="Ciclo del agua" w:history="1">
        <w:r w:rsidRPr="00246095">
          <w:rPr>
            <w:rFonts w:ascii="Titillium" w:eastAsiaTheme="minorHAnsi" w:hAnsi="Titillium"/>
            <w:bCs/>
            <w:color w:val="000000"/>
            <w:szCs w:val="22"/>
            <w:lang w:val="es-ES" w:eastAsia="en-US"/>
          </w:rPr>
          <w:t>ciclo del agua</w:t>
        </w:r>
      </w:hyperlink>
      <w:r w:rsidRPr="00246095">
        <w:rPr>
          <w:rFonts w:ascii="Titillium" w:eastAsiaTheme="minorHAnsi" w:hAnsi="Titillium" w:cs="Arial"/>
          <w:bCs/>
          <w:color w:val="000000"/>
          <w:szCs w:val="22"/>
          <w:lang w:val="es-ES" w:eastAsia="en-US"/>
        </w:rPr>
        <w:t xml:space="preserve">, </w:t>
      </w:r>
      <w:r w:rsidR="008B59A4" w:rsidRPr="00246095">
        <w:rPr>
          <w:rFonts w:ascii="Titillium" w:eastAsiaTheme="minorHAnsi" w:hAnsi="Titillium" w:cs="Arial"/>
          <w:bCs/>
          <w:color w:val="000000"/>
          <w:szCs w:val="22"/>
          <w:lang w:val="es-ES" w:eastAsia="en-US"/>
        </w:rPr>
        <w:t>pr</w:t>
      </w:r>
      <w:r w:rsidRPr="00246095">
        <w:rPr>
          <w:rFonts w:ascii="Titillium" w:eastAsiaTheme="minorHAnsi" w:hAnsi="Titillium" w:cs="Arial"/>
          <w:bCs/>
          <w:color w:val="000000"/>
          <w:szCs w:val="22"/>
          <w:lang w:val="es-ES" w:eastAsia="en-US"/>
        </w:rPr>
        <w:t xml:space="preserve">oceso en el cual el agua de los mares, lagos, bosques, tierras, ríos y embalses se evapora, forma nubes y vuelve a través de la precipitación. Sin embargo, si las </w:t>
      </w:r>
      <w:r w:rsidR="008B59A4" w:rsidRPr="00246095">
        <w:rPr>
          <w:rFonts w:ascii="Titillium" w:eastAsiaTheme="minorHAnsi" w:hAnsi="Titillium" w:cs="Arial"/>
          <w:bCs/>
          <w:color w:val="000000"/>
          <w:szCs w:val="22"/>
          <w:lang w:val="es-ES" w:eastAsia="en-US"/>
        </w:rPr>
        <w:t>actividades humanas consumen mayor cantidad de</w:t>
      </w:r>
      <w:r w:rsidRPr="00246095">
        <w:rPr>
          <w:rFonts w:ascii="Titillium" w:eastAsiaTheme="minorHAnsi" w:hAnsi="Titillium" w:cs="Arial"/>
          <w:bCs/>
          <w:color w:val="000000"/>
          <w:szCs w:val="22"/>
          <w:lang w:val="es-ES" w:eastAsia="en-US"/>
        </w:rPr>
        <w:t xml:space="preserve"> agua dulce </w:t>
      </w:r>
      <w:r w:rsidR="008B59A4" w:rsidRPr="00246095">
        <w:rPr>
          <w:rFonts w:ascii="Titillium" w:eastAsiaTheme="minorHAnsi" w:hAnsi="Titillium" w:cs="Arial"/>
          <w:bCs/>
          <w:color w:val="000000"/>
          <w:szCs w:val="22"/>
          <w:lang w:val="es-ES" w:eastAsia="en-US"/>
        </w:rPr>
        <w:t xml:space="preserve">que el volumen de agua restaurada </w:t>
      </w:r>
      <w:r w:rsidRPr="00246095">
        <w:rPr>
          <w:rFonts w:ascii="Titillium" w:eastAsiaTheme="minorHAnsi" w:hAnsi="Titillium" w:cs="Arial"/>
          <w:bCs/>
          <w:color w:val="000000"/>
          <w:szCs w:val="22"/>
          <w:lang w:val="es-ES" w:eastAsia="en-US"/>
        </w:rPr>
        <w:t xml:space="preserve">naturalmente, </w:t>
      </w:r>
      <w:r w:rsidR="008B59A4" w:rsidRPr="00246095">
        <w:rPr>
          <w:rFonts w:ascii="Titillium" w:eastAsiaTheme="minorHAnsi" w:hAnsi="Titillium" w:cs="Arial"/>
          <w:bCs/>
          <w:color w:val="000000"/>
          <w:szCs w:val="22"/>
          <w:lang w:val="es-ES" w:eastAsia="en-US"/>
        </w:rPr>
        <w:t xml:space="preserve">el resultado </w:t>
      </w:r>
      <w:r w:rsidR="00246095">
        <w:rPr>
          <w:rFonts w:ascii="Titillium" w:eastAsiaTheme="minorHAnsi" w:hAnsi="Titillium" w:cs="Arial"/>
          <w:bCs/>
          <w:color w:val="000000"/>
          <w:szCs w:val="22"/>
          <w:lang w:val="es-ES" w:eastAsia="en-US"/>
        </w:rPr>
        <w:t>podría ser</w:t>
      </w:r>
      <w:r w:rsidR="008B59A4" w:rsidRPr="00246095">
        <w:rPr>
          <w:rFonts w:ascii="Titillium" w:eastAsiaTheme="minorHAnsi" w:hAnsi="Titillium" w:cs="Arial"/>
          <w:bCs/>
          <w:color w:val="000000"/>
          <w:szCs w:val="22"/>
          <w:lang w:val="es-ES" w:eastAsia="en-US"/>
        </w:rPr>
        <w:t xml:space="preserve"> que exista </w:t>
      </w:r>
      <w:r w:rsidRPr="00246095">
        <w:rPr>
          <w:rFonts w:ascii="Titillium" w:eastAsiaTheme="minorHAnsi" w:hAnsi="Titillium" w:cs="Arial"/>
          <w:bCs/>
          <w:color w:val="000000"/>
          <w:szCs w:val="22"/>
          <w:lang w:val="es-ES" w:eastAsia="en-US"/>
        </w:rPr>
        <w:t>meno</w:t>
      </w:r>
      <w:r w:rsidR="00246095">
        <w:rPr>
          <w:rFonts w:ascii="Titillium" w:eastAsiaTheme="minorHAnsi" w:hAnsi="Titillium" w:cs="Arial"/>
          <w:bCs/>
          <w:color w:val="000000"/>
          <w:szCs w:val="22"/>
          <w:lang w:val="es-ES" w:eastAsia="en-US"/>
        </w:rPr>
        <w:t xml:space="preserve">r disponibilidad de </w:t>
      </w:r>
      <w:r w:rsidR="00FA1D5D">
        <w:rPr>
          <w:rFonts w:ascii="Titillium" w:eastAsiaTheme="minorHAnsi" w:hAnsi="Titillium" w:cs="Arial"/>
          <w:bCs/>
          <w:color w:val="000000"/>
          <w:szCs w:val="22"/>
          <w:lang w:val="es-ES" w:eastAsia="en-US"/>
        </w:rPr>
        <w:t xml:space="preserve">este recurso </w:t>
      </w:r>
      <w:r w:rsidR="00301CAE">
        <w:rPr>
          <w:rFonts w:ascii="Titillium" w:eastAsiaTheme="minorHAnsi" w:hAnsi="Titillium" w:cs="Arial"/>
          <w:bCs/>
          <w:color w:val="000000"/>
          <w:szCs w:val="22"/>
          <w:lang w:val="es-ES" w:eastAsia="en-US"/>
        </w:rPr>
        <w:t>y</w:t>
      </w:r>
      <w:r w:rsidR="008B59A4" w:rsidRPr="00246095">
        <w:rPr>
          <w:rFonts w:ascii="Titillium" w:eastAsiaTheme="minorHAnsi" w:hAnsi="Titillium" w:cs="Arial"/>
          <w:bCs/>
          <w:color w:val="000000"/>
          <w:szCs w:val="22"/>
          <w:lang w:val="es-ES" w:eastAsia="en-US"/>
        </w:rPr>
        <w:t xml:space="preserve"> como consecuencia</w:t>
      </w:r>
      <w:r w:rsidR="00301CAE">
        <w:rPr>
          <w:rFonts w:ascii="Titillium" w:eastAsiaTheme="minorHAnsi" w:hAnsi="Titillium" w:cs="Arial"/>
          <w:bCs/>
          <w:color w:val="000000"/>
          <w:szCs w:val="22"/>
          <w:lang w:val="es-ES" w:eastAsia="en-US"/>
        </w:rPr>
        <w:t>,</w:t>
      </w:r>
      <w:r w:rsidR="008B59A4" w:rsidRPr="00246095">
        <w:rPr>
          <w:rFonts w:ascii="Titillium" w:eastAsiaTheme="minorHAnsi" w:hAnsi="Titillium" w:cs="Arial"/>
          <w:bCs/>
          <w:color w:val="000000"/>
          <w:szCs w:val="22"/>
          <w:lang w:val="es-ES" w:eastAsia="en-US"/>
        </w:rPr>
        <w:t xml:space="preserve"> </w:t>
      </w:r>
      <w:r w:rsidRPr="00246095">
        <w:rPr>
          <w:rFonts w:ascii="Titillium" w:eastAsiaTheme="minorHAnsi" w:hAnsi="Titillium" w:cs="Arial"/>
          <w:bCs/>
          <w:color w:val="000000"/>
          <w:szCs w:val="22"/>
          <w:lang w:val="es-ES" w:eastAsia="en-US"/>
        </w:rPr>
        <w:t>causar graves daños al entorno y ambientes asociados.</w:t>
      </w:r>
    </w:p>
    <w:p w14:paraId="0ED739B6" w14:textId="577D4EC5" w:rsidR="008B59A4" w:rsidRDefault="00246095" w:rsidP="00CE62F9">
      <w:pPr>
        <w:pStyle w:val="NormalWeb"/>
        <w:shd w:val="clear" w:color="auto" w:fill="FFFFFF"/>
        <w:spacing w:before="240" w:beforeAutospacing="0" w:after="0" w:afterAutospacing="0" w:line="276" w:lineRule="auto"/>
        <w:jc w:val="both"/>
        <w:rPr>
          <w:rFonts w:ascii="Titillium" w:eastAsiaTheme="minorHAnsi" w:hAnsi="Titillium" w:cs="Arial"/>
          <w:bCs/>
          <w:color w:val="000000"/>
          <w:szCs w:val="22"/>
          <w:lang w:val="es-ES" w:eastAsia="en-US"/>
        </w:rPr>
      </w:pPr>
      <w:r>
        <w:rPr>
          <w:rFonts w:ascii="Titillium" w:eastAsiaTheme="minorHAnsi" w:hAnsi="Titillium" w:cs="Arial"/>
          <w:bCs/>
          <w:color w:val="000000"/>
          <w:szCs w:val="22"/>
          <w:lang w:val="es-ES" w:eastAsia="en-US"/>
        </w:rPr>
        <w:t>Por su parte, e</w:t>
      </w:r>
      <w:r w:rsidR="008B59A4" w:rsidRPr="00246095">
        <w:rPr>
          <w:rFonts w:ascii="Titillium" w:eastAsiaTheme="minorHAnsi" w:hAnsi="Titillium" w:cs="Arial"/>
          <w:bCs/>
          <w:color w:val="000000"/>
          <w:szCs w:val="22"/>
          <w:lang w:val="es-ES" w:eastAsia="en-US"/>
        </w:rPr>
        <w:t>l</w:t>
      </w:r>
      <w:r w:rsidR="008B59A4" w:rsidRPr="00246095">
        <w:rPr>
          <w:rFonts w:ascii="Titillium" w:eastAsiaTheme="minorHAnsi" w:hAnsi="Titillium"/>
          <w:bCs/>
          <w:color w:val="000000"/>
          <w:szCs w:val="22"/>
          <w:lang w:val="es-ES" w:eastAsia="en-US"/>
        </w:rPr>
        <w:t> </w:t>
      </w:r>
      <w:r>
        <w:rPr>
          <w:rFonts w:ascii="Titillium" w:eastAsiaTheme="minorHAnsi" w:hAnsi="Titillium" w:cs="Arial"/>
          <w:bCs/>
          <w:color w:val="000000"/>
          <w:szCs w:val="22"/>
          <w:lang w:val="es-ES" w:eastAsia="en-US"/>
        </w:rPr>
        <w:t xml:space="preserve">agua </w:t>
      </w:r>
      <w:r w:rsidR="008B59A4" w:rsidRPr="00246095">
        <w:rPr>
          <w:rFonts w:ascii="Titillium" w:eastAsiaTheme="minorHAnsi" w:hAnsi="Titillium" w:cs="Arial"/>
          <w:bCs/>
          <w:color w:val="000000"/>
          <w:szCs w:val="22"/>
          <w:lang w:val="es-ES" w:eastAsia="en-US"/>
        </w:rPr>
        <w:t>de mar</w:t>
      </w:r>
      <w:r w:rsidR="008B59A4" w:rsidRPr="00246095">
        <w:rPr>
          <w:rFonts w:ascii="Titillium" w:eastAsiaTheme="minorHAnsi" w:hAnsi="Titillium"/>
          <w:bCs/>
          <w:color w:val="000000"/>
          <w:szCs w:val="22"/>
          <w:lang w:val="es-ES" w:eastAsia="en-US"/>
        </w:rPr>
        <w:t> </w:t>
      </w:r>
      <w:r w:rsidR="00FA1D5D">
        <w:rPr>
          <w:rFonts w:ascii="Titillium" w:eastAsiaTheme="minorHAnsi" w:hAnsi="Titillium"/>
          <w:bCs/>
          <w:color w:val="000000"/>
          <w:szCs w:val="22"/>
          <w:lang w:val="es-ES" w:eastAsia="en-US"/>
        </w:rPr>
        <w:t>(</w:t>
      </w:r>
      <w:r w:rsidR="008B59A4" w:rsidRPr="00246095">
        <w:rPr>
          <w:rFonts w:ascii="Titillium" w:eastAsiaTheme="minorHAnsi" w:hAnsi="Titillium" w:cs="Arial"/>
          <w:bCs/>
          <w:color w:val="000000"/>
          <w:szCs w:val="22"/>
          <w:lang w:val="es-ES" w:eastAsia="en-US"/>
        </w:rPr>
        <w:t>agua salada</w:t>
      </w:r>
      <w:r w:rsidR="00FA1D5D">
        <w:rPr>
          <w:rFonts w:ascii="Titillium" w:eastAsiaTheme="minorHAnsi" w:hAnsi="Titillium" w:cs="Arial"/>
          <w:bCs/>
          <w:color w:val="000000"/>
          <w:szCs w:val="22"/>
          <w:lang w:val="es-ES" w:eastAsia="en-US"/>
        </w:rPr>
        <w:t>)</w:t>
      </w:r>
      <w:r w:rsidR="008B59A4" w:rsidRPr="00246095">
        <w:rPr>
          <w:rFonts w:ascii="Titillium" w:eastAsiaTheme="minorHAnsi" w:hAnsi="Titillium"/>
          <w:bCs/>
          <w:color w:val="000000"/>
          <w:szCs w:val="22"/>
          <w:lang w:val="es-ES" w:eastAsia="en-US"/>
        </w:rPr>
        <w:t> </w:t>
      </w:r>
      <w:r w:rsidR="00301CAE">
        <w:rPr>
          <w:rFonts w:ascii="Titillium" w:eastAsiaTheme="minorHAnsi" w:hAnsi="Titillium" w:cs="Arial"/>
          <w:bCs/>
          <w:color w:val="000000"/>
          <w:szCs w:val="22"/>
          <w:lang w:val="es-ES" w:eastAsia="en-US"/>
        </w:rPr>
        <w:t>es</w:t>
      </w:r>
      <w:r w:rsidR="00301CAE" w:rsidRPr="00246095">
        <w:rPr>
          <w:rFonts w:ascii="Titillium" w:eastAsiaTheme="minorHAnsi" w:hAnsi="Titillium" w:cs="Arial"/>
          <w:bCs/>
          <w:color w:val="000000"/>
          <w:szCs w:val="22"/>
          <w:lang w:val="es-ES" w:eastAsia="en-US"/>
        </w:rPr>
        <w:t xml:space="preserve"> una</w:t>
      </w:r>
      <w:r w:rsidR="00301CAE" w:rsidRPr="00246095">
        <w:rPr>
          <w:rFonts w:ascii="Titillium" w:eastAsiaTheme="minorHAnsi" w:hAnsi="Titillium"/>
          <w:bCs/>
          <w:color w:val="000000"/>
          <w:szCs w:val="22"/>
          <w:lang w:val="es-ES" w:eastAsia="en-US"/>
        </w:rPr>
        <w:t> </w:t>
      </w:r>
      <w:hyperlink r:id="rId29" w:tooltip="Disolución" w:history="1">
        <w:r w:rsidR="00301CAE" w:rsidRPr="00246095">
          <w:rPr>
            <w:rFonts w:ascii="Titillium" w:eastAsiaTheme="minorHAnsi" w:hAnsi="Titillium"/>
            <w:bCs/>
            <w:color w:val="000000"/>
            <w:szCs w:val="22"/>
            <w:lang w:val="es-ES" w:eastAsia="en-US"/>
          </w:rPr>
          <w:t>solución</w:t>
        </w:r>
      </w:hyperlink>
      <w:r w:rsidR="00301CAE" w:rsidRPr="00246095">
        <w:rPr>
          <w:rFonts w:ascii="Titillium" w:eastAsiaTheme="minorHAnsi" w:hAnsi="Titillium"/>
          <w:bCs/>
          <w:color w:val="000000"/>
          <w:szCs w:val="22"/>
          <w:lang w:val="es-ES" w:eastAsia="en-US"/>
        </w:rPr>
        <w:t> </w:t>
      </w:r>
      <w:r w:rsidR="00301CAE">
        <w:rPr>
          <w:rFonts w:ascii="Titillium" w:eastAsiaTheme="minorHAnsi" w:hAnsi="Titillium" w:cs="Arial"/>
          <w:bCs/>
          <w:color w:val="000000"/>
          <w:szCs w:val="22"/>
          <w:lang w:val="es-ES" w:eastAsia="en-US"/>
        </w:rPr>
        <w:t>basada</w:t>
      </w:r>
      <w:r w:rsidR="00846AD9">
        <w:rPr>
          <w:rFonts w:ascii="Titillium" w:eastAsiaTheme="minorHAnsi" w:hAnsi="Titillium" w:cs="Arial"/>
          <w:bCs/>
          <w:color w:val="000000"/>
          <w:szCs w:val="22"/>
          <w:lang w:val="es-ES" w:eastAsia="en-US"/>
        </w:rPr>
        <w:t xml:space="preserve"> </w:t>
      </w:r>
      <w:r w:rsidR="00301CAE" w:rsidRPr="00246095">
        <w:rPr>
          <w:rFonts w:ascii="Titillium" w:eastAsiaTheme="minorHAnsi" w:hAnsi="Titillium" w:cs="Arial"/>
          <w:bCs/>
          <w:color w:val="000000"/>
          <w:szCs w:val="22"/>
          <w:lang w:val="es-ES" w:eastAsia="en-US"/>
        </w:rPr>
        <w:t>en</w:t>
      </w:r>
      <w:r w:rsidR="00301CAE">
        <w:rPr>
          <w:rFonts w:ascii="Titillium" w:eastAsiaTheme="minorHAnsi" w:hAnsi="Titillium" w:cs="Arial"/>
          <w:bCs/>
          <w:color w:val="000000"/>
          <w:szCs w:val="22"/>
          <w:lang w:val="es-ES" w:eastAsia="en-US"/>
        </w:rPr>
        <w:t xml:space="preserve"> </w:t>
      </w:r>
      <w:r w:rsidR="00301CAE" w:rsidRPr="00246095">
        <w:rPr>
          <w:rFonts w:ascii="Titillium" w:eastAsiaTheme="minorHAnsi" w:hAnsi="Titillium"/>
          <w:bCs/>
          <w:color w:val="000000"/>
          <w:szCs w:val="22"/>
          <w:lang w:val="es-ES" w:eastAsia="en-US"/>
        </w:rPr>
        <w:t> </w:t>
      </w:r>
      <w:hyperlink r:id="rId30" w:tooltip="Agua" w:history="1">
        <w:r w:rsidR="00301CAE" w:rsidRPr="00246095">
          <w:rPr>
            <w:rFonts w:ascii="Titillium" w:eastAsiaTheme="minorHAnsi" w:hAnsi="Titillium"/>
            <w:bCs/>
            <w:color w:val="000000"/>
            <w:szCs w:val="22"/>
            <w:lang w:val="es-ES" w:eastAsia="en-US"/>
          </w:rPr>
          <w:t>agua</w:t>
        </w:r>
      </w:hyperlink>
      <w:r w:rsidR="00301CAE">
        <w:rPr>
          <w:rFonts w:ascii="Titillium" w:eastAsiaTheme="minorHAnsi" w:hAnsi="Titillium"/>
          <w:bCs/>
          <w:color w:val="000000"/>
          <w:szCs w:val="22"/>
          <w:lang w:val="es-ES" w:eastAsia="en-US"/>
        </w:rPr>
        <w:t xml:space="preserve"> y </w:t>
      </w:r>
      <w:r w:rsidR="008B59A4" w:rsidRPr="00246095">
        <w:rPr>
          <w:rFonts w:ascii="Titillium" w:eastAsiaTheme="minorHAnsi" w:hAnsi="Titillium" w:cs="Arial"/>
          <w:bCs/>
          <w:color w:val="000000"/>
          <w:szCs w:val="22"/>
          <w:lang w:val="es-ES" w:eastAsia="en-US"/>
        </w:rPr>
        <w:t>es</w:t>
      </w:r>
      <w:r w:rsidR="00C30BF9">
        <w:rPr>
          <w:rFonts w:ascii="Titillium" w:eastAsiaTheme="minorHAnsi" w:hAnsi="Titillium" w:cs="Arial"/>
          <w:bCs/>
          <w:color w:val="000000"/>
          <w:szCs w:val="22"/>
          <w:lang w:val="es-ES" w:eastAsia="en-US"/>
        </w:rPr>
        <w:t xml:space="preserve"> </w:t>
      </w:r>
      <w:r w:rsidR="00C30BF9" w:rsidRPr="00246095">
        <w:rPr>
          <w:rFonts w:ascii="Titillium" w:eastAsiaTheme="minorHAnsi" w:hAnsi="Titillium" w:cs="Arial"/>
          <w:bCs/>
          <w:color w:val="000000"/>
          <w:szCs w:val="22"/>
          <w:lang w:val="es-ES" w:eastAsia="en-US"/>
        </w:rPr>
        <w:t>compone</w:t>
      </w:r>
      <w:r w:rsidR="00C30BF9">
        <w:rPr>
          <w:rFonts w:ascii="Titillium" w:eastAsiaTheme="minorHAnsi" w:hAnsi="Titillium" w:cs="Arial"/>
          <w:bCs/>
          <w:color w:val="000000"/>
          <w:szCs w:val="22"/>
          <w:lang w:val="es-ES" w:eastAsia="en-US"/>
        </w:rPr>
        <w:t>nte</w:t>
      </w:r>
      <w:r w:rsidR="00C30BF9" w:rsidRPr="00246095">
        <w:rPr>
          <w:rFonts w:ascii="Titillium" w:eastAsiaTheme="minorHAnsi" w:hAnsi="Titillium" w:cs="Arial"/>
          <w:bCs/>
          <w:color w:val="000000"/>
          <w:szCs w:val="22"/>
          <w:lang w:val="es-ES" w:eastAsia="en-US"/>
        </w:rPr>
        <w:t xml:space="preserve"> </w:t>
      </w:r>
      <w:r w:rsidR="00C30BF9">
        <w:rPr>
          <w:rFonts w:ascii="Titillium" w:eastAsiaTheme="minorHAnsi" w:hAnsi="Titillium" w:cs="Arial"/>
          <w:bCs/>
          <w:color w:val="000000"/>
          <w:szCs w:val="22"/>
          <w:lang w:val="es-ES" w:eastAsia="en-US"/>
        </w:rPr>
        <w:t xml:space="preserve">de </w:t>
      </w:r>
      <w:r w:rsidR="00C30BF9" w:rsidRPr="00246095">
        <w:rPr>
          <w:rFonts w:ascii="Titillium" w:eastAsiaTheme="minorHAnsi" w:hAnsi="Titillium" w:cs="Arial"/>
          <w:bCs/>
          <w:color w:val="000000"/>
          <w:szCs w:val="22"/>
          <w:lang w:val="es-ES" w:eastAsia="en-US"/>
        </w:rPr>
        <w:t>los</w:t>
      </w:r>
      <w:r w:rsidR="00C30BF9" w:rsidRPr="00246095">
        <w:rPr>
          <w:rFonts w:ascii="Titillium" w:eastAsiaTheme="minorHAnsi" w:hAnsi="Titillium"/>
          <w:bCs/>
          <w:color w:val="000000"/>
          <w:szCs w:val="22"/>
          <w:lang w:val="es-ES" w:eastAsia="en-US"/>
        </w:rPr>
        <w:t> </w:t>
      </w:r>
      <w:hyperlink r:id="rId31" w:tooltip="Océano" w:history="1">
        <w:r w:rsidR="00C30BF9" w:rsidRPr="00246095">
          <w:rPr>
            <w:rFonts w:ascii="Titillium" w:eastAsiaTheme="minorHAnsi" w:hAnsi="Titillium"/>
            <w:bCs/>
            <w:color w:val="000000"/>
            <w:szCs w:val="22"/>
            <w:lang w:val="es-ES" w:eastAsia="en-US"/>
          </w:rPr>
          <w:t>océanos</w:t>
        </w:r>
      </w:hyperlink>
      <w:r w:rsidR="00C30BF9" w:rsidRPr="00246095">
        <w:rPr>
          <w:rFonts w:ascii="Titillium" w:eastAsiaTheme="minorHAnsi" w:hAnsi="Titillium"/>
          <w:bCs/>
          <w:color w:val="000000"/>
          <w:szCs w:val="22"/>
          <w:lang w:val="es-ES" w:eastAsia="en-US"/>
        </w:rPr>
        <w:t> </w:t>
      </w:r>
      <w:r w:rsidR="00C30BF9" w:rsidRPr="00246095">
        <w:rPr>
          <w:rFonts w:ascii="Titillium" w:eastAsiaTheme="minorHAnsi" w:hAnsi="Titillium" w:cs="Arial"/>
          <w:bCs/>
          <w:color w:val="000000"/>
          <w:szCs w:val="22"/>
          <w:lang w:val="es-ES" w:eastAsia="en-US"/>
        </w:rPr>
        <w:t>y</w:t>
      </w:r>
      <w:r w:rsidR="00C30BF9" w:rsidRPr="00246095">
        <w:rPr>
          <w:rFonts w:ascii="Titillium" w:eastAsiaTheme="minorHAnsi" w:hAnsi="Titillium"/>
          <w:bCs/>
          <w:color w:val="000000"/>
          <w:szCs w:val="22"/>
          <w:lang w:val="es-ES" w:eastAsia="en-US"/>
        </w:rPr>
        <w:t> </w:t>
      </w:r>
      <w:hyperlink r:id="rId32" w:tooltip="Mar" w:history="1">
        <w:r w:rsidR="00C30BF9" w:rsidRPr="00246095">
          <w:rPr>
            <w:rFonts w:ascii="Titillium" w:eastAsiaTheme="minorHAnsi" w:hAnsi="Titillium"/>
            <w:bCs/>
            <w:color w:val="000000"/>
            <w:szCs w:val="22"/>
            <w:lang w:val="es-ES" w:eastAsia="en-US"/>
          </w:rPr>
          <w:t>mares</w:t>
        </w:r>
      </w:hyperlink>
      <w:r w:rsidR="008B59A4" w:rsidRPr="00246095">
        <w:rPr>
          <w:rFonts w:ascii="Titillium" w:eastAsiaTheme="minorHAnsi" w:hAnsi="Titillium" w:cs="Arial"/>
          <w:bCs/>
          <w:color w:val="000000"/>
          <w:szCs w:val="22"/>
          <w:lang w:val="es-ES" w:eastAsia="en-US"/>
        </w:rPr>
        <w:t xml:space="preserve">. </w:t>
      </w:r>
      <w:r>
        <w:rPr>
          <w:rFonts w:ascii="Titillium" w:eastAsiaTheme="minorHAnsi" w:hAnsi="Titillium" w:cs="Arial"/>
          <w:bCs/>
          <w:color w:val="000000"/>
          <w:szCs w:val="22"/>
          <w:lang w:val="es-ES" w:eastAsia="en-US"/>
        </w:rPr>
        <w:t>La característica de ser salada se debe a que</w:t>
      </w:r>
      <w:r w:rsidR="00C30BF9">
        <w:rPr>
          <w:rFonts w:ascii="Titillium" w:eastAsiaTheme="minorHAnsi" w:hAnsi="Titillium" w:cs="Arial"/>
          <w:bCs/>
          <w:color w:val="000000"/>
          <w:szCs w:val="22"/>
          <w:lang w:val="es-ES" w:eastAsia="en-US"/>
        </w:rPr>
        <w:t xml:space="preserve"> contiene una c</w:t>
      </w:r>
      <w:r w:rsidR="008B59A4" w:rsidRPr="00246095">
        <w:rPr>
          <w:rFonts w:ascii="Titillium" w:eastAsiaTheme="minorHAnsi" w:hAnsi="Titillium" w:cs="Arial"/>
          <w:bCs/>
          <w:color w:val="000000"/>
          <w:szCs w:val="22"/>
          <w:lang w:val="es-ES" w:eastAsia="en-US"/>
        </w:rPr>
        <w:t>oncentración de</w:t>
      </w:r>
      <w:r w:rsidR="008B59A4" w:rsidRPr="00246095">
        <w:rPr>
          <w:rFonts w:ascii="Titillium" w:eastAsiaTheme="minorHAnsi" w:hAnsi="Titillium"/>
          <w:bCs/>
          <w:color w:val="000000"/>
          <w:szCs w:val="22"/>
          <w:lang w:val="es-ES" w:eastAsia="en-US"/>
        </w:rPr>
        <w:t> </w:t>
      </w:r>
      <w:hyperlink r:id="rId33" w:tooltip="Sal (química)" w:history="1">
        <w:r w:rsidR="008B59A4" w:rsidRPr="00246095">
          <w:rPr>
            <w:rFonts w:ascii="Titillium" w:eastAsiaTheme="minorHAnsi" w:hAnsi="Titillium"/>
            <w:bCs/>
            <w:color w:val="000000"/>
            <w:szCs w:val="22"/>
            <w:lang w:val="es-ES" w:eastAsia="en-US"/>
          </w:rPr>
          <w:t>sales minerales</w:t>
        </w:r>
      </w:hyperlink>
      <w:r w:rsidR="008B59A4" w:rsidRPr="00246095">
        <w:rPr>
          <w:rFonts w:ascii="Titillium" w:eastAsiaTheme="minorHAnsi" w:hAnsi="Titillium"/>
          <w:bCs/>
          <w:color w:val="000000"/>
          <w:szCs w:val="22"/>
          <w:lang w:val="es-ES" w:eastAsia="en-US"/>
        </w:rPr>
        <w:t> </w:t>
      </w:r>
      <w:r w:rsidR="008B59A4" w:rsidRPr="00246095">
        <w:rPr>
          <w:rFonts w:ascii="Titillium" w:eastAsiaTheme="minorHAnsi" w:hAnsi="Titillium" w:cs="Arial"/>
          <w:bCs/>
          <w:color w:val="000000"/>
          <w:szCs w:val="22"/>
          <w:lang w:val="es-ES" w:eastAsia="en-US"/>
        </w:rPr>
        <w:t>disueltas promedio 35 ‰ (3,5 % o 35 g/L). La densidad media en superficie es de 1,025 g/ml, siendo más densa que el</w:t>
      </w:r>
      <w:r w:rsidR="008B59A4" w:rsidRPr="00246095">
        <w:rPr>
          <w:rFonts w:ascii="Titillium" w:eastAsiaTheme="minorHAnsi" w:hAnsi="Titillium"/>
          <w:bCs/>
          <w:color w:val="000000"/>
          <w:szCs w:val="22"/>
          <w:lang w:val="es-ES" w:eastAsia="en-US"/>
        </w:rPr>
        <w:t> </w:t>
      </w:r>
      <w:hyperlink r:id="rId34" w:tooltip="Agua dulce" w:history="1">
        <w:r w:rsidR="008B59A4" w:rsidRPr="00246095">
          <w:rPr>
            <w:rFonts w:ascii="Titillium" w:eastAsiaTheme="minorHAnsi" w:hAnsi="Titillium"/>
            <w:bCs/>
            <w:color w:val="000000"/>
            <w:szCs w:val="22"/>
            <w:lang w:val="es-ES" w:eastAsia="en-US"/>
          </w:rPr>
          <w:t>agua dulce</w:t>
        </w:r>
      </w:hyperlink>
      <w:r w:rsidR="00301CAE">
        <w:rPr>
          <w:rFonts w:ascii="Titillium" w:eastAsiaTheme="minorHAnsi" w:hAnsi="Titillium" w:cs="Arial"/>
          <w:bCs/>
          <w:color w:val="000000"/>
          <w:szCs w:val="22"/>
          <w:lang w:val="es-ES" w:eastAsia="en-US"/>
        </w:rPr>
        <w:t xml:space="preserve">. </w:t>
      </w:r>
    </w:p>
    <w:p w14:paraId="749E5F45" w14:textId="2BD92173" w:rsidR="00DE206F" w:rsidRDefault="00301CAE" w:rsidP="00CE62F9">
      <w:pPr>
        <w:pStyle w:val="Encabezado"/>
        <w:tabs>
          <w:tab w:val="clear" w:pos="4252"/>
          <w:tab w:val="center" w:pos="0"/>
        </w:tabs>
        <w:spacing w:before="240" w:line="276" w:lineRule="auto"/>
        <w:jc w:val="both"/>
        <w:rPr>
          <w:rFonts w:cs="Arial"/>
          <w:bCs/>
          <w:color w:val="000000"/>
          <w:sz w:val="24"/>
        </w:rPr>
      </w:pPr>
      <w:r>
        <w:rPr>
          <w:rFonts w:cs="Arial"/>
          <w:bCs/>
          <w:color w:val="000000"/>
          <w:sz w:val="24"/>
        </w:rPr>
        <w:tab/>
        <w:t>El</w:t>
      </w:r>
      <w:r w:rsidR="00424365">
        <w:rPr>
          <w:rFonts w:cs="Arial"/>
          <w:bCs/>
          <w:color w:val="000000"/>
          <w:sz w:val="24"/>
        </w:rPr>
        <w:t xml:space="preserve"> consumo </w:t>
      </w:r>
      <w:r w:rsidR="00DE206F">
        <w:rPr>
          <w:rFonts w:cs="Arial"/>
          <w:bCs/>
          <w:color w:val="000000"/>
          <w:sz w:val="24"/>
        </w:rPr>
        <w:t>de agua p</w:t>
      </w:r>
      <w:r w:rsidR="00424365">
        <w:rPr>
          <w:rFonts w:cs="Arial"/>
          <w:bCs/>
          <w:color w:val="000000"/>
          <w:sz w:val="24"/>
        </w:rPr>
        <w:t xml:space="preserve">romedio utilizada por </w:t>
      </w:r>
      <w:r w:rsidR="004377CC" w:rsidRPr="008024D2">
        <w:rPr>
          <w:rFonts w:cs="Arial"/>
          <w:bCs/>
          <w:color w:val="000000"/>
          <w:sz w:val="24"/>
        </w:rPr>
        <w:t>las plantas encuestadas</w:t>
      </w:r>
      <w:r w:rsidR="00DE206F">
        <w:rPr>
          <w:rFonts w:cs="Arial"/>
          <w:bCs/>
          <w:color w:val="000000"/>
          <w:sz w:val="24"/>
        </w:rPr>
        <w:t xml:space="preserve"> es de 506.737 (M</w:t>
      </w:r>
      <w:r w:rsidR="00DE206F" w:rsidRPr="004C5F99">
        <w:rPr>
          <w:rFonts w:cs="Arial"/>
          <w:bCs/>
          <w:color w:val="000000"/>
          <w:sz w:val="24"/>
          <w:vertAlign w:val="superscript"/>
        </w:rPr>
        <w:t>3</w:t>
      </w:r>
      <w:r w:rsidR="00DE206F">
        <w:rPr>
          <w:rFonts w:cs="Arial"/>
          <w:bCs/>
          <w:color w:val="000000"/>
          <w:sz w:val="24"/>
        </w:rPr>
        <w:t>) y utilizan por tonelada de producto final 115 (M</w:t>
      </w:r>
      <w:r w:rsidR="00DE206F" w:rsidRPr="00DE206F">
        <w:rPr>
          <w:rFonts w:cs="Arial"/>
          <w:bCs/>
          <w:color w:val="000000"/>
          <w:sz w:val="24"/>
          <w:vertAlign w:val="superscript"/>
        </w:rPr>
        <w:t>3</w:t>
      </w:r>
      <w:r w:rsidR="00DE206F">
        <w:rPr>
          <w:rFonts w:cs="Arial"/>
          <w:bCs/>
          <w:color w:val="000000"/>
          <w:sz w:val="24"/>
        </w:rPr>
        <w:t>/Ton)</w:t>
      </w:r>
      <w:r w:rsidR="00FA1D5D">
        <w:rPr>
          <w:rFonts w:cs="Arial"/>
          <w:bCs/>
          <w:color w:val="000000"/>
          <w:sz w:val="24"/>
        </w:rPr>
        <w:t xml:space="preserve"> </w:t>
      </w:r>
      <w:r w:rsidR="00F62341">
        <w:rPr>
          <w:rFonts w:cs="Arial"/>
          <w:bCs/>
          <w:color w:val="000000"/>
          <w:sz w:val="24"/>
        </w:rPr>
        <w:t>(Figura 7).</w:t>
      </w:r>
    </w:p>
    <w:p w14:paraId="475356AD" w14:textId="77777777" w:rsidR="00DE206F" w:rsidRDefault="00DE206F" w:rsidP="00CE62F9">
      <w:pPr>
        <w:pStyle w:val="Encabezado"/>
        <w:spacing w:before="240" w:line="276" w:lineRule="auto"/>
        <w:jc w:val="both"/>
        <w:rPr>
          <w:rFonts w:cs="Arial"/>
          <w:bCs/>
          <w:color w:val="000000"/>
          <w:sz w:val="24"/>
        </w:rPr>
      </w:pPr>
    </w:p>
    <w:p w14:paraId="00972C1C" w14:textId="77777777" w:rsidR="002172D3" w:rsidRDefault="002172D3" w:rsidP="00E91DAA">
      <w:pPr>
        <w:pStyle w:val="Encabezado"/>
        <w:spacing w:before="240" w:line="276" w:lineRule="auto"/>
        <w:rPr>
          <w:rFonts w:cs="Arial"/>
          <w:bCs/>
          <w:color w:val="000000"/>
          <w:sz w:val="24"/>
        </w:rPr>
      </w:pPr>
      <w:r>
        <w:rPr>
          <w:noProof/>
          <w:lang w:val="es-CL" w:eastAsia="es-CL"/>
        </w:rPr>
        <w:drawing>
          <wp:inline distT="0" distB="0" distL="0" distR="0" wp14:anchorId="5577D161" wp14:editId="3F7181E3">
            <wp:extent cx="3528204" cy="2147977"/>
            <wp:effectExtent l="0" t="0" r="15240" b="2413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6330FA7F" w14:textId="41CC59D4" w:rsidR="00DE206F" w:rsidRDefault="002172D3" w:rsidP="009D6C1D">
      <w:pPr>
        <w:pStyle w:val="Encabezado"/>
        <w:spacing w:line="276" w:lineRule="auto"/>
        <w:jc w:val="both"/>
        <w:rPr>
          <w:rFonts w:cs="Arial"/>
          <w:bCs/>
          <w:color w:val="000000"/>
          <w:sz w:val="24"/>
        </w:rPr>
      </w:pPr>
      <w:r w:rsidRPr="007A53AB">
        <w:rPr>
          <w:rFonts w:cs="Arial"/>
          <w:b/>
          <w:bCs/>
          <w:color w:val="000000"/>
          <w:sz w:val="24"/>
        </w:rPr>
        <w:t xml:space="preserve">Figura </w:t>
      </w:r>
      <w:r>
        <w:rPr>
          <w:rFonts w:cs="Arial"/>
          <w:b/>
          <w:bCs/>
          <w:color w:val="000000"/>
          <w:sz w:val="24"/>
        </w:rPr>
        <w:t>7</w:t>
      </w:r>
      <w:r w:rsidRPr="007A53AB">
        <w:rPr>
          <w:rFonts w:cs="Arial"/>
          <w:bCs/>
          <w:color w:val="000000"/>
          <w:sz w:val="24"/>
        </w:rPr>
        <w:t xml:space="preserve">. </w:t>
      </w:r>
      <w:r>
        <w:rPr>
          <w:rFonts w:cs="Arial"/>
          <w:bCs/>
          <w:color w:val="000000"/>
          <w:sz w:val="24"/>
        </w:rPr>
        <w:t>Consumo de agua promedio utilizada por las plantas de proceso (M</w:t>
      </w:r>
      <w:r w:rsidRPr="00FB1A5C">
        <w:rPr>
          <w:rFonts w:cs="Arial"/>
          <w:bCs/>
          <w:color w:val="000000"/>
          <w:sz w:val="24"/>
          <w:vertAlign w:val="superscript"/>
        </w:rPr>
        <w:t>3</w:t>
      </w:r>
      <w:r>
        <w:rPr>
          <w:rFonts w:cs="Arial"/>
          <w:bCs/>
          <w:color w:val="000000"/>
          <w:sz w:val="24"/>
        </w:rPr>
        <w:t>) y por tonelada de producto final (M</w:t>
      </w:r>
      <w:r w:rsidRPr="00FB1A5C">
        <w:rPr>
          <w:rFonts w:cs="Arial"/>
          <w:bCs/>
          <w:color w:val="000000"/>
          <w:sz w:val="24"/>
          <w:vertAlign w:val="superscript"/>
        </w:rPr>
        <w:t>3</w:t>
      </w:r>
      <w:r>
        <w:rPr>
          <w:rFonts w:cs="Arial"/>
          <w:bCs/>
          <w:color w:val="000000"/>
          <w:sz w:val="24"/>
        </w:rPr>
        <w:t>/Ton).</w:t>
      </w:r>
    </w:p>
    <w:p w14:paraId="6906B732" w14:textId="77777777" w:rsidR="00DE206F" w:rsidRDefault="00DE206F" w:rsidP="00CE62F9">
      <w:pPr>
        <w:pStyle w:val="Encabezado"/>
        <w:spacing w:before="240" w:line="276" w:lineRule="auto"/>
        <w:jc w:val="both"/>
        <w:rPr>
          <w:rFonts w:cs="Arial"/>
          <w:bCs/>
          <w:color w:val="000000"/>
          <w:sz w:val="24"/>
        </w:rPr>
      </w:pPr>
    </w:p>
    <w:p w14:paraId="2E540EC6" w14:textId="77777777" w:rsidR="00E91DAA" w:rsidRDefault="008B2E33" w:rsidP="00E91DAA">
      <w:pPr>
        <w:pStyle w:val="Encabezado"/>
        <w:tabs>
          <w:tab w:val="clear" w:pos="4252"/>
          <w:tab w:val="center" w:pos="0"/>
        </w:tabs>
        <w:spacing w:before="240" w:line="276" w:lineRule="auto"/>
        <w:jc w:val="both"/>
        <w:rPr>
          <w:rFonts w:cs="Arial"/>
          <w:bCs/>
          <w:color w:val="000000"/>
          <w:sz w:val="24"/>
        </w:rPr>
      </w:pPr>
      <w:r>
        <w:rPr>
          <w:rFonts w:cs="Arial"/>
          <w:bCs/>
          <w:color w:val="000000"/>
          <w:sz w:val="24"/>
        </w:rPr>
        <w:lastRenderedPageBreak/>
        <w:t>E</w:t>
      </w:r>
      <w:r w:rsidR="005B7605">
        <w:rPr>
          <w:rFonts w:cs="Arial"/>
          <w:bCs/>
          <w:color w:val="000000"/>
          <w:sz w:val="24"/>
        </w:rPr>
        <w:t xml:space="preserve">l análisis de consumo de agua refleja que el </w:t>
      </w:r>
      <w:r w:rsidR="002106CD">
        <w:rPr>
          <w:rFonts w:cs="Arial"/>
          <w:bCs/>
          <w:color w:val="000000"/>
          <w:sz w:val="24"/>
        </w:rPr>
        <w:t>44%</w:t>
      </w:r>
      <w:r w:rsidR="00301CAE">
        <w:rPr>
          <w:rFonts w:cs="Arial"/>
          <w:bCs/>
          <w:color w:val="000000"/>
          <w:sz w:val="24"/>
        </w:rPr>
        <w:t xml:space="preserve"> (</w:t>
      </w:r>
      <w:r w:rsidR="002106CD">
        <w:rPr>
          <w:rFonts w:cs="Arial"/>
          <w:bCs/>
          <w:color w:val="000000"/>
          <w:sz w:val="24"/>
        </w:rPr>
        <w:t>4 empresas</w:t>
      </w:r>
      <w:r w:rsidR="00301CAE">
        <w:rPr>
          <w:rFonts w:cs="Arial"/>
          <w:bCs/>
          <w:color w:val="000000"/>
          <w:sz w:val="24"/>
        </w:rPr>
        <w:t>)</w:t>
      </w:r>
      <w:r w:rsidR="002106CD">
        <w:rPr>
          <w:rFonts w:cs="Arial"/>
          <w:bCs/>
          <w:color w:val="000000"/>
          <w:sz w:val="24"/>
        </w:rPr>
        <w:t xml:space="preserve"> utilizan solamente agua</w:t>
      </w:r>
      <w:r>
        <w:rPr>
          <w:rFonts w:cs="Arial"/>
          <w:bCs/>
          <w:color w:val="000000"/>
          <w:sz w:val="24"/>
        </w:rPr>
        <w:t xml:space="preserve"> </w:t>
      </w:r>
      <w:r w:rsidR="002106CD">
        <w:rPr>
          <w:rFonts w:cs="Arial"/>
          <w:bCs/>
          <w:color w:val="000000"/>
          <w:sz w:val="24"/>
        </w:rPr>
        <w:t xml:space="preserve">dulce en su proceso productivo, mientras que el </w:t>
      </w:r>
      <w:r w:rsidR="005B7605">
        <w:rPr>
          <w:rFonts w:cs="Arial"/>
          <w:bCs/>
          <w:color w:val="000000"/>
          <w:sz w:val="24"/>
        </w:rPr>
        <w:t>56%</w:t>
      </w:r>
      <w:r w:rsidR="00301CAE">
        <w:rPr>
          <w:rFonts w:cs="Arial"/>
          <w:bCs/>
          <w:color w:val="000000"/>
          <w:sz w:val="24"/>
        </w:rPr>
        <w:t xml:space="preserve"> </w:t>
      </w:r>
      <w:r w:rsidR="00122004">
        <w:rPr>
          <w:rFonts w:cs="Arial"/>
          <w:bCs/>
          <w:color w:val="000000"/>
          <w:sz w:val="24"/>
        </w:rPr>
        <w:t xml:space="preserve">restante </w:t>
      </w:r>
      <w:r w:rsidR="00301CAE">
        <w:rPr>
          <w:rFonts w:cs="Arial"/>
          <w:bCs/>
          <w:color w:val="000000"/>
          <w:sz w:val="24"/>
        </w:rPr>
        <w:t>(</w:t>
      </w:r>
      <w:r w:rsidR="005B7605">
        <w:rPr>
          <w:rFonts w:cs="Arial"/>
          <w:bCs/>
          <w:color w:val="000000"/>
          <w:sz w:val="24"/>
        </w:rPr>
        <w:t>5 empresas</w:t>
      </w:r>
      <w:r w:rsidR="00301CAE">
        <w:rPr>
          <w:rFonts w:cs="Arial"/>
          <w:bCs/>
          <w:color w:val="000000"/>
          <w:sz w:val="24"/>
        </w:rPr>
        <w:t>)</w:t>
      </w:r>
      <w:r w:rsidR="005B7605">
        <w:rPr>
          <w:rFonts w:cs="Arial"/>
          <w:bCs/>
          <w:color w:val="000000"/>
          <w:sz w:val="24"/>
        </w:rPr>
        <w:t xml:space="preserve"> </w:t>
      </w:r>
      <w:r w:rsidR="002106CD">
        <w:rPr>
          <w:rFonts w:cs="Arial"/>
          <w:bCs/>
          <w:color w:val="000000"/>
          <w:sz w:val="24"/>
        </w:rPr>
        <w:t xml:space="preserve">consumen </w:t>
      </w:r>
      <w:r>
        <w:rPr>
          <w:rFonts w:cs="Arial"/>
          <w:bCs/>
          <w:color w:val="000000"/>
          <w:sz w:val="24"/>
        </w:rPr>
        <w:t>agua dulce y agua salada</w:t>
      </w:r>
      <w:r w:rsidR="00FB1A5C">
        <w:rPr>
          <w:rFonts w:cs="Arial"/>
          <w:bCs/>
          <w:color w:val="000000"/>
          <w:sz w:val="24"/>
        </w:rPr>
        <w:t>.</w:t>
      </w:r>
      <w:r w:rsidR="00122004">
        <w:rPr>
          <w:rFonts w:cs="Arial"/>
          <w:bCs/>
          <w:color w:val="000000"/>
          <w:sz w:val="24"/>
        </w:rPr>
        <w:t xml:space="preserve"> (Figura 8).</w:t>
      </w:r>
    </w:p>
    <w:p w14:paraId="656DE596" w14:textId="26069066" w:rsidR="008B2E33" w:rsidRDefault="00D55B5C" w:rsidP="00E91DAA">
      <w:pPr>
        <w:pStyle w:val="Encabezado"/>
        <w:tabs>
          <w:tab w:val="clear" w:pos="4252"/>
          <w:tab w:val="center" w:pos="0"/>
        </w:tabs>
        <w:spacing w:before="240" w:line="276" w:lineRule="auto"/>
        <w:jc w:val="both"/>
        <w:rPr>
          <w:rFonts w:cs="Arial"/>
          <w:bCs/>
          <w:color w:val="000000"/>
          <w:sz w:val="24"/>
        </w:rPr>
      </w:pPr>
      <w:r>
        <w:rPr>
          <w:rFonts w:cs="Arial"/>
          <w:bCs/>
          <w:color w:val="000000"/>
          <w:sz w:val="24"/>
        </w:rPr>
        <w:t>Cabe señalar, que la empresa que utiliza menor cantidad de agua en la elaboración de producto terminado, informó que cuenta con sistemas de recirculación</w:t>
      </w:r>
      <w:r w:rsidR="00122004">
        <w:rPr>
          <w:rFonts w:cs="Arial"/>
          <w:bCs/>
          <w:color w:val="000000"/>
          <w:sz w:val="24"/>
        </w:rPr>
        <w:t xml:space="preserve"> con el objetivo de </w:t>
      </w:r>
      <w:r>
        <w:rPr>
          <w:rFonts w:cs="Arial"/>
          <w:bCs/>
          <w:color w:val="000000"/>
          <w:sz w:val="24"/>
        </w:rPr>
        <w:t xml:space="preserve">disminuir el consumo y como una alternativa de reutilización de este insumo. </w:t>
      </w:r>
      <w:r w:rsidR="00FA1D5D">
        <w:rPr>
          <w:rFonts w:cs="Arial"/>
          <w:bCs/>
          <w:color w:val="000000"/>
          <w:sz w:val="24"/>
        </w:rPr>
        <w:t>E</w:t>
      </w:r>
      <w:r>
        <w:rPr>
          <w:rFonts w:cs="Arial"/>
          <w:bCs/>
          <w:color w:val="000000"/>
          <w:sz w:val="24"/>
        </w:rPr>
        <w:t xml:space="preserve">sta empresa </w:t>
      </w:r>
      <w:r w:rsidR="00FA1D5D">
        <w:rPr>
          <w:rFonts w:cs="Arial"/>
          <w:bCs/>
          <w:color w:val="000000"/>
          <w:sz w:val="24"/>
        </w:rPr>
        <w:t xml:space="preserve">utiliza alrededor de </w:t>
      </w:r>
      <w:r>
        <w:rPr>
          <w:rFonts w:cs="Arial"/>
          <w:bCs/>
          <w:color w:val="000000"/>
          <w:sz w:val="24"/>
        </w:rPr>
        <w:t xml:space="preserve"> 253.537 (M</w:t>
      </w:r>
      <w:r w:rsidRPr="00D55B5C">
        <w:rPr>
          <w:rFonts w:cs="Arial"/>
          <w:bCs/>
          <w:color w:val="000000"/>
          <w:sz w:val="24"/>
          <w:vertAlign w:val="superscript"/>
        </w:rPr>
        <w:t>3</w:t>
      </w:r>
      <w:r w:rsidR="00FA1D5D">
        <w:rPr>
          <w:rFonts w:cs="Arial"/>
          <w:bCs/>
          <w:color w:val="000000"/>
          <w:sz w:val="24"/>
        </w:rPr>
        <w:t>).</w:t>
      </w:r>
    </w:p>
    <w:p w14:paraId="12365B3C" w14:textId="3848115A" w:rsidR="00FB1A5C" w:rsidRDefault="00946089" w:rsidP="00CE62F9">
      <w:pPr>
        <w:pStyle w:val="Encabezado"/>
        <w:spacing w:before="240" w:line="276" w:lineRule="auto"/>
        <w:jc w:val="both"/>
        <w:rPr>
          <w:rFonts w:cs="Arial"/>
          <w:bCs/>
          <w:color w:val="000000"/>
          <w:sz w:val="24"/>
        </w:rPr>
      </w:pPr>
      <w:r>
        <w:rPr>
          <w:rFonts w:cs="Arial"/>
          <w:bCs/>
          <w:color w:val="000000"/>
          <w:sz w:val="24"/>
        </w:rPr>
        <w:t xml:space="preserve">El </w:t>
      </w:r>
      <w:r w:rsidR="00FB1A5C">
        <w:rPr>
          <w:rFonts w:cs="Arial"/>
          <w:bCs/>
          <w:color w:val="000000"/>
          <w:sz w:val="24"/>
        </w:rPr>
        <w:t xml:space="preserve">consumo </w:t>
      </w:r>
      <w:r>
        <w:rPr>
          <w:rFonts w:cs="Arial"/>
          <w:bCs/>
          <w:color w:val="000000"/>
          <w:sz w:val="24"/>
        </w:rPr>
        <w:t xml:space="preserve">promedio de agua de las plantas </w:t>
      </w:r>
      <w:r w:rsidR="00634683">
        <w:rPr>
          <w:rFonts w:cs="Arial"/>
          <w:bCs/>
          <w:color w:val="000000"/>
          <w:sz w:val="24"/>
        </w:rPr>
        <w:t>es</w:t>
      </w:r>
      <w:r w:rsidR="00FB1A5C">
        <w:rPr>
          <w:rFonts w:cs="Arial"/>
          <w:bCs/>
          <w:color w:val="000000"/>
          <w:sz w:val="24"/>
        </w:rPr>
        <w:t xml:space="preserve"> de </w:t>
      </w:r>
      <w:r w:rsidRPr="00946089">
        <w:rPr>
          <w:rFonts w:cs="Arial"/>
          <w:bCs/>
          <w:color w:val="000000"/>
          <w:sz w:val="24"/>
        </w:rPr>
        <w:t xml:space="preserve">265.418 </w:t>
      </w:r>
      <w:r w:rsidR="00FB1A5C" w:rsidRPr="00946089">
        <w:rPr>
          <w:rFonts w:cs="Arial"/>
          <w:bCs/>
          <w:color w:val="000000"/>
          <w:sz w:val="24"/>
        </w:rPr>
        <w:t>(M</w:t>
      </w:r>
      <w:r w:rsidR="00FB1A5C" w:rsidRPr="00946089">
        <w:rPr>
          <w:rFonts w:cs="Arial"/>
          <w:bCs/>
          <w:color w:val="000000"/>
          <w:sz w:val="24"/>
          <w:vertAlign w:val="superscript"/>
        </w:rPr>
        <w:t>3</w:t>
      </w:r>
      <w:r w:rsidR="00FB1A5C" w:rsidRPr="00946089">
        <w:rPr>
          <w:rFonts w:cs="Arial"/>
          <w:bCs/>
          <w:color w:val="000000"/>
          <w:sz w:val="24"/>
        </w:rPr>
        <w:t>) de agua dulce y 2</w:t>
      </w:r>
      <w:r w:rsidRPr="00946089">
        <w:rPr>
          <w:rFonts w:cs="Arial"/>
          <w:bCs/>
          <w:color w:val="000000"/>
          <w:sz w:val="24"/>
        </w:rPr>
        <w:t>41.319</w:t>
      </w:r>
      <w:r w:rsidR="00FB1A5C" w:rsidRPr="00946089">
        <w:rPr>
          <w:rFonts w:cs="Arial"/>
          <w:bCs/>
          <w:color w:val="000000"/>
          <w:sz w:val="24"/>
        </w:rPr>
        <w:t xml:space="preserve"> (M</w:t>
      </w:r>
      <w:r w:rsidR="00FB1A5C" w:rsidRPr="00946089">
        <w:rPr>
          <w:rFonts w:cs="Arial"/>
          <w:bCs/>
          <w:color w:val="000000"/>
          <w:sz w:val="24"/>
          <w:vertAlign w:val="superscript"/>
        </w:rPr>
        <w:t>3</w:t>
      </w:r>
      <w:r w:rsidR="00FB1A5C" w:rsidRPr="00946089">
        <w:rPr>
          <w:rFonts w:cs="Arial"/>
          <w:bCs/>
          <w:color w:val="000000"/>
          <w:sz w:val="24"/>
        </w:rPr>
        <w:t xml:space="preserve">) de agua </w:t>
      </w:r>
      <w:r w:rsidRPr="00946089">
        <w:rPr>
          <w:rFonts w:cs="Arial"/>
          <w:bCs/>
          <w:color w:val="000000"/>
          <w:sz w:val="24"/>
        </w:rPr>
        <w:t>de mar</w:t>
      </w:r>
      <w:r>
        <w:rPr>
          <w:rFonts w:cs="Arial"/>
          <w:bCs/>
          <w:color w:val="000000"/>
          <w:sz w:val="24"/>
        </w:rPr>
        <w:t xml:space="preserve">, por lo tanto el mayor consumo de agua utilizado en el proceso por las plantas encuestadas </w:t>
      </w:r>
      <w:r w:rsidR="003D2FAD">
        <w:rPr>
          <w:rFonts w:cs="Arial"/>
          <w:bCs/>
          <w:color w:val="000000"/>
          <w:sz w:val="24"/>
        </w:rPr>
        <w:t>es</w:t>
      </w:r>
      <w:r>
        <w:rPr>
          <w:rFonts w:cs="Arial"/>
          <w:bCs/>
          <w:color w:val="000000"/>
          <w:sz w:val="24"/>
        </w:rPr>
        <w:t xml:space="preserve"> </w:t>
      </w:r>
      <w:r w:rsidR="003D2FAD">
        <w:rPr>
          <w:rFonts w:cs="Arial"/>
          <w:bCs/>
          <w:color w:val="000000"/>
          <w:sz w:val="24"/>
        </w:rPr>
        <w:t xml:space="preserve">el </w:t>
      </w:r>
      <w:r>
        <w:rPr>
          <w:rFonts w:cs="Arial"/>
          <w:bCs/>
          <w:color w:val="000000"/>
          <w:sz w:val="24"/>
        </w:rPr>
        <w:t>agua dulce</w:t>
      </w:r>
      <w:r w:rsidR="00FB1A5C" w:rsidRPr="00946089">
        <w:rPr>
          <w:rFonts w:cs="Arial"/>
          <w:bCs/>
          <w:color w:val="000000"/>
          <w:sz w:val="24"/>
        </w:rPr>
        <w:t xml:space="preserve"> </w:t>
      </w:r>
      <w:r w:rsidRPr="00946089">
        <w:rPr>
          <w:rFonts w:cs="Arial"/>
          <w:bCs/>
          <w:color w:val="000000"/>
          <w:sz w:val="24"/>
        </w:rPr>
        <w:t>(Figura 8</w:t>
      </w:r>
      <w:r w:rsidR="00FB1A5C" w:rsidRPr="00946089">
        <w:rPr>
          <w:rFonts w:cs="Arial"/>
          <w:bCs/>
          <w:color w:val="000000"/>
          <w:sz w:val="24"/>
        </w:rPr>
        <w:t>).</w:t>
      </w:r>
    </w:p>
    <w:p w14:paraId="55B34B1F" w14:textId="781DBA0F" w:rsidR="00FB1A5C" w:rsidRDefault="00BD7429" w:rsidP="00CE62F9">
      <w:pPr>
        <w:pStyle w:val="Encabezado"/>
        <w:spacing w:before="240" w:line="276" w:lineRule="auto"/>
        <w:jc w:val="both"/>
        <w:rPr>
          <w:rFonts w:cs="Arial"/>
          <w:bCs/>
          <w:color w:val="000000"/>
          <w:sz w:val="24"/>
        </w:rPr>
      </w:pPr>
      <w:r>
        <w:rPr>
          <w:noProof/>
          <w:lang w:val="es-CL" w:eastAsia="es-CL"/>
        </w:rPr>
        <w:drawing>
          <wp:inline distT="0" distB="0" distL="0" distR="0" wp14:anchorId="2777DBFE" wp14:editId="51755D18">
            <wp:extent cx="2728913" cy="2040732"/>
            <wp:effectExtent l="0" t="0" r="14605" b="1714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r>
        <w:rPr>
          <w:noProof/>
          <w:lang w:val="es-CL" w:eastAsia="es-CL"/>
        </w:rPr>
        <w:drawing>
          <wp:inline distT="0" distB="0" distL="0" distR="0" wp14:anchorId="694168C6" wp14:editId="49D18301">
            <wp:extent cx="2647949" cy="2033587"/>
            <wp:effectExtent l="0" t="0" r="19685" b="24130"/>
            <wp:docPr id="99" name="Gráfico 99"/>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025BCE40" w14:textId="5A09CB0A" w:rsidR="004377CC" w:rsidRDefault="00383FDA" w:rsidP="009D6C1D">
      <w:pPr>
        <w:pStyle w:val="Encabezado"/>
        <w:jc w:val="both"/>
        <w:rPr>
          <w:rFonts w:cs="Arial"/>
          <w:bCs/>
          <w:color w:val="000000"/>
          <w:sz w:val="24"/>
        </w:rPr>
      </w:pPr>
      <w:r>
        <w:rPr>
          <w:rFonts w:cs="Arial"/>
          <w:b/>
          <w:bCs/>
          <w:color w:val="000000"/>
          <w:sz w:val="24"/>
        </w:rPr>
        <w:t>Figura 8</w:t>
      </w:r>
      <w:r w:rsidR="004377CC" w:rsidRPr="007E275F">
        <w:rPr>
          <w:rFonts w:cs="Arial"/>
          <w:b/>
          <w:bCs/>
          <w:color w:val="000000"/>
          <w:sz w:val="24"/>
        </w:rPr>
        <w:t>.</w:t>
      </w:r>
      <w:r w:rsidR="004377CC">
        <w:rPr>
          <w:rFonts w:cs="Arial"/>
          <w:bCs/>
          <w:color w:val="000000"/>
          <w:sz w:val="24"/>
        </w:rPr>
        <w:t xml:space="preserve"> </w:t>
      </w:r>
      <w:r w:rsidR="00F60600">
        <w:rPr>
          <w:rFonts w:cs="Arial"/>
          <w:bCs/>
          <w:color w:val="000000"/>
          <w:sz w:val="24"/>
        </w:rPr>
        <w:t>Porcentaje (%) y consumo prom</w:t>
      </w:r>
      <w:r w:rsidR="00BD7429">
        <w:rPr>
          <w:rFonts w:cs="Arial"/>
          <w:bCs/>
          <w:color w:val="000000"/>
          <w:sz w:val="24"/>
        </w:rPr>
        <w:t>edio de agua dulce y agua mixta (agua dulce y agua salada)</w:t>
      </w:r>
      <w:r w:rsidR="00F60600">
        <w:rPr>
          <w:rFonts w:cs="Arial"/>
          <w:bCs/>
          <w:color w:val="000000"/>
          <w:sz w:val="24"/>
        </w:rPr>
        <w:t xml:space="preserve"> (M</w:t>
      </w:r>
      <w:r w:rsidR="00F60600" w:rsidRPr="00187969">
        <w:rPr>
          <w:rFonts w:cs="Arial"/>
          <w:bCs/>
          <w:color w:val="000000"/>
          <w:sz w:val="24"/>
          <w:vertAlign w:val="superscript"/>
        </w:rPr>
        <w:t>3</w:t>
      </w:r>
      <w:r w:rsidR="00F60600">
        <w:rPr>
          <w:rFonts w:cs="Arial"/>
          <w:bCs/>
          <w:color w:val="000000"/>
          <w:sz w:val="24"/>
        </w:rPr>
        <w:t>)</w:t>
      </w:r>
      <w:r w:rsidR="00F949AD">
        <w:rPr>
          <w:rFonts w:cs="Arial"/>
          <w:bCs/>
          <w:color w:val="000000"/>
          <w:sz w:val="24"/>
        </w:rPr>
        <w:t xml:space="preserve"> de empresas diagnosticadas</w:t>
      </w:r>
      <w:r w:rsidR="004377CC">
        <w:rPr>
          <w:rFonts w:cs="Arial"/>
          <w:bCs/>
          <w:color w:val="000000"/>
          <w:sz w:val="24"/>
        </w:rPr>
        <w:t>.</w:t>
      </w:r>
    </w:p>
    <w:p w14:paraId="24E61D25" w14:textId="77777777" w:rsidR="00ED26C2" w:rsidRDefault="00ED26C2" w:rsidP="009D6C1D">
      <w:pPr>
        <w:pStyle w:val="Encabezado"/>
        <w:jc w:val="both"/>
        <w:rPr>
          <w:rFonts w:cs="Arial"/>
          <w:bCs/>
          <w:color w:val="000000"/>
          <w:sz w:val="24"/>
        </w:rPr>
      </w:pPr>
    </w:p>
    <w:p w14:paraId="2AF8E990" w14:textId="77777777" w:rsidR="00ED26C2" w:rsidRDefault="00ED26C2" w:rsidP="009D6C1D">
      <w:pPr>
        <w:pStyle w:val="Encabezado"/>
        <w:jc w:val="both"/>
        <w:rPr>
          <w:rFonts w:cs="Arial"/>
          <w:bCs/>
          <w:color w:val="000000"/>
          <w:sz w:val="24"/>
        </w:rPr>
      </w:pPr>
    </w:p>
    <w:p w14:paraId="2A24F9FA" w14:textId="77777777" w:rsidR="00ED26C2" w:rsidRDefault="00ED26C2" w:rsidP="009D6C1D">
      <w:pPr>
        <w:pStyle w:val="Encabezado"/>
        <w:jc w:val="both"/>
        <w:rPr>
          <w:rFonts w:cs="Arial"/>
          <w:bCs/>
          <w:color w:val="000000"/>
          <w:sz w:val="24"/>
        </w:rPr>
      </w:pPr>
    </w:p>
    <w:p w14:paraId="693F300C" w14:textId="304E8D70" w:rsidR="00A82171" w:rsidRPr="00ED26C2" w:rsidRDefault="00CE7C87" w:rsidP="00343562">
      <w:pPr>
        <w:pStyle w:val="Ttulo2"/>
        <w:rPr>
          <w:b w:val="0"/>
          <w:sz w:val="32"/>
          <w:szCs w:val="32"/>
        </w:rPr>
      </w:pPr>
      <w:bookmarkStart w:id="9" w:name="_Toc471999520"/>
      <w:r w:rsidRPr="00ED26C2">
        <w:rPr>
          <w:b w:val="0"/>
          <w:sz w:val="32"/>
          <w:szCs w:val="32"/>
        </w:rPr>
        <w:t xml:space="preserve">Consumo de </w:t>
      </w:r>
      <w:r w:rsidR="00A82171" w:rsidRPr="00ED26C2">
        <w:rPr>
          <w:b w:val="0"/>
          <w:sz w:val="32"/>
          <w:szCs w:val="32"/>
        </w:rPr>
        <w:t>Energía</w:t>
      </w:r>
      <w:r w:rsidR="00846AD9" w:rsidRPr="00ED26C2">
        <w:rPr>
          <w:b w:val="0"/>
          <w:sz w:val="32"/>
          <w:szCs w:val="32"/>
        </w:rPr>
        <w:t xml:space="preserve"> </w:t>
      </w:r>
      <w:r w:rsidR="00CE62F9" w:rsidRPr="00ED26C2">
        <w:rPr>
          <w:b w:val="0"/>
          <w:sz w:val="32"/>
          <w:szCs w:val="32"/>
        </w:rPr>
        <w:t>Eléctrica</w:t>
      </w:r>
      <w:r w:rsidR="00A82171" w:rsidRPr="00ED26C2">
        <w:rPr>
          <w:b w:val="0"/>
          <w:sz w:val="32"/>
          <w:szCs w:val="32"/>
        </w:rPr>
        <w:t xml:space="preserve"> y Combustibles</w:t>
      </w:r>
      <w:bookmarkEnd w:id="9"/>
    </w:p>
    <w:p w14:paraId="7810438F" w14:textId="25094A0C" w:rsidR="000A3F67" w:rsidRDefault="00C1240A" w:rsidP="00CE62F9">
      <w:pPr>
        <w:pStyle w:val="Encabezado"/>
        <w:tabs>
          <w:tab w:val="clear" w:pos="4252"/>
          <w:tab w:val="center" w:pos="0"/>
        </w:tabs>
        <w:spacing w:before="240" w:line="276" w:lineRule="auto"/>
        <w:jc w:val="both"/>
        <w:rPr>
          <w:rFonts w:cs="Arial"/>
          <w:bCs/>
          <w:color w:val="000000"/>
          <w:sz w:val="24"/>
        </w:rPr>
      </w:pPr>
      <w:r>
        <w:rPr>
          <w:rFonts w:cs="Arial"/>
          <w:bCs/>
          <w:color w:val="000000"/>
          <w:sz w:val="24"/>
        </w:rPr>
        <w:tab/>
      </w:r>
      <w:r w:rsidR="00F86AE1">
        <w:rPr>
          <w:rFonts w:cs="Arial"/>
          <w:bCs/>
          <w:color w:val="000000"/>
          <w:sz w:val="24"/>
        </w:rPr>
        <w:t>Se analizó</w:t>
      </w:r>
      <w:r w:rsidR="00C971A4">
        <w:rPr>
          <w:rFonts w:cs="Arial"/>
          <w:bCs/>
          <w:color w:val="000000"/>
          <w:sz w:val="24"/>
        </w:rPr>
        <w:t xml:space="preserve"> l</w:t>
      </w:r>
      <w:r w:rsidR="000A3F67">
        <w:rPr>
          <w:rFonts w:cs="Arial"/>
          <w:bCs/>
          <w:color w:val="000000"/>
          <w:sz w:val="24"/>
        </w:rPr>
        <w:t xml:space="preserve">os consumos totales de energía </w:t>
      </w:r>
      <w:r w:rsidR="00846AD9">
        <w:rPr>
          <w:rFonts w:cs="Arial"/>
          <w:bCs/>
          <w:color w:val="000000"/>
          <w:sz w:val="24"/>
        </w:rPr>
        <w:t xml:space="preserve">eléctrica </w:t>
      </w:r>
      <w:r w:rsidR="000A3F67">
        <w:rPr>
          <w:rFonts w:cs="Arial"/>
          <w:bCs/>
          <w:color w:val="000000"/>
          <w:sz w:val="24"/>
        </w:rPr>
        <w:t>y combustibles usados en la obtención de producto fina</w:t>
      </w:r>
      <w:r w:rsidR="006D0A66">
        <w:rPr>
          <w:rFonts w:cs="Arial"/>
          <w:bCs/>
          <w:color w:val="000000"/>
          <w:sz w:val="24"/>
        </w:rPr>
        <w:t>l,</w:t>
      </w:r>
      <w:r w:rsidR="00846AD9">
        <w:rPr>
          <w:rFonts w:cs="Arial"/>
          <w:bCs/>
          <w:color w:val="000000"/>
          <w:sz w:val="24"/>
        </w:rPr>
        <w:t xml:space="preserve"> i</w:t>
      </w:r>
      <w:r w:rsidR="00A313A1">
        <w:rPr>
          <w:rFonts w:cs="Arial"/>
          <w:bCs/>
          <w:color w:val="000000"/>
          <w:sz w:val="24"/>
        </w:rPr>
        <w:t xml:space="preserve">ncluyendo </w:t>
      </w:r>
      <w:r w:rsidR="000A3F67">
        <w:rPr>
          <w:rFonts w:cs="Arial"/>
          <w:bCs/>
          <w:color w:val="000000"/>
          <w:sz w:val="24"/>
        </w:rPr>
        <w:t xml:space="preserve"> </w:t>
      </w:r>
      <w:r w:rsidR="00A313A1">
        <w:rPr>
          <w:rFonts w:cs="Arial"/>
          <w:bCs/>
          <w:color w:val="000000"/>
          <w:sz w:val="24"/>
        </w:rPr>
        <w:t xml:space="preserve">los volúmenes utilizados durante el </w:t>
      </w:r>
      <w:r w:rsidR="000A3F67">
        <w:rPr>
          <w:rFonts w:cs="Arial"/>
          <w:bCs/>
          <w:color w:val="000000"/>
          <w:sz w:val="24"/>
        </w:rPr>
        <w:t xml:space="preserve">proceso de producción y las áreas </w:t>
      </w:r>
      <w:r w:rsidR="000A3F67" w:rsidRPr="00C971A4">
        <w:rPr>
          <w:rFonts w:cs="Arial"/>
          <w:bCs/>
          <w:color w:val="000000"/>
          <w:sz w:val="24"/>
        </w:rPr>
        <w:t>administrativas</w:t>
      </w:r>
      <w:r w:rsidR="00C971A4" w:rsidRPr="00C971A4">
        <w:rPr>
          <w:rFonts w:cs="Arial"/>
          <w:bCs/>
          <w:color w:val="000000"/>
          <w:sz w:val="24"/>
        </w:rPr>
        <w:t xml:space="preserve">. </w:t>
      </w:r>
      <w:r w:rsidR="004564AD">
        <w:rPr>
          <w:rFonts w:cs="Arial"/>
          <w:bCs/>
          <w:color w:val="000000"/>
          <w:sz w:val="24"/>
        </w:rPr>
        <w:t xml:space="preserve"> L</w:t>
      </w:r>
      <w:r w:rsidR="000A3F67" w:rsidRPr="00C971A4">
        <w:rPr>
          <w:rFonts w:cs="Arial"/>
          <w:bCs/>
          <w:color w:val="000000"/>
          <w:sz w:val="24"/>
        </w:rPr>
        <w:t>as empresas en general</w:t>
      </w:r>
      <w:r w:rsidR="006D0A66" w:rsidRPr="00C971A4">
        <w:rPr>
          <w:rFonts w:cs="Arial"/>
          <w:bCs/>
          <w:color w:val="000000"/>
          <w:sz w:val="24"/>
        </w:rPr>
        <w:t xml:space="preserve"> </w:t>
      </w:r>
      <w:r w:rsidR="000A3F67" w:rsidRPr="00C971A4">
        <w:rPr>
          <w:rFonts w:cs="Arial"/>
          <w:bCs/>
          <w:color w:val="000000"/>
          <w:sz w:val="24"/>
        </w:rPr>
        <w:t xml:space="preserve">no cuentan </w:t>
      </w:r>
      <w:r w:rsidR="00262851">
        <w:rPr>
          <w:rFonts w:cs="Arial"/>
          <w:bCs/>
          <w:color w:val="000000"/>
          <w:sz w:val="24"/>
        </w:rPr>
        <w:t xml:space="preserve">en sus líneas de producción </w:t>
      </w:r>
      <w:r w:rsidR="000A3F67" w:rsidRPr="00C971A4">
        <w:rPr>
          <w:rFonts w:cs="Arial"/>
          <w:bCs/>
          <w:color w:val="000000"/>
          <w:sz w:val="24"/>
        </w:rPr>
        <w:t xml:space="preserve">con medidores de </w:t>
      </w:r>
      <w:r w:rsidR="00262851">
        <w:rPr>
          <w:rFonts w:cs="Arial"/>
          <w:bCs/>
          <w:color w:val="000000"/>
          <w:sz w:val="24"/>
        </w:rPr>
        <w:t xml:space="preserve">caudal o </w:t>
      </w:r>
      <w:proofErr w:type="spellStart"/>
      <w:r w:rsidR="00262851">
        <w:rPr>
          <w:rFonts w:cs="Arial"/>
          <w:bCs/>
          <w:color w:val="000000"/>
          <w:sz w:val="24"/>
        </w:rPr>
        <w:t>flu</w:t>
      </w:r>
      <w:r w:rsidR="000A3F67" w:rsidRPr="00C971A4">
        <w:rPr>
          <w:rFonts w:cs="Arial"/>
          <w:bCs/>
          <w:color w:val="000000"/>
          <w:sz w:val="24"/>
        </w:rPr>
        <w:t>jómetros</w:t>
      </w:r>
      <w:proofErr w:type="spellEnd"/>
      <w:r w:rsidR="00FC6508">
        <w:rPr>
          <w:rFonts w:cs="Arial"/>
          <w:bCs/>
          <w:color w:val="000000"/>
          <w:sz w:val="24"/>
        </w:rPr>
        <w:t xml:space="preserve">, instrumento </w:t>
      </w:r>
      <w:r w:rsidR="006D0A66" w:rsidRPr="00262851">
        <w:rPr>
          <w:rFonts w:cs="Arial"/>
          <w:bCs/>
          <w:color w:val="000000"/>
          <w:sz w:val="24"/>
        </w:rPr>
        <w:t>utiliz</w:t>
      </w:r>
      <w:r w:rsidR="00262851" w:rsidRPr="00262851">
        <w:rPr>
          <w:rFonts w:cs="Arial"/>
          <w:bCs/>
          <w:color w:val="000000"/>
          <w:sz w:val="24"/>
        </w:rPr>
        <w:t>ado para la medir el</w:t>
      </w:r>
      <w:r w:rsidR="006D0A66" w:rsidRPr="00262851">
        <w:rPr>
          <w:rFonts w:cs="Arial"/>
          <w:bCs/>
          <w:color w:val="000000"/>
          <w:sz w:val="24"/>
        </w:rPr>
        <w:t xml:space="preserve"> caudal o gasto volumétrico de un fluido</w:t>
      </w:r>
      <w:r w:rsidR="00262851" w:rsidRPr="00262851">
        <w:rPr>
          <w:rFonts w:cs="Arial"/>
          <w:bCs/>
          <w:color w:val="000000"/>
          <w:sz w:val="24"/>
        </w:rPr>
        <w:t>.</w:t>
      </w:r>
    </w:p>
    <w:p w14:paraId="4010BA5A" w14:textId="77777777" w:rsidR="00712F92" w:rsidRDefault="00C1240A" w:rsidP="00712F92">
      <w:pPr>
        <w:pStyle w:val="Encabezado"/>
        <w:tabs>
          <w:tab w:val="clear" w:pos="4252"/>
          <w:tab w:val="center" w:pos="0"/>
        </w:tabs>
        <w:spacing w:before="240" w:line="276" w:lineRule="auto"/>
        <w:jc w:val="both"/>
        <w:rPr>
          <w:rFonts w:cs="Arial"/>
          <w:bCs/>
          <w:color w:val="000000"/>
          <w:sz w:val="24"/>
        </w:rPr>
      </w:pPr>
      <w:r>
        <w:rPr>
          <w:rFonts w:cs="Arial"/>
          <w:bCs/>
          <w:color w:val="000000"/>
          <w:sz w:val="24"/>
        </w:rPr>
        <w:tab/>
        <w:t>Los</w:t>
      </w:r>
      <w:r w:rsidRPr="00FA447E">
        <w:rPr>
          <w:rFonts w:cs="Arial"/>
          <w:bCs/>
          <w:color w:val="000000"/>
          <w:sz w:val="24"/>
        </w:rPr>
        <w:t xml:space="preserve"> consumos promedio de energía eléctrica</w:t>
      </w:r>
      <w:r>
        <w:rPr>
          <w:rFonts w:cs="Arial"/>
          <w:bCs/>
          <w:color w:val="000000"/>
          <w:sz w:val="24"/>
        </w:rPr>
        <w:t xml:space="preserve"> y </w:t>
      </w:r>
      <w:r w:rsidRPr="00FA447E">
        <w:rPr>
          <w:rFonts w:cs="Arial"/>
          <w:bCs/>
          <w:color w:val="000000"/>
          <w:sz w:val="24"/>
        </w:rPr>
        <w:t xml:space="preserve">combustibles por tonelada de producto final </w:t>
      </w:r>
      <w:r w:rsidR="004564AD">
        <w:rPr>
          <w:rFonts w:cs="Arial"/>
          <w:bCs/>
          <w:color w:val="000000"/>
          <w:sz w:val="24"/>
        </w:rPr>
        <w:t xml:space="preserve">se detallan </w:t>
      </w:r>
      <w:r>
        <w:rPr>
          <w:rFonts w:cs="Arial"/>
          <w:bCs/>
          <w:color w:val="000000"/>
          <w:sz w:val="24"/>
        </w:rPr>
        <w:t xml:space="preserve"> a continuación en la </w:t>
      </w:r>
      <w:r w:rsidR="004564AD">
        <w:rPr>
          <w:rFonts w:cs="Arial"/>
          <w:bCs/>
          <w:color w:val="000000"/>
          <w:sz w:val="24"/>
        </w:rPr>
        <w:t>T</w:t>
      </w:r>
      <w:r w:rsidR="00712F92">
        <w:rPr>
          <w:rFonts w:cs="Arial"/>
          <w:bCs/>
          <w:color w:val="000000"/>
          <w:sz w:val="24"/>
        </w:rPr>
        <w:t>abla 2.</w:t>
      </w:r>
    </w:p>
    <w:p w14:paraId="12769307" w14:textId="5CC9D580" w:rsidR="00C1240A" w:rsidRPr="00712F92" w:rsidRDefault="00C1240A" w:rsidP="00712F92">
      <w:pPr>
        <w:pStyle w:val="Encabezado"/>
        <w:tabs>
          <w:tab w:val="clear" w:pos="4252"/>
          <w:tab w:val="center" w:pos="0"/>
        </w:tabs>
        <w:spacing w:before="240" w:line="276" w:lineRule="auto"/>
        <w:jc w:val="both"/>
        <w:rPr>
          <w:rFonts w:cs="Arial"/>
          <w:bCs/>
          <w:color w:val="000000"/>
          <w:sz w:val="24"/>
        </w:rPr>
      </w:pPr>
      <w:r w:rsidRPr="00C1240A">
        <w:rPr>
          <w:rFonts w:cs="Arial"/>
          <w:bCs/>
          <w:color w:val="000000"/>
          <w:sz w:val="24"/>
        </w:rPr>
        <w:fldChar w:fldCharType="begin"/>
      </w:r>
      <w:r w:rsidRPr="00C1240A">
        <w:rPr>
          <w:rFonts w:cs="Arial"/>
          <w:bCs/>
          <w:color w:val="000000"/>
          <w:sz w:val="24"/>
        </w:rPr>
        <w:instrText xml:space="preserve"> LINK Excel.Sheet.12 "C:\\Users\\Ivonne Cartes\\Desktop\\Desktop\\INFORME_FINAL_APL\\Tabulacion(5).xlsx" Hoja4!F34C4:F36C9 \a \f 5 \h  \* MERGEFORMAT </w:instrText>
      </w:r>
      <w:r w:rsidRPr="00C1240A">
        <w:rPr>
          <w:rFonts w:cs="Arial"/>
          <w:bCs/>
          <w:color w:val="000000"/>
          <w:sz w:val="24"/>
        </w:rPr>
        <w:fldChar w:fldCharType="separate"/>
      </w:r>
    </w:p>
    <w:tbl>
      <w:tblPr>
        <w:tblStyle w:val="Tabladecuadrcula1clara-nfasis61"/>
        <w:tblW w:w="8897" w:type="dxa"/>
        <w:tblLayout w:type="fixed"/>
        <w:tblLook w:val="04A0" w:firstRow="1" w:lastRow="0" w:firstColumn="1" w:lastColumn="0" w:noHBand="0" w:noVBand="1"/>
      </w:tblPr>
      <w:tblGrid>
        <w:gridCol w:w="1101"/>
        <w:gridCol w:w="1701"/>
        <w:gridCol w:w="1559"/>
        <w:gridCol w:w="1559"/>
        <w:gridCol w:w="1418"/>
        <w:gridCol w:w="1559"/>
      </w:tblGrid>
      <w:tr w:rsidR="00C1240A" w:rsidRPr="00C1240A" w14:paraId="107D66A0" w14:textId="77777777" w:rsidTr="0016461A">
        <w:trPr>
          <w:cnfStyle w:val="100000000000" w:firstRow="1" w:lastRow="0" w:firstColumn="0" w:lastColumn="0" w:oddVBand="0" w:evenVBand="0" w:oddHBand="0" w:evenHBand="0" w:firstRowFirstColumn="0" w:firstRowLastColumn="0" w:lastRowFirstColumn="0" w:lastRowLastColumn="0"/>
          <w:trHeight w:val="668"/>
        </w:trPr>
        <w:tc>
          <w:tcPr>
            <w:cnfStyle w:val="001000000000" w:firstRow="0" w:lastRow="0" w:firstColumn="1" w:lastColumn="0" w:oddVBand="0" w:evenVBand="0" w:oddHBand="0" w:evenHBand="0" w:firstRowFirstColumn="0" w:firstRowLastColumn="0" w:lastRowFirstColumn="0" w:lastRowLastColumn="0"/>
            <w:tcW w:w="1101" w:type="dxa"/>
            <w:tcBorders>
              <w:top w:val="single" w:sz="18" w:space="0" w:color="FBD4B4" w:themeColor="accent6" w:themeTint="66"/>
              <w:left w:val="single" w:sz="18" w:space="0" w:color="FBD4B4" w:themeColor="accent6" w:themeTint="66"/>
            </w:tcBorders>
            <w:vAlign w:val="center"/>
            <w:hideMark/>
          </w:tcPr>
          <w:p w14:paraId="69F339AC" w14:textId="77777777" w:rsidR="00C1240A" w:rsidRPr="00C1240A" w:rsidRDefault="00C1240A" w:rsidP="00CE62F9">
            <w:pPr>
              <w:pStyle w:val="Encabezado"/>
              <w:spacing w:before="240"/>
              <w:jc w:val="center"/>
              <w:rPr>
                <w:rFonts w:cs="Arial"/>
                <w:color w:val="0F243E" w:themeColor="text2" w:themeShade="80"/>
                <w:sz w:val="20"/>
                <w:szCs w:val="20"/>
              </w:rPr>
            </w:pPr>
          </w:p>
        </w:tc>
        <w:tc>
          <w:tcPr>
            <w:tcW w:w="1701" w:type="dxa"/>
            <w:tcBorders>
              <w:top w:val="single" w:sz="18" w:space="0" w:color="FBD4B4" w:themeColor="accent6" w:themeTint="66"/>
            </w:tcBorders>
            <w:shd w:val="clear" w:color="auto" w:fill="auto"/>
            <w:vAlign w:val="center"/>
            <w:hideMark/>
          </w:tcPr>
          <w:p w14:paraId="32F87C4A" w14:textId="77777777" w:rsidR="00C1240A" w:rsidRPr="00C1240A" w:rsidRDefault="00C1240A" w:rsidP="00CE62F9">
            <w:pPr>
              <w:pStyle w:val="Encabezado"/>
              <w:spacing w:before="240"/>
              <w:jc w:val="center"/>
              <w:cnfStyle w:val="100000000000" w:firstRow="1" w:lastRow="0" w:firstColumn="0" w:lastColumn="0" w:oddVBand="0" w:evenVBand="0" w:oddHBand="0" w:evenHBand="0" w:firstRowFirstColumn="0" w:firstRowLastColumn="0" w:lastRowFirstColumn="0" w:lastRowLastColumn="0"/>
              <w:rPr>
                <w:rFonts w:cs="Arial"/>
                <w:color w:val="0F243E" w:themeColor="text2" w:themeShade="80"/>
                <w:sz w:val="18"/>
                <w:szCs w:val="18"/>
              </w:rPr>
            </w:pPr>
            <w:r w:rsidRPr="00C1240A">
              <w:rPr>
                <w:rFonts w:cs="Arial"/>
                <w:color w:val="0F243E" w:themeColor="text2" w:themeShade="80"/>
                <w:sz w:val="18"/>
                <w:szCs w:val="18"/>
              </w:rPr>
              <w:t>Energía Eléctrica (</w:t>
            </w:r>
            <w:proofErr w:type="spellStart"/>
            <w:r w:rsidRPr="00C1240A">
              <w:rPr>
                <w:rFonts w:cs="Arial"/>
                <w:color w:val="0F243E" w:themeColor="text2" w:themeShade="80"/>
                <w:sz w:val="18"/>
                <w:szCs w:val="18"/>
              </w:rPr>
              <w:t>kWh</w:t>
            </w:r>
            <w:proofErr w:type="spellEnd"/>
            <w:r w:rsidRPr="00C1240A">
              <w:rPr>
                <w:rFonts w:cs="Arial"/>
                <w:color w:val="0F243E" w:themeColor="text2" w:themeShade="80"/>
                <w:sz w:val="18"/>
                <w:szCs w:val="18"/>
              </w:rPr>
              <w:t>/Ton)</w:t>
            </w:r>
          </w:p>
        </w:tc>
        <w:tc>
          <w:tcPr>
            <w:tcW w:w="1559" w:type="dxa"/>
            <w:tcBorders>
              <w:top w:val="single" w:sz="18" w:space="0" w:color="FBD4B4" w:themeColor="accent6" w:themeTint="66"/>
            </w:tcBorders>
            <w:shd w:val="clear" w:color="auto" w:fill="auto"/>
            <w:vAlign w:val="center"/>
            <w:hideMark/>
          </w:tcPr>
          <w:p w14:paraId="01C4DF94" w14:textId="77777777" w:rsidR="00C1240A" w:rsidRPr="00C1240A" w:rsidRDefault="00C1240A" w:rsidP="00CE62F9">
            <w:pPr>
              <w:pStyle w:val="Encabezado"/>
              <w:spacing w:before="240"/>
              <w:jc w:val="center"/>
              <w:cnfStyle w:val="100000000000" w:firstRow="1" w:lastRow="0" w:firstColumn="0" w:lastColumn="0" w:oddVBand="0" w:evenVBand="0" w:oddHBand="0" w:evenHBand="0" w:firstRowFirstColumn="0" w:firstRowLastColumn="0" w:lastRowFirstColumn="0" w:lastRowLastColumn="0"/>
              <w:rPr>
                <w:rFonts w:cs="Arial"/>
                <w:color w:val="0F243E" w:themeColor="text2" w:themeShade="80"/>
                <w:sz w:val="18"/>
                <w:szCs w:val="18"/>
              </w:rPr>
            </w:pPr>
            <w:r w:rsidRPr="00C1240A">
              <w:rPr>
                <w:rFonts w:cs="Arial"/>
                <w:color w:val="0F243E" w:themeColor="text2" w:themeShade="80"/>
                <w:sz w:val="18"/>
                <w:szCs w:val="18"/>
              </w:rPr>
              <w:t>Petróleo (L/ Ton)</w:t>
            </w:r>
          </w:p>
        </w:tc>
        <w:tc>
          <w:tcPr>
            <w:tcW w:w="1559" w:type="dxa"/>
            <w:tcBorders>
              <w:top w:val="single" w:sz="18" w:space="0" w:color="FBD4B4" w:themeColor="accent6" w:themeTint="66"/>
            </w:tcBorders>
            <w:shd w:val="clear" w:color="auto" w:fill="auto"/>
            <w:vAlign w:val="center"/>
            <w:hideMark/>
          </w:tcPr>
          <w:p w14:paraId="78C1E92F" w14:textId="77777777" w:rsidR="00C1240A" w:rsidRPr="00C1240A" w:rsidRDefault="00C1240A" w:rsidP="00CE62F9">
            <w:pPr>
              <w:pStyle w:val="Encabezado"/>
              <w:spacing w:before="240"/>
              <w:jc w:val="center"/>
              <w:cnfStyle w:val="100000000000" w:firstRow="1" w:lastRow="0" w:firstColumn="0" w:lastColumn="0" w:oddVBand="0" w:evenVBand="0" w:oddHBand="0" w:evenHBand="0" w:firstRowFirstColumn="0" w:firstRowLastColumn="0" w:lastRowFirstColumn="0" w:lastRowLastColumn="0"/>
              <w:rPr>
                <w:rFonts w:cs="Arial"/>
                <w:color w:val="0F243E" w:themeColor="text2" w:themeShade="80"/>
                <w:sz w:val="18"/>
                <w:szCs w:val="18"/>
              </w:rPr>
            </w:pPr>
            <w:r w:rsidRPr="00C1240A">
              <w:rPr>
                <w:rFonts w:cs="Arial"/>
                <w:color w:val="0F243E" w:themeColor="text2" w:themeShade="80"/>
                <w:sz w:val="18"/>
                <w:szCs w:val="18"/>
              </w:rPr>
              <w:t>Bencina (L/ Ton)</w:t>
            </w:r>
          </w:p>
        </w:tc>
        <w:tc>
          <w:tcPr>
            <w:tcW w:w="1418" w:type="dxa"/>
            <w:tcBorders>
              <w:top w:val="single" w:sz="18" w:space="0" w:color="FBD4B4" w:themeColor="accent6" w:themeTint="66"/>
            </w:tcBorders>
            <w:shd w:val="clear" w:color="auto" w:fill="auto"/>
            <w:vAlign w:val="center"/>
            <w:hideMark/>
          </w:tcPr>
          <w:p w14:paraId="421BA7AA" w14:textId="77777777" w:rsidR="00C1240A" w:rsidRPr="00C1240A" w:rsidRDefault="00C1240A" w:rsidP="00CE62F9">
            <w:pPr>
              <w:pStyle w:val="Encabezado"/>
              <w:spacing w:before="240"/>
              <w:jc w:val="center"/>
              <w:cnfStyle w:val="100000000000" w:firstRow="1" w:lastRow="0" w:firstColumn="0" w:lastColumn="0" w:oddVBand="0" w:evenVBand="0" w:oddHBand="0" w:evenHBand="0" w:firstRowFirstColumn="0" w:firstRowLastColumn="0" w:lastRowFirstColumn="0" w:lastRowLastColumn="0"/>
              <w:rPr>
                <w:rFonts w:cs="Arial"/>
                <w:color w:val="0F243E" w:themeColor="text2" w:themeShade="80"/>
                <w:sz w:val="18"/>
                <w:szCs w:val="18"/>
              </w:rPr>
            </w:pPr>
            <w:r w:rsidRPr="00C1240A">
              <w:rPr>
                <w:rFonts w:cs="Arial"/>
                <w:color w:val="0F243E" w:themeColor="text2" w:themeShade="80"/>
                <w:sz w:val="18"/>
                <w:szCs w:val="18"/>
              </w:rPr>
              <w:t>Gas (L/Ton)</w:t>
            </w:r>
          </w:p>
        </w:tc>
        <w:tc>
          <w:tcPr>
            <w:tcW w:w="1559" w:type="dxa"/>
            <w:tcBorders>
              <w:top w:val="single" w:sz="18" w:space="0" w:color="FBD4B4" w:themeColor="accent6" w:themeTint="66"/>
              <w:right w:val="single" w:sz="18" w:space="0" w:color="FBD4B4" w:themeColor="accent6" w:themeTint="66"/>
            </w:tcBorders>
            <w:shd w:val="clear" w:color="auto" w:fill="auto"/>
            <w:vAlign w:val="center"/>
            <w:hideMark/>
          </w:tcPr>
          <w:p w14:paraId="39FBEB44" w14:textId="77777777" w:rsidR="00C1240A" w:rsidRPr="00C1240A" w:rsidRDefault="00C1240A" w:rsidP="00CE62F9">
            <w:pPr>
              <w:pStyle w:val="Encabezado"/>
              <w:spacing w:before="240"/>
              <w:jc w:val="center"/>
              <w:cnfStyle w:val="100000000000" w:firstRow="1" w:lastRow="0" w:firstColumn="0" w:lastColumn="0" w:oddVBand="0" w:evenVBand="0" w:oddHBand="0" w:evenHBand="0" w:firstRowFirstColumn="0" w:firstRowLastColumn="0" w:lastRowFirstColumn="0" w:lastRowLastColumn="0"/>
              <w:rPr>
                <w:rFonts w:cs="Arial"/>
                <w:color w:val="0F243E" w:themeColor="text2" w:themeShade="80"/>
                <w:sz w:val="18"/>
                <w:szCs w:val="18"/>
              </w:rPr>
            </w:pPr>
            <w:r w:rsidRPr="00C1240A">
              <w:rPr>
                <w:rFonts w:cs="Arial"/>
                <w:color w:val="0F243E" w:themeColor="text2" w:themeShade="80"/>
                <w:sz w:val="18"/>
                <w:szCs w:val="18"/>
              </w:rPr>
              <w:t>Leña (Mt/Ton)</w:t>
            </w:r>
          </w:p>
        </w:tc>
      </w:tr>
      <w:tr w:rsidR="00C1240A" w:rsidRPr="00C1240A" w14:paraId="00E862D0" w14:textId="77777777" w:rsidTr="0016461A">
        <w:trPr>
          <w:trHeight w:val="399"/>
        </w:trPr>
        <w:tc>
          <w:tcPr>
            <w:cnfStyle w:val="001000000000" w:firstRow="0" w:lastRow="0" w:firstColumn="1" w:lastColumn="0" w:oddVBand="0" w:evenVBand="0" w:oddHBand="0" w:evenHBand="0" w:firstRowFirstColumn="0" w:firstRowLastColumn="0" w:lastRowFirstColumn="0" w:lastRowLastColumn="0"/>
            <w:tcW w:w="1101" w:type="dxa"/>
            <w:tcBorders>
              <w:left w:val="single" w:sz="18" w:space="0" w:color="FBD4B4" w:themeColor="accent6" w:themeTint="66"/>
            </w:tcBorders>
            <w:vAlign w:val="center"/>
            <w:hideMark/>
          </w:tcPr>
          <w:p w14:paraId="35D6B036" w14:textId="77777777" w:rsidR="00C1240A" w:rsidRPr="00C1240A" w:rsidRDefault="00C1240A" w:rsidP="00CE62F9">
            <w:pPr>
              <w:pStyle w:val="Encabezado"/>
              <w:spacing w:before="240"/>
              <w:jc w:val="center"/>
              <w:rPr>
                <w:rFonts w:cs="Arial"/>
                <w:color w:val="0F243E" w:themeColor="text2" w:themeShade="80"/>
                <w:sz w:val="20"/>
                <w:szCs w:val="20"/>
              </w:rPr>
            </w:pPr>
            <w:proofErr w:type="spellStart"/>
            <w:r w:rsidRPr="00C1240A">
              <w:rPr>
                <w:rFonts w:cs="Arial"/>
                <w:color w:val="0F243E" w:themeColor="text2" w:themeShade="80"/>
                <w:sz w:val="20"/>
                <w:szCs w:val="20"/>
              </w:rPr>
              <w:t>P</w:t>
            </w:r>
            <w:r w:rsidRPr="00C1240A">
              <w:rPr>
                <w:rFonts w:cs="Arial"/>
                <w:color w:val="0F243E" w:themeColor="text2" w:themeShade="80"/>
                <w:sz w:val="18"/>
                <w:szCs w:val="18"/>
              </w:rPr>
              <w:t>rom</w:t>
            </w:r>
            <w:proofErr w:type="spellEnd"/>
            <w:r w:rsidRPr="00C1240A">
              <w:rPr>
                <w:rFonts w:cs="Arial"/>
                <w:color w:val="0F243E" w:themeColor="text2" w:themeShade="80"/>
                <w:sz w:val="18"/>
                <w:szCs w:val="18"/>
              </w:rPr>
              <w:t>./ PF (Ton)</w:t>
            </w:r>
          </w:p>
        </w:tc>
        <w:tc>
          <w:tcPr>
            <w:tcW w:w="1701" w:type="dxa"/>
            <w:shd w:val="clear" w:color="auto" w:fill="auto"/>
            <w:vAlign w:val="center"/>
            <w:hideMark/>
          </w:tcPr>
          <w:p w14:paraId="0832E847" w14:textId="77777777" w:rsidR="00C1240A" w:rsidRPr="00C1240A" w:rsidRDefault="00C1240A" w:rsidP="00CE62F9">
            <w:pPr>
              <w:pStyle w:val="Encabezado"/>
              <w:spacing w:before="240"/>
              <w:jc w:val="center"/>
              <w:cnfStyle w:val="000000000000" w:firstRow="0" w:lastRow="0" w:firstColumn="0" w:lastColumn="0" w:oddVBand="0" w:evenVBand="0" w:oddHBand="0" w:evenHBand="0" w:firstRowFirstColumn="0" w:firstRowLastColumn="0" w:lastRowFirstColumn="0" w:lastRowLastColumn="0"/>
              <w:rPr>
                <w:rFonts w:cs="Arial"/>
                <w:bCs/>
                <w:color w:val="0F243E" w:themeColor="text2" w:themeShade="80"/>
                <w:sz w:val="20"/>
                <w:szCs w:val="20"/>
              </w:rPr>
            </w:pPr>
            <w:r w:rsidRPr="00C1240A">
              <w:rPr>
                <w:color w:val="000000"/>
                <w:sz w:val="20"/>
                <w:szCs w:val="20"/>
              </w:rPr>
              <w:t>852</w:t>
            </w:r>
          </w:p>
        </w:tc>
        <w:tc>
          <w:tcPr>
            <w:tcW w:w="1559" w:type="dxa"/>
            <w:shd w:val="clear" w:color="auto" w:fill="auto"/>
            <w:noWrap/>
            <w:vAlign w:val="center"/>
            <w:hideMark/>
          </w:tcPr>
          <w:p w14:paraId="2405AB69" w14:textId="77777777" w:rsidR="00C1240A" w:rsidRPr="00C1240A" w:rsidRDefault="00C1240A" w:rsidP="00CE62F9">
            <w:pPr>
              <w:pStyle w:val="Encabezado"/>
              <w:spacing w:before="240"/>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C1240A">
              <w:rPr>
                <w:color w:val="000000"/>
                <w:sz w:val="20"/>
                <w:szCs w:val="20"/>
              </w:rPr>
              <w:t>111</w:t>
            </w:r>
          </w:p>
        </w:tc>
        <w:tc>
          <w:tcPr>
            <w:tcW w:w="1559" w:type="dxa"/>
            <w:shd w:val="clear" w:color="auto" w:fill="auto"/>
            <w:noWrap/>
            <w:vAlign w:val="center"/>
            <w:hideMark/>
          </w:tcPr>
          <w:p w14:paraId="088D96CB" w14:textId="77777777" w:rsidR="00C1240A" w:rsidRPr="00C1240A" w:rsidRDefault="00C1240A" w:rsidP="00CE62F9">
            <w:pPr>
              <w:pStyle w:val="Encabezado"/>
              <w:spacing w:before="240"/>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C1240A">
              <w:rPr>
                <w:color w:val="000000"/>
                <w:sz w:val="20"/>
                <w:szCs w:val="20"/>
              </w:rPr>
              <w:t>6</w:t>
            </w:r>
          </w:p>
        </w:tc>
        <w:tc>
          <w:tcPr>
            <w:tcW w:w="1418" w:type="dxa"/>
            <w:shd w:val="clear" w:color="auto" w:fill="auto"/>
            <w:vAlign w:val="center"/>
            <w:hideMark/>
          </w:tcPr>
          <w:p w14:paraId="3ADE8D56" w14:textId="77777777" w:rsidR="00C1240A" w:rsidRPr="00C1240A" w:rsidRDefault="00C1240A" w:rsidP="00CE62F9">
            <w:pPr>
              <w:spacing w:before="240"/>
              <w:jc w:val="center"/>
              <w:cnfStyle w:val="000000000000" w:firstRow="0" w:lastRow="0" w:firstColumn="0" w:lastColumn="0" w:oddVBand="0" w:evenVBand="0" w:oddHBand="0" w:evenHBand="0" w:firstRowFirstColumn="0" w:firstRowLastColumn="0" w:lastRowFirstColumn="0" w:lastRowLastColumn="0"/>
              <w:rPr>
                <w:rFonts w:cs="Arial"/>
                <w:bCs/>
                <w:color w:val="0F243E" w:themeColor="text2" w:themeShade="80"/>
                <w:sz w:val="20"/>
                <w:szCs w:val="20"/>
              </w:rPr>
            </w:pPr>
            <w:r w:rsidRPr="00C1240A">
              <w:rPr>
                <w:color w:val="000000"/>
                <w:sz w:val="20"/>
                <w:szCs w:val="20"/>
              </w:rPr>
              <w:t>12</w:t>
            </w:r>
          </w:p>
        </w:tc>
        <w:tc>
          <w:tcPr>
            <w:tcW w:w="1559" w:type="dxa"/>
            <w:tcBorders>
              <w:right w:val="single" w:sz="18" w:space="0" w:color="FBD4B4" w:themeColor="accent6" w:themeTint="66"/>
            </w:tcBorders>
            <w:shd w:val="clear" w:color="auto" w:fill="auto"/>
            <w:vAlign w:val="center"/>
            <w:hideMark/>
          </w:tcPr>
          <w:p w14:paraId="06E100CD" w14:textId="77777777" w:rsidR="00C1240A" w:rsidRPr="00C1240A" w:rsidRDefault="00C1240A" w:rsidP="00CE62F9">
            <w:pPr>
              <w:pStyle w:val="Encabezado"/>
              <w:spacing w:before="240"/>
              <w:jc w:val="center"/>
              <w:cnfStyle w:val="000000000000" w:firstRow="0" w:lastRow="0" w:firstColumn="0" w:lastColumn="0" w:oddVBand="0" w:evenVBand="0" w:oddHBand="0" w:evenHBand="0" w:firstRowFirstColumn="0" w:firstRowLastColumn="0" w:lastRowFirstColumn="0" w:lastRowLastColumn="0"/>
              <w:rPr>
                <w:rFonts w:cs="Arial"/>
                <w:bCs/>
                <w:color w:val="0F243E" w:themeColor="text2" w:themeShade="80"/>
                <w:sz w:val="20"/>
                <w:szCs w:val="20"/>
              </w:rPr>
            </w:pPr>
            <w:r w:rsidRPr="00C1240A">
              <w:rPr>
                <w:color w:val="000000"/>
                <w:sz w:val="20"/>
                <w:szCs w:val="20"/>
              </w:rPr>
              <w:t>0,16</w:t>
            </w:r>
          </w:p>
        </w:tc>
      </w:tr>
    </w:tbl>
    <w:p w14:paraId="6E236AB9" w14:textId="1AFED2FA" w:rsidR="00C1240A" w:rsidRDefault="00C1240A" w:rsidP="009D6C1D">
      <w:pPr>
        <w:pStyle w:val="Encabezado"/>
        <w:jc w:val="both"/>
        <w:rPr>
          <w:rFonts w:cs="Arial"/>
          <w:bCs/>
          <w:color w:val="000000"/>
          <w:sz w:val="24"/>
        </w:rPr>
      </w:pPr>
      <w:r w:rsidRPr="00C1240A">
        <w:rPr>
          <w:rFonts w:cs="Arial"/>
          <w:bCs/>
          <w:color w:val="000000"/>
          <w:sz w:val="24"/>
        </w:rPr>
        <w:fldChar w:fldCharType="end"/>
      </w:r>
      <w:r w:rsidRPr="00C1240A">
        <w:rPr>
          <w:rFonts w:cs="Arial"/>
          <w:b/>
          <w:bCs/>
          <w:color w:val="000000"/>
          <w:sz w:val="24"/>
        </w:rPr>
        <w:t>Tabla 2</w:t>
      </w:r>
      <w:r w:rsidRPr="00C1240A">
        <w:rPr>
          <w:rFonts w:cs="Arial"/>
          <w:bCs/>
          <w:color w:val="000000"/>
          <w:sz w:val="24"/>
        </w:rPr>
        <w:t xml:space="preserve">. Consumos promedio de </w:t>
      </w:r>
      <w:r w:rsidR="00C904B1">
        <w:rPr>
          <w:rFonts w:cs="Arial"/>
          <w:bCs/>
          <w:color w:val="000000"/>
          <w:sz w:val="24"/>
        </w:rPr>
        <w:t>e</w:t>
      </w:r>
      <w:r w:rsidR="00C904B1" w:rsidRPr="00C1240A">
        <w:rPr>
          <w:rFonts w:cs="Arial"/>
          <w:bCs/>
          <w:color w:val="000000"/>
          <w:sz w:val="24"/>
        </w:rPr>
        <w:t xml:space="preserve">nergía </w:t>
      </w:r>
      <w:r w:rsidRPr="00C1240A">
        <w:rPr>
          <w:rFonts w:cs="Arial"/>
          <w:bCs/>
          <w:color w:val="000000"/>
          <w:sz w:val="24"/>
        </w:rPr>
        <w:t>eléctrica y  combustibles por tonelada de producto final.</w:t>
      </w:r>
    </w:p>
    <w:p w14:paraId="45825B30" w14:textId="39C35FF9" w:rsidR="003242EA" w:rsidRDefault="00DB02C3" w:rsidP="00CE62F9">
      <w:pPr>
        <w:pStyle w:val="Encabezado"/>
        <w:tabs>
          <w:tab w:val="clear" w:pos="4252"/>
          <w:tab w:val="center" w:pos="709"/>
        </w:tabs>
        <w:spacing w:before="240" w:line="276" w:lineRule="auto"/>
        <w:jc w:val="both"/>
        <w:rPr>
          <w:rFonts w:cs="Arial"/>
          <w:bCs/>
          <w:color w:val="000000"/>
          <w:sz w:val="24"/>
        </w:rPr>
      </w:pPr>
      <w:r>
        <w:rPr>
          <w:noProof/>
          <w:lang w:val="es-CL" w:eastAsia="es-CL"/>
        </w:rPr>
        <w:drawing>
          <wp:inline distT="0" distB="0" distL="0" distR="0" wp14:anchorId="35490322" wp14:editId="7A7CE094">
            <wp:extent cx="2771775" cy="1885950"/>
            <wp:effectExtent l="0" t="0" r="9525" b="19050"/>
            <wp:docPr id="102" name="Gráfico 102"/>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r>
        <w:rPr>
          <w:noProof/>
          <w:lang w:val="es-CL" w:eastAsia="es-CL"/>
        </w:rPr>
        <w:drawing>
          <wp:inline distT="0" distB="0" distL="0" distR="0" wp14:anchorId="16629F37" wp14:editId="23C07A6A">
            <wp:extent cx="2771775" cy="1885950"/>
            <wp:effectExtent l="0" t="0" r="9525" b="19050"/>
            <wp:docPr id="103" name="Gráfico 103"/>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36AD18E1" w14:textId="16090F89" w:rsidR="00377A28" w:rsidRPr="007A53AB" w:rsidRDefault="00A904FD" w:rsidP="009D6C1D">
      <w:pPr>
        <w:pStyle w:val="Encabezado"/>
        <w:rPr>
          <w:rFonts w:cs="Arial"/>
          <w:bCs/>
          <w:color w:val="000000"/>
          <w:sz w:val="24"/>
        </w:rPr>
      </w:pPr>
      <w:r>
        <w:rPr>
          <w:rFonts w:cs="Arial"/>
          <w:b/>
          <w:bCs/>
          <w:color w:val="000000"/>
          <w:sz w:val="24"/>
        </w:rPr>
        <w:t>F</w:t>
      </w:r>
      <w:r w:rsidR="00D446B4" w:rsidRPr="00C971A4">
        <w:rPr>
          <w:rFonts w:cs="Arial"/>
          <w:b/>
          <w:bCs/>
          <w:color w:val="000000"/>
          <w:sz w:val="24"/>
        </w:rPr>
        <w:t xml:space="preserve">igura </w:t>
      </w:r>
      <w:r w:rsidR="00951E84">
        <w:rPr>
          <w:rFonts w:cs="Arial"/>
          <w:b/>
          <w:bCs/>
          <w:color w:val="000000"/>
          <w:sz w:val="24"/>
        </w:rPr>
        <w:t>9</w:t>
      </w:r>
      <w:r w:rsidR="00377A28" w:rsidRPr="00C971A4">
        <w:rPr>
          <w:rFonts w:cs="Arial"/>
          <w:bCs/>
          <w:color w:val="000000"/>
          <w:sz w:val="24"/>
        </w:rPr>
        <w:t>. Consumo</w:t>
      </w:r>
      <w:r w:rsidR="00951E84">
        <w:rPr>
          <w:rFonts w:cs="Arial"/>
          <w:bCs/>
          <w:color w:val="000000"/>
          <w:sz w:val="24"/>
        </w:rPr>
        <w:t>s</w:t>
      </w:r>
      <w:r w:rsidR="00377A28" w:rsidRPr="00C971A4">
        <w:rPr>
          <w:rFonts w:cs="Arial"/>
          <w:bCs/>
          <w:color w:val="000000"/>
          <w:sz w:val="24"/>
        </w:rPr>
        <w:t xml:space="preserve"> total</w:t>
      </w:r>
      <w:r w:rsidR="00951E84">
        <w:rPr>
          <w:rFonts w:cs="Arial"/>
          <w:bCs/>
          <w:color w:val="000000"/>
          <w:sz w:val="24"/>
        </w:rPr>
        <w:t>es</w:t>
      </w:r>
      <w:r w:rsidR="00377A28" w:rsidRPr="00C971A4">
        <w:rPr>
          <w:rFonts w:cs="Arial"/>
          <w:bCs/>
          <w:color w:val="000000"/>
          <w:sz w:val="24"/>
        </w:rPr>
        <w:t xml:space="preserve"> y promedio de energía eléctrica y combustibles utilizadas por las empresas encuestadas.</w:t>
      </w:r>
    </w:p>
    <w:p w14:paraId="534FC146" w14:textId="77777777" w:rsidR="00DD7A46" w:rsidRDefault="00DD7A46" w:rsidP="00CE62F9">
      <w:pPr>
        <w:pStyle w:val="Encabezado"/>
        <w:spacing w:before="240"/>
        <w:jc w:val="both"/>
        <w:rPr>
          <w:rFonts w:cs="Arial"/>
          <w:bCs/>
          <w:color w:val="000000"/>
          <w:sz w:val="24"/>
        </w:rPr>
      </w:pPr>
    </w:p>
    <w:p w14:paraId="15C04332" w14:textId="77777777" w:rsidR="00ED26C2" w:rsidRDefault="00ED26C2" w:rsidP="00343562">
      <w:pPr>
        <w:pStyle w:val="Ttulo2"/>
        <w:rPr>
          <w:b w:val="0"/>
          <w:sz w:val="32"/>
          <w:szCs w:val="32"/>
        </w:rPr>
      </w:pPr>
      <w:bookmarkStart w:id="10" w:name="_Toc471999521"/>
    </w:p>
    <w:p w14:paraId="48A1073D" w14:textId="588207B9" w:rsidR="004377CC" w:rsidRPr="00ED26C2" w:rsidRDefault="004377CC" w:rsidP="00343562">
      <w:pPr>
        <w:pStyle w:val="Ttulo2"/>
        <w:rPr>
          <w:b w:val="0"/>
          <w:sz w:val="32"/>
          <w:szCs w:val="32"/>
        </w:rPr>
      </w:pPr>
      <w:r w:rsidRPr="00ED26C2">
        <w:rPr>
          <w:b w:val="0"/>
          <w:sz w:val="32"/>
          <w:szCs w:val="32"/>
        </w:rPr>
        <w:t>Energía Eléctrica</w:t>
      </w:r>
      <w:bookmarkEnd w:id="10"/>
    </w:p>
    <w:p w14:paraId="74E10BDF" w14:textId="2EF21E66" w:rsidR="009E775B" w:rsidRDefault="00001C3E" w:rsidP="00CE62F9">
      <w:pPr>
        <w:pStyle w:val="Encabezado"/>
        <w:tabs>
          <w:tab w:val="clear" w:pos="4252"/>
        </w:tabs>
        <w:spacing w:before="240" w:line="276" w:lineRule="auto"/>
        <w:jc w:val="both"/>
        <w:rPr>
          <w:rFonts w:cs="Arial"/>
          <w:bCs/>
          <w:color w:val="000000"/>
          <w:sz w:val="24"/>
        </w:rPr>
      </w:pPr>
      <w:r>
        <w:rPr>
          <w:rFonts w:cs="Arial"/>
          <w:bCs/>
          <w:color w:val="000000"/>
          <w:sz w:val="24"/>
        </w:rPr>
        <w:t xml:space="preserve">La </w:t>
      </w:r>
      <w:r w:rsidR="009E775B" w:rsidRPr="00557245">
        <w:rPr>
          <w:rFonts w:cs="Arial"/>
          <w:bCs/>
          <w:color w:val="000000"/>
          <w:sz w:val="24"/>
        </w:rPr>
        <w:t>energía eléctrica (K</w:t>
      </w:r>
      <w:r w:rsidR="0068432B">
        <w:rPr>
          <w:rFonts w:cs="Arial"/>
          <w:bCs/>
          <w:color w:val="000000"/>
          <w:sz w:val="24"/>
        </w:rPr>
        <w:t>W</w:t>
      </w:r>
      <w:r w:rsidR="009E775B" w:rsidRPr="00557245">
        <w:rPr>
          <w:rFonts w:cs="Arial"/>
          <w:bCs/>
          <w:color w:val="000000"/>
          <w:sz w:val="24"/>
        </w:rPr>
        <w:t xml:space="preserve">H), se utiliza en todas las etapas del proceso </w:t>
      </w:r>
      <w:r w:rsidR="00557245">
        <w:rPr>
          <w:rFonts w:cs="Arial"/>
          <w:bCs/>
          <w:color w:val="000000"/>
          <w:sz w:val="24"/>
        </w:rPr>
        <w:t>d</w:t>
      </w:r>
      <w:r w:rsidR="009E775B" w:rsidRPr="00557245">
        <w:rPr>
          <w:rFonts w:cs="Arial"/>
          <w:bCs/>
          <w:color w:val="000000"/>
          <w:sz w:val="24"/>
        </w:rPr>
        <w:t xml:space="preserve">e </w:t>
      </w:r>
      <w:proofErr w:type="spellStart"/>
      <w:r w:rsidR="009E775B" w:rsidRPr="00557245">
        <w:rPr>
          <w:rFonts w:cs="Arial"/>
          <w:bCs/>
          <w:color w:val="000000"/>
          <w:sz w:val="24"/>
        </w:rPr>
        <w:t>chorito</w:t>
      </w:r>
      <w:proofErr w:type="spellEnd"/>
      <w:r w:rsidR="009E775B" w:rsidRPr="00557245">
        <w:rPr>
          <w:rFonts w:cs="Arial"/>
          <w:bCs/>
          <w:color w:val="000000"/>
          <w:sz w:val="24"/>
        </w:rPr>
        <w:t xml:space="preserve"> cocido congelado, incluyendo las áreas administrati</w:t>
      </w:r>
      <w:r w:rsidR="002D12E0">
        <w:rPr>
          <w:rFonts w:cs="Arial"/>
          <w:bCs/>
          <w:color w:val="000000"/>
          <w:sz w:val="24"/>
        </w:rPr>
        <w:t>vas</w:t>
      </w:r>
      <w:r w:rsidR="009E775B" w:rsidRPr="00557245">
        <w:rPr>
          <w:rFonts w:cs="Arial"/>
          <w:bCs/>
          <w:color w:val="000000"/>
          <w:sz w:val="24"/>
        </w:rPr>
        <w:t>, comedores</w:t>
      </w:r>
      <w:r w:rsidR="002D12E0">
        <w:rPr>
          <w:rFonts w:cs="Arial"/>
          <w:bCs/>
          <w:color w:val="000000"/>
          <w:sz w:val="24"/>
        </w:rPr>
        <w:t xml:space="preserve"> y</w:t>
      </w:r>
      <w:r w:rsidR="009E775B" w:rsidRPr="00557245">
        <w:rPr>
          <w:rFonts w:cs="Arial"/>
          <w:bCs/>
          <w:color w:val="000000"/>
          <w:sz w:val="24"/>
        </w:rPr>
        <w:t xml:space="preserve"> casino</w:t>
      </w:r>
      <w:r w:rsidR="00EA09EE">
        <w:rPr>
          <w:rFonts w:cs="Arial"/>
          <w:bCs/>
          <w:color w:val="000000"/>
          <w:sz w:val="24"/>
        </w:rPr>
        <w:t>s</w:t>
      </w:r>
      <w:r w:rsidR="009E775B" w:rsidRPr="00557245">
        <w:rPr>
          <w:rFonts w:cs="Arial"/>
          <w:bCs/>
          <w:color w:val="000000"/>
          <w:sz w:val="24"/>
        </w:rPr>
        <w:t xml:space="preserve">. </w:t>
      </w:r>
    </w:p>
    <w:p w14:paraId="342B5941" w14:textId="77777777" w:rsidR="00EF1D68" w:rsidRDefault="004377CC" w:rsidP="00EF1D68">
      <w:pPr>
        <w:pStyle w:val="Encabezado"/>
        <w:tabs>
          <w:tab w:val="clear" w:pos="4252"/>
        </w:tabs>
        <w:spacing w:before="240" w:line="276" w:lineRule="auto"/>
        <w:jc w:val="both"/>
        <w:rPr>
          <w:rFonts w:cs="Arial"/>
          <w:bCs/>
          <w:color w:val="000000"/>
          <w:sz w:val="24"/>
        </w:rPr>
      </w:pPr>
      <w:r>
        <w:rPr>
          <w:rFonts w:cs="Arial"/>
          <w:bCs/>
          <w:color w:val="000000"/>
          <w:sz w:val="24"/>
        </w:rPr>
        <w:t>En general</w:t>
      </w:r>
      <w:r w:rsidR="00557245" w:rsidRPr="0043300B">
        <w:rPr>
          <w:rFonts w:cs="Arial"/>
          <w:bCs/>
          <w:color w:val="000000"/>
          <w:sz w:val="24"/>
        </w:rPr>
        <w:t>,</w:t>
      </w:r>
      <w:r w:rsidR="00557245">
        <w:rPr>
          <w:rFonts w:cs="Arial"/>
          <w:bCs/>
          <w:color w:val="000000"/>
          <w:sz w:val="24"/>
        </w:rPr>
        <w:t xml:space="preserve"> </w:t>
      </w:r>
      <w:r>
        <w:rPr>
          <w:rFonts w:cs="Arial"/>
          <w:bCs/>
          <w:color w:val="000000"/>
          <w:sz w:val="24"/>
        </w:rPr>
        <w:t xml:space="preserve">todas las empresas poseen </w:t>
      </w:r>
      <w:r w:rsidRPr="00EC00D7">
        <w:rPr>
          <w:rFonts w:cs="Arial"/>
          <w:bCs/>
          <w:color w:val="000000"/>
          <w:sz w:val="24"/>
        </w:rPr>
        <w:t>un sistema trifás</w:t>
      </w:r>
      <w:r>
        <w:rPr>
          <w:rFonts w:cs="Arial"/>
          <w:bCs/>
          <w:color w:val="000000"/>
          <w:sz w:val="24"/>
        </w:rPr>
        <w:t>ico de</w:t>
      </w:r>
      <w:r w:rsidRPr="00EC00D7">
        <w:rPr>
          <w:rFonts w:cs="Arial"/>
          <w:bCs/>
          <w:color w:val="000000"/>
          <w:sz w:val="24"/>
        </w:rPr>
        <w:t xml:space="preserve"> distribución y consumo de energía eléctrica</w:t>
      </w:r>
      <w:proofErr w:type="gramStart"/>
      <w:r w:rsidRPr="00EC00D7">
        <w:rPr>
          <w:rFonts w:cs="Arial"/>
          <w:bCs/>
          <w:color w:val="000000"/>
          <w:sz w:val="24"/>
        </w:rPr>
        <w:t>..</w:t>
      </w:r>
      <w:proofErr w:type="gramEnd"/>
      <w:r>
        <w:rPr>
          <w:rFonts w:cs="Arial"/>
          <w:bCs/>
          <w:color w:val="000000"/>
          <w:sz w:val="24"/>
        </w:rPr>
        <w:t xml:space="preserve"> </w:t>
      </w:r>
      <w:r w:rsidRPr="00EC00D7">
        <w:rPr>
          <w:rFonts w:cs="Arial"/>
          <w:bCs/>
          <w:color w:val="000000"/>
          <w:sz w:val="24"/>
        </w:rPr>
        <w:t xml:space="preserve">El sistema trifásico presenta una serie de ventajas, como son la economía de sus </w:t>
      </w:r>
      <w:r>
        <w:rPr>
          <w:rFonts w:cs="Arial"/>
          <w:bCs/>
          <w:color w:val="000000"/>
          <w:sz w:val="24"/>
        </w:rPr>
        <w:t>líneas de transporte de energía</w:t>
      </w:r>
      <w:r w:rsidRPr="00EC00D7">
        <w:rPr>
          <w:rFonts w:cs="Arial"/>
          <w:bCs/>
          <w:color w:val="000000"/>
          <w:sz w:val="24"/>
        </w:rPr>
        <w:t xml:space="preserve">, así como </w:t>
      </w:r>
      <w:r>
        <w:rPr>
          <w:rFonts w:cs="Arial"/>
          <w:bCs/>
          <w:color w:val="000000"/>
          <w:sz w:val="24"/>
        </w:rPr>
        <w:t xml:space="preserve">su elevado rendimiento de </w:t>
      </w:r>
      <w:r w:rsidRPr="00EC00D7">
        <w:rPr>
          <w:rFonts w:cs="Arial"/>
          <w:bCs/>
          <w:color w:val="000000"/>
          <w:sz w:val="24"/>
        </w:rPr>
        <w:t>motores</w:t>
      </w:r>
      <w:r w:rsidR="00EF1D68">
        <w:rPr>
          <w:rFonts w:cs="Arial"/>
          <w:bCs/>
          <w:color w:val="000000"/>
          <w:sz w:val="24"/>
        </w:rPr>
        <w:t>.</w:t>
      </w:r>
    </w:p>
    <w:p w14:paraId="4076856C" w14:textId="30F2B519" w:rsidR="004377CC" w:rsidRDefault="004377CC" w:rsidP="00EF1D68">
      <w:pPr>
        <w:pStyle w:val="Encabezado"/>
        <w:tabs>
          <w:tab w:val="clear" w:pos="4252"/>
        </w:tabs>
        <w:spacing w:before="240" w:line="276" w:lineRule="auto"/>
        <w:jc w:val="both"/>
        <w:rPr>
          <w:rFonts w:cs="Arial"/>
          <w:bCs/>
          <w:color w:val="000000"/>
          <w:sz w:val="24"/>
        </w:rPr>
      </w:pPr>
      <w:r w:rsidRPr="005C4B10">
        <w:rPr>
          <w:rFonts w:cs="Arial"/>
          <w:bCs/>
          <w:color w:val="000000"/>
          <w:sz w:val="24"/>
        </w:rPr>
        <w:t>E</w:t>
      </w:r>
      <w:r>
        <w:rPr>
          <w:rFonts w:cs="Arial"/>
          <w:bCs/>
          <w:color w:val="000000"/>
          <w:sz w:val="24"/>
        </w:rPr>
        <w:t xml:space="preserve">l </w:t>
      </w:r>
      <w:r w:rsidR="00557245">
        <w:rPr>
          <w:rFonts w:cs="Arial"/>
          <w:bCs/>
          <w:color w:val="000000"/>
          <w:sz w:val="24"/>
        </w:rPr>
        <w:t>consumo</w:t>
      </w:r>
      <w:r w:rsidR="00642ABE" w:rsidRPr="00557245">
        <w:rPr>
          <w:rFonts w:cs="Arial"/>
          <w:bCs/>
          <w:color w:val="000000"/>
          <w:sz w:val="24"/>
        </w:rPr>
        <w:t xml:space="preserve"> </w:t>
      </w:r>
      <w:r w:rsidR="00557245">
        <w:rPr>
          <w:rFonts w:cs="Arial"/>
          <w:bCs/>
          <w:color w:val="000000"/>
          <w:sz w:val="24"/>
        </w:rPr>
        <w:t xml:space="preserve">promedio </w:t>
      </w:r>
      <w:r w:rsidR="00557245" w:rsidRPr="00557245">
        <w:rPr>
          <w:rFonts w:cs="Arial"/>
          <w:bCs/>
          <w:color w:val="000000"/>
          <w:sz w:val="24"/>
        </w:rPr>
        <w:t>de</w:t>
      </w:r>
      <w:r w:rsidR="00642ABE" w:rsidRPr="00557245">
        <w:rPr>
          <w:rFonts w:cs="Arial"/>
          <w:bCs/>
          <w:color w:val="000000"/>
          <w:sz w:val="24"/>
        </w:rPr>
        <w:t xml:space="preserve"> </w:t>
      </w:r>
      <w:r w:rsidRPr="00557245">
        <w:rPr>
          <w:rFonts w:cs="Arial"/>
          <w:bCs/>
          <w:color w:val="000000"/>
          <w:sz w:val="24"/>
        </w:rPr>
        <w:t>energía eléctrica</w:t>
      </w:r>
      <w:r>
        <w:rPr>
          <w:rFonts w:cs="Arial"/>
          <w:bCs/>
          <w:color w:val="000000"/>
          <w:sz w:val="24"/>
        </w:rPr>
        <w:t xml:space="preserve"> utilizada por las 9 empresas diagnosticadas durante</w:t>
      </w:r>
      <w:r w:rsidR="00557245">
        <w:rPr>
          <w:rFonts w:cs="Arial"/>
          <w:bCs/>
          <w:color w:val="000000"/>
          <w:sz w:val="24"/>
        </w:rPr>
        <w:t xml:space="preserve"> el año 2015 </w:t>
      </w:r>
      <w:r w:rsidR="0043300B" w:rsidRPr="0043300B">
        <w:rPr>
          <w:rFonts w:cs="Arial"/>
          <w:bCs/>
          <w:color w:val="000000"/>
          <w:sz w:val="24"/>
        </w:rPr>
        <w:t>f</w:t>
      </w:r>
      <w:r w:rsidR="00AB3E96" w:rsidRPr="0043300B">
        <w:rPr>
          <w:rFonts w:cs="Arial"/>
          <w:bCs/>
          <w:color w:val="000000"/>
          <w:sz w:val="24"/>
        </w:rPr>
        <w:t>ue</w:t>
      </w:r>
      <w:r w:rsidR="00557245">
        <w:rPr>
          <w:rFonts w:cs="Arial"/>
          <w:bCs/>
          <w:color w:val="000000"/>
          <w:sz w:val="24"/>
        </w:rPr>
        <w:t xml:space="preserve"> de 4.030.245 (</w:t>
      </w:r>
      <w:r w:rsidR="00895A8A" w:rsidRPr="00557245">
        <w:rPr>
          <w:rFonts w:cs="Arial"/>
          <w:bCs/>
          <w:color w:val="000000"/>
          <w:sz w:val="24"/>
        </w:rPr>
        <w:t>K</w:t>
      </w:r>
      <w:r w:rsidR="00895A8A">
        <w:rPr>
          <w:rFonts w:cs="Arial"/>
          <w:bCs/>
          <w:color w:val="000000"/>
          <w:sz w:val="24"/>
        </w:rPr>
        <w:t>W</w:t>
      </w:r>
      <w:r w:rsidR="00895A8A" w:rsidRPr="00557245">
        <w:rPr>
          <w:rFonts w:cs="Arial"/>
          <w:bCs/>
          <w:color w:val="000000"/>
          <w:sz w:val="24"/>
        </w:rPr>
        <w:t>H</w:t>
      </w:r>
      <w:r w:rsidR="00557245">
        <w:rPr>
          <w:rFonts w:cs="Arial"/>
          <w:bCs/>
          <w:color w:val="000000"/>
          <w:sz w:val="24"/>
        </w:rPr>
        <w:t>)</w:t>
      </w:r>
      <w:r>
        <w:rPr>
          <w:rFonts w:cs="Arial"/>
          <w:bCs/>
          <w:color w:val="000000"/>
          <w:sz w:val="24"/>
        </w:rPr>
        <w:t xml:space="preserve"> </w:t>
      </w:r>
      <w:r w:rsidR="00557245">
        <w:rPr>
          <w:rFonts w:cs="Arial"/>
          <w:bCs/>
          <w:color w:val="000000"/>
          <w:sz w:val="24"/>
        </w:rPr>
        <w:t xml:space="preserve">y la energía eléctrica consumida por </w:t>
      </w:r>
      <w:r w:rsidR="00AB3E96">
        <w:rPr>
          <w:rFonts w:cs="Arial"/>
          <w:bCs/>
          <w:color w:val="000000"/>
          <w:sz w:val="24"/>
        </w:rPr>
        <w:t xml:space="preserve">tonelada de producto final </w:t>
      </w:r>
      <w:r>
        <w:rPr>
          <w:rFonts w:cs="Arial"/>
          <w:bCs/>
          <w:color w:val="000000"/>
          <w:sz w:val="24"/>
        </w:rPr>
        <w:t xml:space="preserve">fue de 852 </w:t>
      </w:r>
      <w:r w:rsidRPr="00AB3E96">
        <w:rPr>
          <w:rFonts w:cs="Arial"/>
          <w:bCs/>
          <w:color w:val="000000"/>
          <w:sz w:val="24"/>
        </w:rPr>
        <w:t>(</w:t>
      </w:r>
      <w:r w:rsidR="00895A8A" w:rsidRPr="00557245">
        <w:rPr>
          <w:rFonts w:cs="Arial"/>
          <w:bCs/>
          <w:color w:val="000000"/>
          <w:sz w:val="24"/>
        </w:rPr>
        <w:t>K</w:t>
      </w:r>
      <w:r w:rsidR="00895A8A">
        <w:rPr>
          <w:rFonts w:cs="Arial"/>
          <w:bCs/>
          <w:color w:val="000000"/>
          <w:sz w:val="24"/>
        </w:rPr>
        <w:t>W</w:t>
      </w:r>
      <w:r w:rsidR="00895A8A" w:rsidRPr="00557245">
        <w:rPr>
          <w:rFonts w:cs="Arial"/>
          <w:bCs/>
          <w:color w:val="000000"/>
          <w:sz w:val="24"/>
        </w:rPr>
        <w:t>H</w:t>
      </w:r>
      <w:r w:rsidRPr="00AB3E96">
        <w:rPr>
          <w:rFonts w:cs="Arial"/>
          <w:bCs/>
          <w:color w:val="000000"/>
          <w:sz w:val="24"/>
        </w:rPr>
        <w:t>/Ton</w:t>
      </w:r>
      <w:r w:rsidR="00557245" w:rsidRPr="00AB3E96">
        <w:rPr>
          <w:rFonts w:cs="Arial"/>
          <w:bCs/>
          <w:color w:val="000000"/>
          <w:sz w:val="24"/>
        </w:rPr>
        <w:t>)</w:t>
      </w:r>
      <w:r w:rsidR="00642ABE" w:rsidRPr="00AB3E96">
        <w:rPr>
          <w:rFonts w:cs="Arial"/>
          <w:bCs/>
          <w:color w:val="000000"/>
          <w:sz w:val="24"/>
        </w:rPr>
        <w:t xml:space="preserve"> </w:t>
      </w:r>
      <w:r w:rsidR="00557245" w:rsidRPr="00AB3E96">
        <w:rPr>
          <w:rFonts w:cs="Arial"/>
          <w:bCs/>
          <w:color w:val="000000"/>
          <w:sz w:val="24"/>
        </w:rPr>
        <w:t>(</w:t>
      </w:r>
      <w:r w:rsidR="00642ABE" w:rsidRPr="00AB3E96">
        <w:rPr>
          <w:rFonts w:cs="Arial"/>
          <w:bCs/>
          <w:color w:val="000000"/>
          <w:sz w:val="24"/>
        </w:rPr>
        <w:t>F</w:t>
      </w:r>
      <w:r w:rsidRPr="00AB3E96">
        <w:rPr>
          <w:rFonts w:cs="Arial"/>
          <w:bCs/>
          <w:color w:val="000000"/>
          <w:sz w:val="24"/>
        </w:rPr>
        <w:t xml:space="preserve">igura </w:t>
      </w:r>
      <w:r w:rsidR="00557245" w:rsidRPr="00AB3E96">
        <w:rPr>
          <w:rFonts w:cs="Arial"/>
          <w:bCs/>
          <w:color w:val="000000"/>
          <w:sz w:val="24"/>
        </w:rPr>
        <w:t>10</w:t>
      </w:r>
      <w:r w:rsidRPr="00AB3E96">
        <w:rPr>
          <w:rFonts w:cs="Arial"/>
          <w:bCs/>
          <w:color w:val="000000"/>
          <w:sz w:val="24"/>
        </w:rPr>
        <w:t>).</w:t>
      </w:r>
    </w:p>
    <w:p w14:paraId="694FB891" w14:textId="77777777" w:rsidR="008412F8" w:rsidRDefault="008412F8" w:rsidP="00CE62F9">
      <w:pPr>
        <w:pStyle w:val="Encabezado"/>
        <w:tabs>
          <w:tab w:val="clear" w:pos="4252"/>
          <w:tab w:val="center" w:pos="0"/>
        </w:tabs>
        <w:spacing w:before="240" w:line="276" w:lineRule="auto"/>
        <w:ind w:firstLine="709"/>
        <w:jc w:val="both"/>
        <w:rPr>
          <w:rFonts w:cs="Arial"/>
          <w:bCs/>
          <w:color w:val="000000"/>
          <w:sz w:val="24"/>
        </w:rPr>
      </w:pPr>
    </w:p>
    <w:p w14:paraId="4A1F828E" w14:textId="77777777" w:rsidR="00D85FC4" w:rsidRDefault="008412F8" w:rsidP="00D85FC4">
      <w:pPr>
        <w:pStyle w:val="Encabezado"/>
        <w:tabs>
          <w:tab w:val="clear" w:pos="4252"/>
          <w:tab w:val="center" w:pos="0"/>
        </w:tabs>
        <w:spacing w:before="240" w:line="276" w:lineRule="auto"/>
        <w:jc w:val="both"/>
        <w:rPr>
          <w:rFonts w:cs="Arial"/>
          <w:bCs/>
          <w:color w:val="000000"/>
          <w:sz w:val="24"/>
        </w:rPr>
      </w:pPr>
      <w:r>
        <w:rPr>
          <w:noProof/>
          <w:lang w:val="es-CL" w:eastAsia="es-CL"/>
        </w:rPr>
        <w:lastRenderedPageBreak/>
        <w:drawing>
          <wp:inline distT="0" distB="0" distL="0" distR="0" wp14:anchorId="55269FEF" wp14:editId="1EB891F2">
            <wp:extent cx="2343151" cy="1809750"/>
            <wp:effectExtent l="0" t="0" r="19050" b="19050"/>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r>
        <w:rPr>
          <w:noProof/>
          <w:lang w:val="es-CL" w:eastAsia="es-CL"/>
        </w:rPr>
        <w:drawing>
          <wp:inline distT="0" distB="0" distL="0" distR="0" wp14:anchorId="367AD0C6" wp14:editId="664D31B9">
            <wp:extent cx="2343151" cy="1809750"/>
            <wp:effectExtent l="0" t="0" r="19050" b="19050"/>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7B3B357B" w14:textId="35E070DB" w:rsidR="004377CC" w:rsidRDefault="00557245" w:rsidP="00D85FC4">
      <w:pPr>
        <w:pStyle w:val="Encabezado"/>
        <w:tabs>
          <w:tab w:val="clear" w:pos="4252"/>
          <w:tab w:val="center" w:pos="0"/>
        </w:tabs>
        <w:spacing w:line="276" w:lineRule="auto"/>
        <w:jc w:val="both"/>
        <w:rPr>
          <w:rFonts w:cs="Arial"/>
          <w:bCs/>
          <w:color w:val="000000"/>
          <w:sz w:val="24"/>
        </w:rPr>
      </w:pPr>
      <w:r>
        <w:rPr>
          <w:rFonts w:cs="Arial"/>
          <w:b/>
          <w:bCs/>
          <w:color w:val="000000"/>
          <w:sz w:val="24"/>
        </w:rPr>
        <w:t>Figura 10</w:t>
      </w:r>
      <w:r w:rsidR="004377CC" w:rsidRPr="00B95410">
        <w:rPr>
          <w:rFonts w:cs="Arial"/>
          <w:bCs/>
          <w:color w:val="000000"/>
          <w:sz w:val="24"/>
        </w:rPr>
        <w:t>. Consumo de energía eléctrica utilizada</w:t>
      </w:r>
      <w:r w:rsidR="004377CC">
        <w:rPr>
          <w:rFonts w:cs="Arial"/>
          <w:bCs/>
          <w:color w:val="000000"/>
          <w:sz w:val="24"/>
        </w:rPr>
        <w:t xml:space="preserve"> por las empresas</w:t>
      </w:r>
      <w:r w:rsidR="004B1180">
        <w:rPr>
          <w:rFonts w:cs="Arial"/>
          <w:bCs/>
          <w:color w:val="000000"/>
          <w:sz w:val="24"/>
        </w:rPr>
        <w:t>.</w:t>
      </w:r>
      <w:r w:rsidR="004377CC">
        <w:rPr>
          <w:rFonts w:cs="Arial"/>
          <w:bCs/>
          <w:color w:val="000000"/>
          <w:sz w:val="24"/>
        </w:rPr>
        <w:t xml:space="preserve"> </w:t>
      </w:r>
    </w:p>
    <w:p w14:paraId="1C8143DA" w14:textId="77777777" w:rsidR="00ED26C2" w:rsidRDefault="00ED26C2" w:rsidP="00343562">
      <w:pPr>
        <w:pStyle w:val="Ttulo2"/>
        <w:rPr>
          <w:b w:val="0"/>
          <w:sz w:val="32"/>
          <w:szCs w:val="32"/>
        </w:rPr>
      </w:pPr>
      <w:bookmarkStart w:id="11" w:name="_Toc471999522"/>
    </w:p>
    <w:p w14:paraId="3F220A91" w14:textId="66794282" w:rsidR="00962021" w:rsidRPr="00ED26C2" w:rsidRDefault="00672816" w:rsidP="00343562">
      <w:pPr>
        <w:pStyle w:val="Ttulo2"/>
        <w:rPr>
          <w:b w:val="0"/>
          <w:sz w:val="32"/>
          <w:szCs w:val="32"/>
        </w:rPr>
      </w:pPr>
      <w:r w:rsidRPr="00ED26C2">
        <w:rPr>
          <w:b w:val="0"/>
          <w:sz w:val="32"/>
          <w:szCs w:val="32"/>
        </w:rPr>
        <w:t>Combustibles</w:t>
      </w:r>
      <w:bookmarkEnd w:id="11"/>
    </w:p>
    <w:p w14:paraId="400BE3D9" w14:textId="70D6B308" w:rsidR="00EF30F1" w:rsidRDefault="00EA09EE" w:rsidP="00CE62F9">
      <w:pPr>
        <w:pStyle w:val="Encabezado"/>
        <w:tabs>
          <w:tab w:val="clear" w:pos="4252"/>
          <w:tab w:val="center" w:pos="0"/>
        </w:tabs>
        <w:spacing w:before="240" w:line="276" w:lineRule="auto"/>
        <w:jc w:val="both"/>
        <w:rPr>
          <w:rFonts w:cs="Arial"/>
          <w:bCs/>
          <w:color w:val="000000"/>
          <w:sz w:val="24"/>
        </w:rPr>
      </w:pPr>
      <w:r>
        <w:rPr>
          <w:rFonts w:cs="Arial"/>
          <w:bCs/>
          <w:color w:val="000000"/>
          <w:sz w:val="24"/>
        </w:rPr>
        <w:t>El petróleo</w:t>
      </w:r>
      <w:r w:rsidR="00071277">
        <w:rPr>
          <w:rFonts w:cs="Arial"/>
          <w:bCs/>
          <w:color w:val="000000"/>
          <w:sz w:val="24"/>
        </w:rPr>
        <w:t xml:space="preserve"> (</w:t>
      </w:r>
      <w:r w:rsidR="00744ED4">
        <w:rPr>
          <w:rFonts w:cs="Arial"/>
          <w:bCs/>
          <w:color w:val="000000"/>
          <w:sz w:val="24"/>
        </w:rPr>
        <w:t>5 y 6)</w:t>
      </w:r>
      <w:r w:rsidR="00962021">
        <w:rPr>
          <w:rFonts w:cs="Arial"/>
          <w:bCs/>
          <w:color w:val="000000"/>
          <w:sz w:val="24"/>
        </w:rPr>
        <w:t>,</w:t>
      </w:r>
      <w:r w:rsidR="00A51279">
        <w:rPr>
          <w:rFonts w:cs="Arial"/>
          <w:bCs/>
          <w:color w:val="000000"/>
          <w:sz w:val="24"/>
        </w:rPr>
        <w:t xml:space="preserve"> bencina y gas</w:t>
      </w:r>
      <w:r>
        <w:rPr>
          <w:rFonts w:cs="Arial"/>
          <w:bCs/>
          <w:color w:val="000000"/>
          <w:sz w:val="24"/>
        </w:rPr>
        <w:t xml:space="preserve"> son</w:t>
      </w:r>
      <w:r w:rsidR="009E775B">
        <w:rPr>
          <w:rFonts w:cs="Arial"/>
          <w:bCs/>
          <w:color w:val="000000"/>
          <w:sz w:val="24"/>
        </w:rPr>
        <w:t xml:space="preserve"> los </w:t>
      </w:r>
      <w:r w:rsidR="009E775B" w:rsidRPr="00EF30F1">
        <w:rPr>
          <w:rFonts w:cs="Arial"/>
          <w:bCs/>
          <w:color w:val="000000"/>
          <w:sz w:val="24"/>
        </w:rPr>
        <w:t xml:space="preserve">combustibles </w:t>
      </w:r>
      <w:r w:rsidRPr="00EF30F1">
        <w:rPr>
          <w:rFonts w:cs="Arial"/>
          <w:bCs/>
          <w:color w:val="000000"/>
          <w:sz w:val="24"/>
        </w:rPr>
        <w:t xml:space="preserve">utilizados por las empresas para la </w:t>
      </w:r>
      <w:r w:rsidR="009E775B" w:rsidRPr="00EF30F1">
        <w:rPr>
          <w:rFonts w:cs="Arial"/>
          <w:bCs/>
          <w:color w:val="000000"/>
          <w:sz w:val="24"/>
        </w:rPr>
        <w:t>elaboración de producto terminado</w:t>
      </w:r>
      <w:r w:rsidRPr="00EF30F1">
        <w:rPr>
          <w:rFonts w:cs="Arial"/>
          <w:bCs/>
          <w:color w:val="000000"/>
          <w:sz w:val="24"/>
        </w:rPr>
        <w:t xml:space="preserve">. </w:t>
      </w:r>
      <w:r w:rsidR="0043300B">
        <w:rPr>
          <w:rFonts w:cs="Arial"/>
          <w:bCs/>
          <w:color w:val="000000"/>
          <w:sz w:val="24"/>
        </w:rPr>
        <w:t>S</w:t>
      </w:r>
      <w:r w:rsidR="00AF2ED3" w:rsidRPr="00EF30F1">
        <w:rPr>
          <w:rFonts w:cs="Arial"/>
          <w:bCs/>
          <w:color w:val="000000"/>
          <w:sz w:val="24"/>
        </w:rPr>
        <w:t>egún</w:t>
      </w:r>
      <w:r w:rsidR="0043300B">
        <w:rPr>
          <w:rFonts w:cs="Arial"/>
          <w:bCs/>
          <w:color w:val="000000"/>
          <w:sz w:val="24"/>
        </w:rPr>
        <w:t>, lo informado por las plantas</w:t>
      </w:r>
      <w:r w:rsidR="00AF2ED3" w:rsidRPr="00EF30F1">
        <w:rPr>
          <w:rFonts w:cs="Arial"/>
          <w:bCs/>
          <w:color w:val="000000"/>
          <w:sz w:val="24"/>
        </w:rPr>
        <w:t xml:space="preserve"> </w:t>
      </w:r>
      <w:r w:rsidR="009E775B" w:rsidRPr="00EF30F1">
        <w:rPr>
          <w:rFonts w:cs="Arial"/>
          <w:bCs/>
          <w:color w:val="000000"/>
          <w:sz w:val="24"/>
        </w:rPr>
        <w:t>el combustible es utilizado</w:t>
      </w:r>
      <w:r w:rsidR="0043300B">
        <w:rPr>
          <w:rFonts w:cs="Arial"/>
          <w:bCs/>
          <w:color w:val="000000"/>
          <w:sz w:val="24"/>
        </w:rPr>
        <w:t xml:space="preserve"> también</w:t>
      </w:r>
      <w:r w:rsidR="009E775B" w:rsidRPr="00EF30F1">
        <w:rPr>
          <w:rFonts w:cs="Arial"/>
          <w:bCs/>
          <w:color w:val="000000"/>
          <w:sz w:val="24"/>
        </w:rPr>
        <w:t xml:space="preserve"> para la calefacción del área administrativa, casino y vehículos</w:t>
      </w:r>
      <w:r w:rsidR="00A51279">
        <w:rPr>
          <w:rFonts w:cs="Arial"/>
          <w:bCs/>
          <w:color w:val="000000"/>
          <w:sz w:val="24"/>
        </w:rPr>
        <w:t xml:space="preserve">. Señalar que también se utiliza leña para </w:t>
      </w:r>
      <w:proofErr w:type="spellStart"/>
      <w:r w:rsidR="00A51279">
        <w:rPr>
          <w:rFonts w:cs="Arial"/>
          <w:bCs/>
          <w:color w:val="000000"/>
          <w:sz w:val="24"/>
        </w:rPr>
        <w:t>calefaccionar</w:t>
      </w:r>
      <w:proofErr w:type="spellEnd"/>
      <w:r w:rsidR="009E775B" w:rsidRPr="00EF30F1">
        <w:rPr>
          <w:rFonts w:cs="Arial"/>
          <w:bCs/>
          <w:color w:val="000000"/>
          <w:sz w:val="24"/>
        </w:rPr>
        <w:t xml:space="preserve">. </w:t>
      </w:r>
      <w:r w:rsidR="00EF30F1">
        <w:rPr>
          <w:rFonts w:cs="Arial"/>
          <w:bCs/>
          <w:color w:val="000000"/>
          <w:sz w:val="24"/>
        </w:rPr>
        <w:t>El mayor porcentaje de empresas utiliza diesel (78%; 7 empresas), seguido del gas y leña (11%; 1 empresa</w:t>
      </w:r>
      <w:r w:rsidR="00001C3E">
        <w:rPr>
          <w:rFonts w:cs="Arial"/>
          <w:bCs/>
          <w:color w:val="000000"/>
          <w:sz w:val="24"/>
        </w:rPr>
        <w:t xml:space="preserve"> respectivamente</w:t>
      </w:r>
      <w:r w:rsidR="006D1E56">
        <w:rPr>
          <w:rFonts w:cs="Arial"/>
          <w:bCs/>
          <w:color w:val="000000"/>
          <w:sz w:val="24"/>
        </w:rPr>
        <w:t xml:space="preserve"> </w:t>
      </w:r>
      <w:r w:rsidR="005F6B1C">
        <w:rPr>
          <w:rFonts w:cs="Arial"/>
          <w:bCs/>
          <w:color w:val="000000"/>
          <w:sz w:val="24"/>
        </w:rPr>
        <w:t>(Figura 11)</w:t>
      </w:r>
    </w:p>
    <w:p w14:paraId="5CC2E81F" w14:textId="1E4E8369" w:rsidR="008D093A" w:rsidRDefault="00662C5C" w:rsidP="00CE62F9">
      <w:pPr>
        <w:pStyle w:val="Encabezado"/>
        <w:tabs>
          <w:tab w:val="clear" w:pos="4252"/>
          <w:tab w:val="center" w:pos="0"/>
        </w:tabs>
        <w:spacing w:before="240" w:line="276" w:lineRule="auto"/>
        <w:jc w:val="both"/>
        <w:rPr>
          <w:rFonts w:cs="Arial"/>
          <w:bCs/>
          <w:color w:val="000000"/>
          <w:sz w:val="24"/>
        </w:rPr>
      </w:pPr>
      <w:r w:rsidRPr="00662C5C">
        <w:rPr>
          <w:rFonts w:cs="Arial"/>
          <w:bCs/>
          <w:color w:val="000000"/>
          <w:sz w:val="24"/>
        </w:rPr>
        <w:t>Con respecto a</w:t>
      </w:r>
      <w:r w:rsidR="00962021">
        <w:rPr>
          <w:rFonts w:cs="Arial"/>
          <w:bCs/>
          <w:color w:val="000000"/>
          <w:sz w:val="24"/>
        </w:rPr>
        <w:t>l</w:t>
      </w:r>
      <w:r>
        <w:rPr>
          <w:rFonts w:cs="Arial"/>
          <w:bCs/>
          <w:color w:val="000000"/>
          <w:sz w:val="24"/>
        </w:rPr>
        <w:t xml:space="preserve"> volumen de combustible utilizado para elaborar una tonelada de producto final, se </w:t>
      </w:r>
      <w:r w:rsidR="008D093A">
        <w:rPr>
          <w:rFonts w:cs="Arial"/>
          <w:bCs/>
          <w:color w:val="000000"/>
          <w:sz w:val="24"/>
        </w:rPr>
        <w:t xml:space="preserve">evidenció </w:t>
      </w:r>
      <w:r w:rsidR="008D093A" w:rsidRPr="00EA7953">
        <w:rPr>
          <w:rFonts w:cs="Arial"/>
          <w:bCs/>
          <w:color w:val="000000"/>
          <w:sz w:val="24"/>
        </w:rPr>
        <w:t xml:space="preserve">que el consumo de diésel es </w:t>
      </w:r>
      <w:r w:rsidR="00962021">
        <w:rPr>
          <w:rFonts w:cs="Arial"/>
          <w:bCs/>
          <w:color w:val="000000"/>
          <w:sz w:val="24"/>
        </w:rPr>
        <w:t xml:space="preserve">de </w:t>
      </w:r>
      <w:r w:rsidR="00A945B7">
        <w:rPr>
          <w:rFonts w:cs="Arial"/>
          <w:bCs/>
          <w:color w:val="000000"/>
          <w:sz w:val="24"/>
        </w:rPr>
        <w:t>111</w:t>
      </w:r>
      <w:r w:rsidR="00EA7953" w:rsidRPr="00EA7953">
        <w:rPr>
          <w:rFonts w:cs="Arial"/>
          <w:bCs/>
          <w:color w:val="000000"/>
          <w:sz w:val="24"/>
        </w:rPr>
        <w:t xml:space="preserve"> (L/</w:t>
      </w:r>
      <w:r w:rsidR="0018421B" w:rsidRPr="00EA7953">
        <w:rPr>
          <w:rFonts w:cs="Arial"/>
          <w:bCs/>
          <w:color w:val="000000"/>
          <w:sz w:val="24"/>
        </w:rPr>
        <w:t>Ton</w:t>
      </w:r>
      <w:r w:rsidRPr="00EA7953">
        <w:rPr>
          <w:rFonts w:cs="Arial"/>
          <w:bCs/>
          <w:color w:val="000000"/>
          <w:sz w:val="24"/>
        </w:rPr>
        <w:t>)</w:t>
      </w:r>
      <w:r w:rsidR="008D093A" w:rsidRPr="00EA7953">
        <w:rPr>
          <w:rFonts w:cs="Arial"/>
          <w:bCs/>
          <w:color w:val="000000"/>
          <w:sz w:val="24"/>
        </w:rPr>
        <w:t>, en comparación</w:t>
      </w:r>
      <w:r w:rsidR="00D70031">
        <w:rPr>
          <w:rFonts w:cs="Arial"/>
          <w:bCs/>
          <w:color w:val="000000"/>
          <w:sz w:val="24"/>
        </w:rPr>
        <w:t xml:space="preserve"> a</w:t>
      </w:r>
      <w:r w:rsidR="00A945B7">
        <w:rPr>
          <w:rFonts w:cs="Arial"/>
          <w:bCs/>
          <w:color w:val="000000"/>
          <w:sz w:val="24"/>
        </w:rPr>
        <w:t xml:space="preserve"> 12</w:t>
      </w:r>
      <w:r w:rsidR="0018421B" w:rsidRPr="00EA7953">
        <w:rPr>
          <w:rFonts w:cs="Arial"/>
          <w:bCs/>
          <w:color w:val="000000"/>
          <w:sz w:val="24"/>
        </w:rPr>
        <w:t xml:space="preserve"> (L/Ton)</w:t>
      </w:r>
      <w:r w:rsidR="008D093A" w:rsidRPr="00EA7953">
        <w:rPr>
          <w:rFonts w:cs="Arial"/>
          <w:bCs/>
          <w:color w:val="000000"/>
          <w:sz w:val="24"/>
        </w:rPr>
        <w:t xml:space="preserve"> </w:t>
      </w:r>
      <w:r w:rsidR="0018421B" w:rsidRPr="00EA7953">
        <w:rPr>
          <w:rFonts w:cs="Arial"/>
          <w:bCs/>
          <w:color w:val="000000"/>
          <w:sz w:val="24"/>
        </w:rPr>
        <w:t>de</w:t>
      </w:r>
      <w:r w:rsidR="00D70031">
        <w:rPr>
          <w:rFonts w:cs="Arial"/>
          <w:bCs/>
          <w:color w:val="000000"/>
          <w:sz w:val="24"/>
        </w:rPr>
        <w:t xml:space="preserve"> gas </w:t>
      </w:r>
      <w:r w:rsidR="00D70031" w:rsidRPr="00071277">
        <w:rPr>
          <w:rFonts w:cs="Arial"/>
          <w:bCs/>
          <w:color w:val="000000"/>
          <w:sz w:val="24"/>
        </w:rPr>
        <w:t xml:space="preserve">y </w:t>
      </w:r>
      <w:r w:rsidR="00A945B7" w:rsidRPr="00071277">
        <w:rPr>
          <w:rFonts w:cs="Arial"/>
          <w:bCs/>
          <w:color w:val="000000"/>
          <w:sz w:val="24"/>
        </w:rPr>
        <w:t>0,16</w:t>
      </w:r>
      <w:r w:rsidR="007271E8" w:rsidRPr="00071277">
        <w:rPr>
          <w:rFonts w:cs="Arial"/>
          <w:bCs/>
          <w:color w:val="000000"/>
          <w:sz w:val="24"/>
        </w:rPr>
        <w:t xml:space="preserve"> (M</w:t>
      </w:r>
      <w:r w:rsidR="00D70031" w:rsidRPr="00071277">
        <w:rPr>
          <w:rFonts w:cs="Arial"/>
          <w:bCs/>
          <w:color w:val="000000"/>
          <w:sz w:val="24"/>
        </w:rPr>
        <w:t xml:space="preserve">/Ton) de </w:t>
      </w:r>
      <w:r w:rsidR="0018421B" w:rsidRPr="00071277">
        <w:rPr>
          <w:rFonts w:cs="Arial"/>
          <w:bCs/>
          <w:color w:val="000000"/>
          <w:sz w:val="24"/>
        </w:rPr>
        <w:t>leña</w:t>
      </w:r>
      <w:r w:rsidR="008D093A">
        <w:rPr>
          <w:rFonts w:cs="Arial"/>
          <w:bCs/>
          <w:color w:val="000000"/>
          <w:sz w:val="24"/>
        </w:rPr>
        <w:t xml:space="preserve"> </w:t>
      </w:r>
      <w:r w:rsidR="0043300B">
        <w:rPr>
          <w:rFonts w:cs="Arial"/>
          <w:bCs/>
          <w:color w:val="000000"/>
          <w:sz w:val="24"/>
        </w:rPr>
        <w:t>(Figura 11).</w:t>
      </w:r>
    </w:p>
    <w:p w14:paraId="583B2A1E" w14:textId="77777777" w:rsidR="007271E8" w:rsidRDefault="007271E8" w:rsidP="00CE62F9">
      <w:pPr>
        <w:pStyle w:val="Encabezado"/>
        <w:tabs>
          <w:tab w:val="clear" w:pos="4252"/>
          <w:tab w:val="center" w:pos="0"/>
        </w:tabs>
        <w:spacing w:before="240" w:line="276" w:lineRule="auto"/>
        <w:jc w:val="both"/>
        <w:rPr>
          <w:rFonts w:cs="Arial"/>
          <w:bCs/>
          <w:color w:val="000000"/>
          <w:sz w:val="24"/>
        </w:rPr>
      </w:pPr>
    </w:p>
    <w:p w14:paraId="503D718E" w14:textId="06651CA8" w:rsidR="00A72A7F" w:rsidRDefault="007E12BD" w:rsidP="00CE62F9">
      <w:pPr>
        <w:pStyle w:val="Encabezado"/>
        <w:spacing w:before="240"/>
        <w:jc w:val="both"/>
        <w:rPr>
          <w:rFonts w:cs="Arial"/>
          <w:bCs/>
          <w:color w:val="000000"/>
          <w:sz w:val="24"/>
        </w:rPr>
      </w:pPr>
      <w:r w:rsidRPr="00D85FC4">
        <w:rPr>
          <w:noProof/>
          <w:sz w:val="16"/>
          <w:szCs w:val="16"/>
          <w:lang w:val="es-CL" w:eastAsia="es-CL"/>
        </w:rPr>
        <w:drawing>
          <wp:inline distT="0" distB="0" distL="0" distR="0" wp14:anchorId="70091439" wp14:editId="29941B52">
            <wp:extent cx="2571750" cy="2428875"/>
            <wp:effectExtent l="0" t="0" r="19050" b="9525"/>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r>
        <w:rPr>
          <w:noProof/>
          <w:lang w:val="es-CL" w:eastAsia="es-CL"/>
        </w:rPr>
        <w:drawing>
          <wp:inline distT="0" distB="0" distL="0" distR="0" wp14:anchorId="387DF3C2" wp14:editId="78EAF775">
            <wp:extent cx="2514600" cy="2428875"/>
            <wp:effectExtent l="0" t="0" r="19050" b="9525"/>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334F4512" w14:textId="17F4F797" w:rsidR="00B34693" w:rsidRDefault="000C7099" w:rsidP="000C7099">
      <w:pPr>
        <w:pStyle w:val="Encabezado"/>
        <w:jc w:val="both"/>
        <w:rPr>
          <w:lang w:eastAsia="es-CL"/>
        </w:rPr>
      </w:pPr>
      <w:r>
        <w:rPr>
          <w:rFonts w:cs="Arial"/>
          <w:b/>
          <w:bCs/>
          <w:color w:val="000000"/>
          <w:sz w:val="24"/>
        </w:rPr>
        <w:lastRenderedPageBreak/>
        <w:t>F</w:t>
      </w:r>
      <w:r w:rsidR="00967039">
        <w:rPr>
          <w:rFonts w:cs="Arial"/>
          <w:b/>
          <w:bCs/>
          <w:color w:val="000000"/>
          <w:sz w:val="24"/>
        </w:rPr>
        <w:t>igura 11</w:t>
      </w:r>
      <w:r w:rsidR="0025380D" w:rsidRPr="00B95410">
        <w:rPr>
          <w:rFonts w:cs="Arial"/>
          <w:bCs/>
          <w:color w:val="000000"/>
          <w:sz w:val="24"/>
        </w:rPr>
        <w:t>. Consumo de energía eléctrica</w:t>
      </w:r>
      <w:r w:rsidR="007E12BD">
        <w:rPr>
          <w:rFonts w:cs="Arial"/>
          <w:bCs/>
          <w:color w:val="000000"/>
          <w:sz w:val="24"/>
        </w:rPr>
        <w:t xml:space="preserve"> y </w:t>
      </w:r>
      <w:r w:rsidR="0025380D" w:rsidRPr="00B95410">
        <w:rPr>
          <w:rFonts w:cs="Arial"/>
          <w:bCs/>
          <w:color w:val="000000"/>
          <w:sz w:val="24"/>
        </w:rPr>
        <w:t>utilizada</w:t>
      </w:r>
      <w:r w:rsidR="0025380D">
        <w:rPr>
          <w:rFonts w:cs="Arial"/>
          <w:bCs/>
          <w:color w:val="000000"/>
          <w:sz w:val="24"/>
        </w:rPr>
        <w:t xml:space="preserve"> por las empresas en la</w:t>
      </w:r>
      <w:r w:rsidR="007E12BD">
        <w:rPr>
          <w:rFonts w:cs="Arial"/>
          <w:bCs/>
          <w:color w:val="000000"/>
          <w:sz w:val="24"/>
        </w:rPr>
        <w:t xml:space="preserve"> elaboración por tonelada de producto final.</w:t>
      </w:r>
    </w:p>
    <w:p w14:paraId="7A78EDD7" w14:textId="77777777" w:rsidR="00E379B6" w:rsidRDefault="00E379B6" w:rsidP="00CE62F9">
      <w:pPr>
        <w:pStyle w:val="Encabezado"/>
        <w:spacing w:before="240"/>
        <w:jc w:val="both"/>
        <w:rPr>
          <w:rFonts w:cs="Arial"/>
          <w:bCs/>
          <w:color w:val="000000"/>
          <w:sz w:val="24"/>
        </w:rPr>
      </w:pPr>
    </w:p>
    <w:p w14:paraId="25ADED9C" w14:textId="77777777" w:rsidR="00ED26C2" w:rsidRDefault="00ED26C2" w:rsidP="00343562">
      <w:pPr>
        <w:pStyle w:val="Ttulo2"/>
        <w:rPr>
          <w:b w:val="0"/>
          <w:sz w:val="32"/>
          <w:szCs w:val="32"/>
        </w:rPr>
      </w:pPr>
      <w:bookmarkStart w:id="12" w:name="_Toc471999523"/>
    </w:p>
    <w:p w14:paraId="6A8A2B89" w14:textId="77EBE8CA" w:rsidR="00197DDA" w:rsidRPr="00ED26C2" w:rsidRDefault="00197DDA" w:rsidP="00343562">
      <w:pPr>
        <w:pStyle w:val="Ttulo2"/>
        <w:rPr>
          <w:b w:val="0"/>
          <w:sz w:val="32"/>
          <w:szCs w:val="32"/>
        </w:rPr>
      </w:pPr>
      <w:r w:rsidRPr="00ED26C2">
        <w:rPr>
          <w:b w:val="0"/>
          <w:sz w:val="32"/>
          <w:szCs w:val="32"/>
        </w:rPr>
        <w:t>Residuos</w:t>
      </w:r>
      <w:r w:rsidR="00CE7C87" w:rsidRPr="00ED26C2">
        <w:rPr>
          <w:b w:val="0"/>
          <w:sz w:val="32"/>
          <w:szCs w:val="32"/>
        </w:rPr>
        <w:t xml:space="preserve"> generados</w:t>
      </w:r>
      <w:bookmarkEnd w:id="12"/>
    </w:p>
    <w:p w14:paraId="0BD23215" w14:textId="1E4C29A3" w:rsidR="00D56F34" w:rsidRDefault="00AA73AF" w:rsidP="00CE62F9">
      <w:pPr>
        <w:pStyle w:val="Encabezado"/>
        <w:spacing w:before="240" w:line="276" w:lineRule="auto"/>
        <w:jc w:val="both"/>
        <w:rPr>
          <w:rFonts w:cs="Arial"/>
          <w:bCs/>
          <w:color w:val="000000"/>
          <w:sz w:val="24"/>
        </w:rPr>
      </w:pPr>
      <w:r w:rsidRPr="00AA73AF">
        <w:rPr>
          <w:rFonts w:cs="Arial"/>
          <w:bCs/>
          <w:color w:val="000000"/>
          <w:sz w:val="24"/>
        </w:rPr>
        <w:t>S</w:t>
      </w:r>
      <w:r>
        <w:rPr>
          <w:rFonts w:cs="Arial"/>
          <w:bCs/>
          <w:color w:val="000000"/>
          <w:sz w:val="24"/>
        </w:rPr>
        <w:t>egún la Ley 20.920, “Que e</w:t>
      </w:r>
      <w:r w:rsidRPr="00AA73AF">
        <w:rPr>
          <w:rFonts w:cs="Arial"/>
          <w:bCs/>
          <w:color w:val="000000"/>
          <w:sz w:val="24"/>
        </w:rPr>
        <w:t>stablece marco para la gestión de residuos, la responsabilidad extendida del productor y fomento al reciclaje</w:t>
      </w:r>
      <w:r>
        <w:rPr>
          <w:rFonts w:cs="Arial"/>
          <w:bCs/>
          <w:color w:val="000000"/>
          <w:sz w:val="24"/>
        </w:rPr>
        <w:t>”,  define “residuo” como s</w:t>
      </w:r>
      <w:r w:rsidRPr="00AA73AF">
        <w:rPr>
          <w:rFonts w:cs="Arial"/>
          <w:bCs/>
          <w:color w:val="000000"/>
          <w:sz w:val="24"/>
        </w:rPr>
        <w:t>ustancia u objeto que su generador desecha o tiene la intención u obligación de desechar de acuerdo a la normativa vigente.</w:t>
      </w:r>
      <w:r w:rsidR="00B14D03">
        <w:rPr>
          <w:rFonts w:cs="Arial"/>
          <w:bCs/>
          <w:color w:val="000000"/>
          <w:sz w:val="24"/>
        </w:rPr>
        <w:t xml:space="preserve"> </w:t>
      </w:r>
      <w:r w:rsidR="00B14D03" w:rsidRPr="00B14D03">
        <w:rPr>
          <w:rFonts w:cs="Arial"/>
          <w:bCs/>
          <w:color w:val="000000"/>
          <w:sz w:val="24"/>
        </w:rPr>
        <w:t>Los residuos en general se pueden dividir no sólo en residuos sólidos, sino</w:t>
      </w:r>
      <w:r w:rsidR="00B14D03">
        <w:rPr>
          <w:rFonts w:cs="Arial"/>
          <w:bCs/>
          <w:color w:val="000000"/>
          <w:sz w:val="24"/>
        </w:rPr>
        <w:t xml:space="preserve"> también en líquidos o gaseosos y se </w:t>
      </w:r>
      <w:r w:rsidR="00B14D03" w:rsidRPr="00B14D03">
        <w:rPr>
          <w:rFonts w:cs="Arial"/>
          <w:bCs/>
          <w:color w:val="000000"/>
          <w:sz w:val="24"/>
        </w:rPr>
        <w:t>clasifica</w:t>
      </w:r>
      <w:r w:rsidR="00B14D03">
        <w:rPr>
          <w:rFonts w:cs="Arial"/>
          <w:bCs/>
          <w:color w:val="000000"/>
          <w:sz w:val="24"/>
        </w:rPr>
        <w:t xml:space="preserve">n en </w:t>
      </w:r>
      <w:r w:rsidR="00B14D03" w:rsidRPr="00B14D03">
        <w:rPr>
          <w:rFonts w:cs="Arial"/>
          <w:bCs/>
          <w:color w:val="000000"/>
          <w:sz w:val="24"/>
        </w:rPr>
        <w:t>varios tipos: Residuos sólidos biodegradables</w:t>
      </w:r>
      <w:r w:rsidR="004D656A">
        <w:rPr>
          <w:rFonts w:cs="Arial"/>
          <w:bCs/>
          <w:color w:val="000000"/>
          <w:sz w:val="24"/>
        </w:rPr>
        <w:t xml:space="preserve">, </w:t>
      </w:r>
      <w:r w:rsidR="00B14D03" w:rsidRPr="00B14D03">
        <w:rPr>
          <w:rFonts w:cs="Arial"/>
          <w:bCs/>
          <w:color w:val="000000"/>
          <w:sz w:val="24"/>
        </w:rPr>
        <w:t>Residuos sólidos reciclables</w:t>
      </w:r>
      <w:r w:rsidR="004D656A">
        <w:rPr>
          <w:rFonts w:cs="Arial"/>
          <w:bCs/>
          <w:color w:val="000000"/>
          <w:sz w:val="24"/>
        </w:rPr>
        <w:t xml:space="preserve">, </w:t>
      </w:r>
      <w:r w:rsidR="00B14D03" w:rsidRPr="00B14D03">
        <w:rPr>
          <w:rFonts w:cs="Arial"/>
          <w:bCs/>
          <w:color w:val="000000"/>
          <w:sz w:val="24"/>
        </w:rPr>
        <w:t>Residuos sólidos inertes</w:t>
      </w:r>
      <w:r w:rsidR="004D656A">
        <w:rPr>
          <w:rFonts w:cs="Arial"/>
          <w:bCs/>
          <w:color w:val="000000"/>
          <w:sz w:val="24"/>
        </w:rPr>
        <w:t xml:space="preserve">, </w:t>
      </w:r>
      <w:r w:rsidR="00B14D03" w:rsidRPr="00B14D03">
        <w:rPr>
          <w:rFonts w:cs="Arial"/>
          <w:bCs/>
          <w:color w:val="000000"/>
          <w:sz w:val="24"/>
        </w:rPr>
        <w:t>Residuos sólidos comunes</w:t>
      </w:r>
      <w:r w:rsidR="004D656A">
        <w:rPr>
          <w:rFonts w:cs="Arial"/>
          <w:bCs/>
          <w:color w:val="000000"/>
          <w:sz w:val="24"/>
        </w:rPr>
        <w:t>,</w:t>
      </w:r>
      <w:r w:rsidR="007271E8">
        <w:rPr>
          <w:rFonts w:cs="Arial"/>
          <w:bCs/>
          <w:color w:val="000000"/>
          <w:sz w:val="24"/>
        </w:rPr>
        <w:t xml:space="preserve"> </w:t>
      </w:r>
      <w:r w:rsidR="00B14D03" w:rsidRPr="00B14D03">
        <w:rPr>
          <w:rFonts w:cs="Arial"/>
          <w:bCs/>
          <w:color w:val="000000"/>
          <w:sz w:val="24"/>
        </w:rPr>
        <w:t>Residuos sólidos peligrosos</w:t>
      </w:r>
      <w:r w:rsidR="004D656A">
        <w:rPr>
          <w:rFonts w:cs="Arial"/>
          <w:bCs/>
          <w:color w:val="000000"/>
          <w:sz w:val="24"/>
        </w:rPr>
        <w:t xml:space="preserve">. </w:t>
      </w:r>
    </w:p>
    <w:p w14:paraId="2256AF95" w14:textId="4C58CEB6" w:rsidR="00C47E72" w:rsidRDefault="004D656A" w:rsidP="00CE62F9">
      <w:pPr>
        <w:pStyle w:val="Encabezado"/>
        <w:spacing w:before="240" w:line="276" w:lineRule="auto"/>
        <w:jc w:val="both"/>
        <w:rPr>
          <w:rFonts w:cs="Arial"/>
          <w:bCs/>
          <w:color w:val="000000"/>
          <w:sz w:val="24"/>
        </w:rPr>
      </w:pPr>
      <w:r>
        <w:rPr>
          <w:rFonts w:cs="Arial"/>
          <w:bCs/>
          <w:color w:val="000000"/>
          <w:sz w:val="24"/>
        </w:rPr>
        <w:t>En este informa se utilizará la descripción utilizada según estado de los resi</w:t>
      </w:r>
      <w:r w:rsidR="00D56F34">
        <w:rPr>
          <w:rFonts w:cs="Arial"/>
          <w:bCs/>
          <w:color w:val="000000"/>
          <w:sz w:val="24"/>
        </w:rPr>
        <w:t>duos, só</w:t>
      </w:r>
      <w:r w:rsidR="00536236">
        <w:rPr>
          <w:rFonts w:cs="Arial"/>
          <w:bCs/>
          <w:color w:val="000000"/>
          <w:sz w:val="24"/>
        </w:rPr>
        <w:t>lido, l</w:t>
      </w:r>
      <w:r w:rsidR="00D56F34">
        <w:rPr>
          <w:rFonts w:cs="Arial"/>
          <w:bCs/>
          <w:color w:val="000000"/>
          <w:sz w:val="24"/>
        </w:rPr>
        <w:t>í</w:t>
      </w:r>
      <w:r>
        <w:rPr>
          <w:rFonts w:cs="Arial"/>
          <w:bCs/>
          <w:color w:val="000000"/>
          <w:sz w:val="24"/>
        </w:rPr>
        <w:t>quido, emisiones atmosféricas</w:t>
      </w:r>
      <w:r w:rsidR="00D56F34">
        <w:rPr>
          <w:rFonts w:cs="Arial"/>
          <w:bCs/>
          <w:color w:val="000000"/>
          <w:sz w:val="24"/>
        </w:rPr>
        <w:t xml:space="preserve"> y residuos peligrosos.</w:t>
      </w:r>
    </w:p>
    <w:p w14:paraId="52B5FEB2" w14:textId="1EF56349" w:rsidR="00700330" w:rsidRDefault="00B14D03" w:rsidP="00CE62F9">
      <w:pPr>
        <w:pStyle w:val="Encabezado"/>
        <w:spacing w:before="240" w:line="276" w:lineRule="auto"/>
        <w:jc w:val="both"/>
        <w:rPr>
          <w:rFonts w:cs="Arial"/>
          <w:bCs/>
          <w:color w:val="000000"/>
          <w:sz w:val="24"/>
        </w:rPr>
      </w:pPr>
      <w:r>
        <w:rPr>
          <w:rFonts w:cs="Arial"/>
          <w:bCs/>
          <w:color w:val="000000"/>
          <w:sz w:val="24"/>
        </w:rPr>
        <w:t>El análisis de los resultados respecto de l</w:t>
      </w:r>
      <w:r w:rsidR="00F65C58">
        <w:rPr>
          <w:rFonts w:cs="Arial"/>
          <w:bCs/>
          <w:color w:val="000000"/>
          <w:sz w:val="24"/>
        </w:rPr>
        <w:t>os residuos generados por las plantas</w:t>
      </w:r>
      <w:r w:rsidR="004D656A">
        <w:rPr>
          <w:rFonts w:cs="Arial"/>
          <w:bCs/>
          <w:color w:val="000000"/>
          <w:sz w:val="24"/>
        </w:rPr>
        <w:t xml:space="preserve"> de proceso</w:t>
      </w:r>
      <w:r w:rsidR="00F65C58">
        <w:rPr>
          <w:rFonts w:cs="Arial"/>
          <w:bCs/>
          <w:color w:val="000000"/>
          <w:sz w:val="24"/>
        </w:rPr>
        <w:t xml:space="preserve">, </w:t>
      </w:r>
      <w:r>
        <w:rPr>
          <w:rFonts w:cs="Arial"/>
          <w:bCs/>
          <w:color w:val="000000"/>
          <w:sz w:val="24"/>
        </w:rPr>
        <w:t>e</w:t>
      </w:r>
      <w:r w:rsidR="00E70D3C">
        <w:rPr>
          <w:rFonts w:cs="Arial"/>
          <w:bCs/>
          <w:color w:val="000000"/>
          <w:sz w:val="24"/>
        </w:rPr>
        <w:t>videncia</w:t>
      </w:r>
      <w:r w:rsidR="00F65C58">
        <w:rPr>
          <w:rFonts w:cs="Arial"/>
          <w:bCs/>
          <w:color w:val="000000"/>
          <w:sz w:val="24"/>
        </w:rPr>
        <w:t xml:space="preserve"> que </w:t>
      </w:r>
      <w:r w:rsidR="00145D55">
        <w:rPr>
          <w:rFonts w:cs="Arial"/>
          <w:bCs/>
          <w:color w:val="000000"/>
          <w:sz w:val="24"/>
        </w:rPr>
        <w:t xml:space="preserve">el </w:t>
      </w:r>
      <w:r w:rsidR="00F65C58">
        <w:rPr>
          <w:rFonts w:cs="Arial"/>
          <w:bCs/>
          <w:color w:val="000000"/>
          <w:sz w:val="24"/>
        </w:rPr>
        <w:t>mayor volumen</w:t>
      </w:r>
      <w:r w:rsidR="009F5FEE">
        <w:rPr>
          <w:rFonts w:cs="Arial"/>
          <w:bCs/>
          <w:color w:val="000000"/>
          <w:sz w:val="24"/>
        </w:rPr>
        <w:t xml:space="preserve"> de residuos</w:t>
      </w:r>
      <w:r w:rsidR="00F65C58">
        <w:rPr>
          <w:rFonts w:cs="Arial"/>
          <w:bCs/>
          <w:color w:val="000000"/>
          <w:sz w:val="24"/>
        </w:rPr>
        <w:t xml:space="preserve"> </w:t>
      </w:r>
      <w:r w:rsidR="00145D55">
        <w:rPr>
          <w:rFonts w:cs="Arial"/>
          <w:bCs/>
          <w:color w:val="000000"/>
          <w:sz w:val="24"/>
        </w:rPr>
        <w:t>al término</w:t>
      </w:r>
      <w:r w:rsidR="007732E0">
        <w:rPr>
          <w:rFonts w:cs="Arial"/>
          <w:bCs/>
          <w:color w:val="000000"/>
          <w:sz w:val="24"/>
        </w:rPr>
        <w:t xml:space="preserve"> del proceso son </w:t>
      </w:r>
      <w:r w:rsidR="009F5FEE">
        <w:rPr>
          <w:rFonts w:cs="Arial"/>
          <w:bCs/>
          <w:color w:val="000000"/>
          <w:sz w:val="24"/>
        </w:rPr>
        <w:t xml:space="preserve">los residuos </w:t>
      </w:r>
      <w:r w:rsidR="007E12BD">
        <w:rPr>
          <w:rFonts w:cs="Arial"/>
          <w:bCs/>
          <w:color w:val="000000"/>
          <w:sz w:val="24"/>
        </w:rPr>
        <w:t xml:space="preserve">industriales </w:t>
      </w:r>
      <w:r w:rsidR="00C47E72">
        <w:rPr>
          <w:rFonts w:cs="Arial"/>
          <w:bCs/>
          <w:color w:val="000000"/>
          <w:sz w:val="24"/>
        </w:rPr>
        <w:t>líquidos</w:t>
      </w:r>
      <w:r w:rsidR="009F5FEE">
        <w:rPr>
          <w:rFonts w:cs="Arial"/>
          <w:bCs/>
          <w:color w:val="000000"/>
          <w:sz w:val="24"/>
        </w:rPr>
        <w:t xml:space="preserve"> (</w:t>
      </w:r>
      <w:r w:rsidR="00F31A5B">
        <w:rPr>
          <w:rFonts w:cs="Arial"/>
          <w:bCs/>
          <w:color w:val="000000"/>
          <w:sz w:val="24"/>
        </w:rPr>
        <w:t>Riles</w:t>
      </w:r>
      <w:r w:rsidR="009F5FEE">
        <w:rPr>
          <w:rFonts w:cs="Arial"/>
          <w:bCs/>
          <w:color w:val="000000"/>
          <w:sz w:val="24"/>
        </w:rPr>
        <w:t>)</w:t>
      </w:r>
      <w:r w:rsidR="007732E0">
        <w:rPr>
          <w:rFonts w:cs="Arial"/>
          <w:bCs/>
          <w:color w:val="000000"/>
          <w:sz w:val="24"/>
        </w:rPr>
        <w:t xml:space="preserve">, seguido </w:t>
      </w:r>
      <w:r w:rsidR="009F5FEE">
        <w:rPr>
          <w:rFonts w:cs="Arial"/>
          <w:bCs/>
          <w:color w:val="000000"/>
          <w:sz w:val="24"/>
        </w:rPr>
        <w:t xml:space="preserve">en segundo lugar </w:t>
      </w:r>
      <w:r w:rsidR="00D56F34">
        <w:rPr>
          <w:rFonts w:cs="Arial"/>
          <w:bCs/>
          <w:color w:val="000000"/>
          <w:sz w:val="24"/>
        </w:rPr>
        <w:t xml:space="preserve">los residuos </w:t>
      </w:r>
      <w:r w:rsidR="00536236">
        <w:rPr>
          <w:rFonts w:cs="Arial"/>
          <w:bCs/>
          <w:color w:val="000000"/>
          <w:sz w:val="24"/>
        </w:rPr>
        <w:t>sólidos</w:t>
      </w:r>
      <w:r w:rsidR="00D56F34">
        <w:rPr>
          <w:rFonts w:cs="Arial"/>
          <w:bCs/>
          <w:color w:val="000000"/>
          <w:sz w:val="24"/>
        </w:rPr>
        <w:t>, donde se destaca la generación de conchillas</w:t>
      </w:r>
      <w:r w:rsidR="009F5FEE">
        <w:rPr>
          <w:rFonts w:cs="Arial"/>
          <w:bCs/>
          <w:color w:val="000000"/>
          <w:sz w:val="24"/>
        </w:rPr>
        <w:t xml:space="preserve"> </w:t>
      </w:r>
      <w:r w:rsidR="00D56F34">
        <w:rPr>
          <w:rFonts w:cs="Arial"/>
          <w:bCs/>
          <w:color w:val="000000"/>
          <w:sz w:val="24"/>
        </w:rPr>
        <w:t xml:space="preserve">junto a otros residuos generados en menor volumen como son: </w:t>
      </w:r>
      <w:r>
        <w:rPr>
          <w:rFonts w:cs="Arial"/>
          <w:bCs/>
          <w:color w:val="000000"/>
          <w:sz w:val="24"/>
        </w:rPr>
        <w:t>cartones, plásticos</w:t>
      </w:r>
      <w:r w:rsidR="00145D55">
        <w:rPr>
          <w:rFonts w:cs="Arial"/>
          <w:bCs/>
          <w:color w:val="000000"/>
          <w:sz w:val="24"/>
        </w:rPr>
        <w:t xml:space="preserve"> y</w:t>
      </w:r>
      <w:r>
        <w:rPr>
          <w:rFonts w:cs="Arial"/>
          <w:bCs/>
          <w:color w:val="000000"/>
          <w:sz w:val="24"/>
        </w:rPr>
        <w:t xml:space="preserve"> basura domiciliaria</w:t>
      </w:r>
      <w:r w:rsidR="00AD5C99">
        <w:rPr>
          <w:rFonts w:cs="Arial"/>
          <w:bCs/>
          <w:color w:val="000000"/>
          <w:sz w:val="24"/>
        </w:rPr>
        <w:t>,</w:t>
      </w:r>
      <w:r w:rsidR="007732E0">
        <w:rPr>
          <w:rFonts w:cs="Arial"/>
          <w:bCs/>
          <w:color w:val="000000"/>
          <w:sz w:val="24"/>
        </w:rPr>
        <w:t xml:space="preserve"> </w:t>
      </w:r>
      <w:r w:rsidR="007732E0" w:rsidRPr="00412391">
        <w:rPr>
          <w:rFonts w:cs="Arial"/>
          <w:bCs/>
          <w:color w:val="000000"/>
          <w:sz w:val="24"/>
        </w:rPr>
        <w:t>y e</w:t>
      </w:r>
      <w:r w:rsidRPr="00412391">
        <w:rPr>
          <w:rFonts w:cs="Arial"/>
          <w:bCs/>
          <w:color w:val="000000"/>
          <w:sz w:val="24"/>
        </w:rPr>
        <w:t>n</w:t>
      </w:r>
      <w:r w:rsidR="003E636E" w:rsidRPr="00412391">
        <w:rPr>
          <w:rFonts w:cs="Arial"/>
          <w:bCs/>
          <w:color w:val="000000"/>
          <w:sz w:val="24"/>
        </w:rPr>
        <w:t xml:space="preserve"> cuarto lugar </w:t>
      </w:r>
      <w:r w:rsidR="00D56F34">
        <w:rPr>
          <w:rFonts w:cs="Arial"/>
          <w:bCs/>
          <w:color w:val="000000"/>
          <w:sz w:val="24"/>
        </w:rPr>
        <w:t>se encuentra</w:t>
      </w:r>
      <w:r w:rsidRPr="00412391">
        <w:rPr>
          <w:rFonts w:cs="Arial"/>
          <w:bCs/>
          <w:color w:val="000000"/>
          <w:sz w:val="24"/>
        </w:rPr>
        <w:t xml:space="preserve"> </w:t>
      </w:r>
      <w:r w:rsidR="00031DDB" w:rsidRPr="00412391">
        <w:rPr>
          <w:rFonts w:cs="Arial"/>
          <w:bCs/>
          <w:color w:val="000000"/>
          <w:sz w:val="24"/>
        </w:rPr>
        <w:t>l</w:t>
      </w:r>
      <w:r w:rsidR="00700330" w:rsidRPr="00412391">
        <w:rPr>
          <w:rFonts w:cs="Arial"/>
          <w:bCs/>
          <w:color w:val="000000"/>
          <w:sz w:val="24"/>
        </w:rPr>
        <w:t>os</w:t>
      </w:r>
      <w:r w:rsidRPr="00412391">
        <w:rPr>
          <w:rFonts w:cs="Arial"/>
          <w:bCs/>
          <w:color w:val="000000"/>
          <w:sz w:val="24"/>
        </w:rPr>
        <w:t xml:space="preserve"> residuos peligrosos</w:t>
      </w:r>
      <w:r w:rsidR="00AD5C99" w:rsidRPr="00412391">
        <w:rPr>
          <w:rFonts w:cs="Arial"/>
          <w:bCs/>
          <w:color w:val="000000"/>
          <w:sz w:val="24"/>
        </w:rPr>
        <w:t xml:space="preserve"> (</w:t>
      </w:r>
      <w:r w:rsidR="00883F0A" w:rsidRPr="00412391">
        <w:rPr>
          <w:rFonts w:cs="Arial"/>
          <w:bCs/>
          <w:color w:val="000000"/>
          <w:sz w:val="24"/>
        </w:rPr>
        <w:t>Tabla 3).</w:t>
      </w:r>
    </w:p>
    <w:p w14:paraId="2AF8C16A" w14:textId="31A22081" w:rsidR="00700330" w:rsidRDefault="004E6775" w:rsidP="00CE62F9">
      <w:pPr>
        <w:pStyle w:val="Encabezado"/>
        <w:spacing w:before="240" w:line="276" w:lineRule="auto"/>
        <w:jc w:val="both"/>
        <w:rPr>
          <w:rFonts w:cs="Arial"/>
          <w:bCs/>
          <w:color w:val="000000"/>
          <w:sz w:val="24"/>
        </w:rPr>
      </w:pPr>
      <w:r>
        <w:rPr>
          <w:rFonts w:cs="Arial"/>
          <w:bCs/>
          <w:color w:val="000000"/>
          <w:sz w:val="24"/>
        </w:rPr>
        <w:t xml:space="preserve">Los volúmenes de residuos generados por las plantas de proceso se indican a continuación en la Tabla 3. </w:t>
      </w:r>
    </w:p>
    <w:p w14:paraId="692B1C6A" w14:textId="7C3546C6" w:rsidR="00700330" w:rsidRDefault="00700330" w:rsidP="00CE62F9">
      <w:pPr>
        <w:pStyle w:val="Encabezado"/>
        <w:spacing w:before="240"/>
        <w:jc w:val="both"/>
        <w:rPr>
          <w:rFonts w:asciiTheme="minorHAnsi" w:hAnsiTheme="minorHAnsi"/>
          <w:color w:val="auto"/>
          <w:sz w:val="22"/>
        </w:rPr>
      </w:pPr>
      <w:r>
        <w:rPr>
          <w:rFonts w:cs="Arial"/>
          <w:bCs/>
          <w:color w:val="000000"/>
          <w:sz w:val="24"/>
        </w:rPr>
        <w:fldChar w:fldCharType="begin"/>
      </w:r>
      <w:r>
        <w:rPr>
          <w:rFonts w:cs="Arial"/>
          <w:bCs/>
          <w:color w:val="000000"/>
          <w:sz w:val="24"/>
        </w:rPr>
        <w:instrText xml:space="preserve"> LINK </w:instrText>
      </w:r>
      <w:r w:rsidR="00236046">
        <w:rPr>
          <w:rFonts w:cs="Arial"/>
          <w:bCs/>
          <w:color w:val="000000"/>
          <w:sz w:val="24"/>
        </w:rPr>
        <w:instrText xml:space="preserve">Excel.Sheet.12 "C:\\Users\\Ivonne Cartes\\Desktop\\INFORME_FINAL_APL\\Copia de Tabulacion(5)_V2.xlsx" Residuos!F17C3:F18C6 </w:instrText>
      </w:r>
      <w:r>
        <w:rPr>
          <w:rFonts w:cs="Arial"/>
          <w:bCs/>
          <w:color w:val="000000"/>
          <w:sz w:val="24"/>
        </w:rPr>
        <w:instrText xml:space="preserve">\a \f 5 \h  \* MERGEFORMAT </w:instrText>
      </w:r>
      <w:r>
        <w:rPr>
          <w:rFonts w:cs="Arial"/>
          <w:bCs/>
          <w:color w:val="000000"/>
          <w:sz w:val="24"/>
        </w:rPr>
        <w:fldChar w:fldCharType="separate"/>
      </w:r>
    </w:p>
    <w:tbl>
      <w:tblPr>
        <w:tblStyle w:val="Tablaconcuadrcula"/>
        <w:tblW w:w="8712" w:type="dxa"/>
        <w:tblInd w:w="108" w:type="dxa"/>
        <w:tblBorders>
          <w:top w:val="single" w:sz="18" w:space="0" w:color="FBD4B4" w:themeColor="accent6" w:themeTint="66"/>
          <w:left w:val="single" w:sz="18" w:space="0" w:color="FBD4B4" w:themeColor="accent6" w:themeTint="66"/>
          <w:bottom w:val="single" w:sz="18" w:space="0" w:color="FBD4B4" w:themeColor="accent6" w:themeTint="66"/>
          <w:right w:val="single" w:sz="18" w:space="0" w:color="FBD4B4" w:themeColor="accent6" w:themeTint="66"/>
          <w:insideH w:val="single" w:sz="18" w:space="0" w:color="FBD4B4" w:themeColor="accent6" w:themeTint="66"/>
          <w:insideV w:val="single" w:sz="4" w:space="0" w:color="FBD4B4" w:themeColor="accent6" w:themeTint="66"/>
        </w:tblBorders>
        <w:tblLook w:val="04A0" w:firstRow="1" w:lastRow="0" w:firstColumn="1" w:lastColumn="0" w:noHBand="0" w:noVBand="1"/>
      </w:tblPr>
      <w:tblGrid>
        <w:gridCol w:w="1852"/>
        <w:gridCol w:w="1980"/>
        <w:gridCol w:w="2500"/>
        <w:gridCol w:w="2380"/>
      </w:tblGrid>
      <w:tr w:rsidR="000573CD" w:rsidRPr="00700330" w14:paraId="6FAD3A9F" w14:textId="77777777" w:rsidTr="00492C3A">
        <w:trPr>
          <w:trHeight w:val="283"/>
        </w:trPr>
        <w:tc>
          <w:tcPr>
            <w:tcW w:w="1852" w:type="dxa"/>
            <w:vMerge w:val="restart"/>
          </w:tcPr>
          <w:p w14:paraId="67A9B82F" w14:textId="7E719AE2" w:rsidR="000573CD" w:rsidRPr="000E39EF" w:rsidRDefault="000573CD" w:rsidP="00536236">
            <w:pPr>
              <w:pStyle w:val="Encabezado"/>
              <w:jc w:val="center"/>
              <w:rPr>
                <w:b/>
                <w:bCs/>
                <w:color w:val="000000"/>
                <w:sz w:val="20"/>
                <w:szCs w:val="20"/>
              </w:rPr>
            </w:pPr>
            <w:r w:rsidRPr="000E39EF">
              <w:rPr>
                <w:b/>
                <w:bCs/>
                <w:color w:val="000000"/>
                <w:sz w:val="20"/>
                <w:szCs w:val="20"/>
              </w:rPr>
              <w:t>Riles (M</w:t>
            </w:r>
            <w:r w:rsidRPr="00D1028E">
              <w:rPr>
                <w:b/>
                <w:bCs/>
                <w:color w:val="000000"/>
                <w:sz w:val="20"/>
                <w:szCs w:val="20"/>
                <w:vertAlign w:val="superscript"/>
              </w:rPr>
              <w:t>3</w:t>
            </w:r>
            <w:r w:rsidRPr="000E39EF">
              <w:rPr>
                <w:b/>
                <w:bCs/>
                <w:color w:val="000000"/>
                <w:sz w:val="20"/>
                <w:szCs w:val="20"/>
              </w:rPr>
              <w:t>)</w:t>
            </w:r>
          </w:p>
        </w:tc>
        <w:tc>
          <w:tcPr>
            <w:tcW w:w="4480" w:type="dxa"/>
            <w:gridSpan w:val="2"/>
          </w:tcPr>
          <w:p w14:paraId="61D086D8" w14:textId="5602AA8A" w:rsidR="000573CD" w:rsidRPr="000E39EF" w:rsidRDefault="000573CD" w:rsidP="00536236">
            <w:pPr>
              <w:pStyle w:val="Encabezado"/>
              <w:jc w:val="center"/>
              <w:rPr>
                <w:b/>
                <w:bCs/>
                <w:color w:val="000000"/>
                <w:sz w:val="20"/>
                <w:szCs w:val="20"/>
              </w:rPr>
            </w:pPr>
            <w:r w:rsidRPr="000E39EF">
              <w:rPr>
                <w:b/>
                <w:bCs/>
                <w:color w:val="000000"/>
                <w:sz w:val="20"/>
                <w:szCs w:val="20"/>
              </w:rPr>
              <w:t>Residuos sólidos</w:t>
            </w:r>
          </w:p>
        </w:tc>
        <w:tc>
          <w:tcPr>
            <w:tcW w:w="2380" w:type="dxa"/>
            <w:vMerge w:val="restart"/>
          </w:tcPr>
          <w:p w14:paraId="17D208ED" w14:textId="689D4223" w:rsidR="000573CD" w:rsidRPr="000E39EF" w:rsidRDefault="000573CD" w:rsidP="00536236">
            <w:pPr>
              <w:pStyle w:val="Encabezado"/>
              <w:jc w:val="center"/>
              <w:rPr>
                <w:b/>
                <w:bCs/>
                <w:color w:val="000000"/>
                <w:sz w:val="20"/>
                <w:szCs w:val="20"/>
              </w:rPr>
            </w:pPr>
            <w:r w:rsidRPr="000E39EF">
              <w:rPr>
                <w:b/>
                <w:bCs/>
                <w:color w:val="000000"/>
                <w:sz w:val="20"/>
                <w:szCs w:val="20"/>
              </w:rPr>
              <w:t>Residuos Peligrosos (Kg)</w:t>
            </w:r>
          </w:p>
        </w:tc>
      </w:tr>
      <w:tr w:rsidR="000573CD" w:rsidRPr="00700330" w14:paraId="08EDADFB" w14:textId="77777777" w:rsidTr="00536236">
        <w:trPr>
          <w:trHeight w:val="339"/>
        </w:trPr>
        <w:tc>
          <w:tcPr>
            <w:tcW w:w="1852" w:type="dxa"/>
            <w:vMerge/>
            <w:hideMark/>
          </w:tcPr>
          <w:p w14:paraId="4D5EF510" w14:textId="15D3EE81" w:rsidR="000573CD" w:rsidRPr="000E39EF" w:rsidRDefault="000573CD" w:rsidP="00536236">
            <w:pPr>
              <w:pStyle w:val="Encabezado"/>
              <w:jc w:val="center"/>
              <w:rPr>
                <w:b/>
                <w:bCs/>
                <w:color w:val="000000"/>
                <w:sz w:val="20"/>
                <w:szCs w:val="20"/>
              </w:rPr>
            </w:pPr>
          </w:p>
        </w:tc>
        <w:tc>
          <w:tcPr>
            <w:tcW w:w="1980" w:type="dxa"/>
            <w:hideMark/>
          </w:tcPr>
          <w:p w14:paraId="4EEC4931" w14:textId="77777777" w:rsidR="000573CD" w:rsidRPr="000E39EF" w:rsidRDefault="000573CD" w:rsidP="00536236">
            <w:pPr>
              <w:pStyle w:val="Encabezado"/>
              <w:jc w:val="center"/>
              <w:rPr>
                <w:b/>
                <w:bCs/>
                <w:color w:val="000000"/>
                <w:sz w:val="20"/>
                <w:szCs w:val="20"/>
              </w:rPr>
            </w:pPr>
            <w:r w:rsidRPr="000E39EF">
              <w:rPr>
                <w:b/>
                <w:bCs/>
                <w:color w:val="000000"/>
                <w:sz w:val="20"/>
                <w:szCs w:val="20"/>
              </w:rPr>
              <w:t>Conchillas (M</w:t>
            </w:r>
            <w:r w:rsidRPr="00D1028E">
              <w:rPr>
                <w:b/>
                <w:bCs/>
                <w:color w:val="000000"/>
                <w:sz w:val="20"/>
                <w:szCs w:val="20"/>
                <w:vertAlign w:val="superscript"/>
              </w:rPr>
              <w:t>3</w:t>
            </w:r>
            <w:r w:rsidRPr="000E39EF">
              <w:rPr>
                <w:b/>
                <w:bCs/>
                <w:color w:val="000000"/>
                <w:sz w:val="20"/>
                <w:szCs w:val="20"/>
              </w:rPr>
              <w:t>)</w:t>
            </w:r>
          </w:p>
        </w:tc>
        <w:tc>
          <w:tcPr>
            <w:tcW w:w="2500" w:type="dxa"/>
            <w:hideMark/>
          </w:tcPr>
          <w:p w14:paraId="59C0C998" w14:textId="740D1564" w:rsidR="000573CD" w:rsidRPr="000E39EF" w:rsidRDefault="000573CD" w:rsidP="00536236">
            <w:pPr>
              <w:pStyle w:val="Encabezado"/>
              <w:jc w:val="center"/>
              <w:rPr>
                <w:b/>
                <w:bCs/>
                <w:color w:val="000000"/>
                <w:sz w:val="20"/>
                <w:szCs w:val="20"/>
              </w:rPr>
            </w:pPr>
            <w:r>
              <w:rPr>
                <w:b/>
                <w:bCs/>
                <w:color w:val="000000"/>
                <w:sz w:val="20"/>
                <w:szCs w:val="20"/>
              </w:rPr>
              <w:t xml:space="preserve">Otros </w:t>
            </w:r>
            <w:r w:rsidRPr="000E39EF">
              <w:rPr>
                <w:b/>
                <w:bCs/>
                <w:color w:val="000000"/>
                <w:sz w:val="20"/>
                <w:szCs w:val="20"/>
              </w:rPr>
              <w:t>(M</w:t>
            </w:r>
            <w:r w:rsidRPr="00D1028E">
              <w:rPr>
                <w:b/>
                <w:bCs/>
                <w:color w:val="000000"/>
                <w:sz w:val="20"/>
                <w:szCs w:val="20"/>
                <w:vertAlign w:val="superscript"/>
              </w:rPr>
              <w:t>3</w:t>
            </w:r>
            <w:r w:rsidRPr="000E39EF">
              <w:rPr>
                <w:b/>
                <w:bCs/>
                <w:color w:val="000000"/>
                <w:sz w:val="20"/>
                <w:szCs w:val="20"/>
              </w:rPr>
              <w:t>)</w:t>
            </w:r>
          </w:p>
        </w:tc>
        <w:tc>
          <w:tcPr>
            <w:tcW w:w="2380" w:type="dxa"/>
            <w:vMerge/>
            <w:hideMark/>
          </w:tcPr>
          <w:p w14:paraId="5402C288" w14:textId="5877023A" w:rsidR="000573CD" w:rsidRPr="000E39EF" w:rsidRDefault="000573CD" w:rsidP="00536236">
            <w:pPr>
              <w:pStyle w:val="Encabezado"/>
              <w:jc w:val="center"/>
              <w:rPr>
                <w:b/>
                <w:bCs/>
                <w:color w:val="000000"/>
                <w:sz w:val="20"/>
                <w:szCs w:val="20"/>
              </w:rPr>
            </w:pPr>
          </w:p>
        </w:tc>
      </w:tr>
      <w:tr w:rsidR="00033C1E" w:rsidRPr="00700330" w14:paraId="7399AA67" w14:textId="77777777" w:rsidTr="00C92456">
        <w:trPr>
          <w:trHeight w:val="425"/>
        </w:trPr>
        <w:tc>
          <w:tcPr>
            <w:tcW w:w="1852" w:type="dxa"/>
            <w:vAlign w:val="center"/>
            <w:hideMark/>
          </w:tcPr>
          <w:p w14:paraId="2138301B" w14:textId="50C62C7B" w:rsidR="00033C1E" w:rsidRPr="00033C1E" w:rsidRDefault="00033C1E" w:rsidP="00536236">
            <w:pPr>
              <w:pStyle w:val="Encabezado"/>
              <w:jc w:val="center"/>
              <w:rPr>
                <w:color w:val="000000"/>
                <w:sz w:val="20"/>
                <w:szCs w:val="20"/>
              </w:rPr>
            </w:pPr>
            <w:r w:rsidRPr="00033C1E">
              <w:rPr>
                <w:color w:val="000000"/>
                <w:sz w:val="20"/>
                <w:szCs w:val="20"/>
              </w:rPr>
              <w:t>3.840.249</w:t>
            </w:r>
          </w:p>
        </w:tc>
        <w:tc>
          <w:tcPr>
            <w:tcW w:w="1980" w:type="dxa"/>
            <w:vAlign w:val="center"/>
            <w:hideMark/>
          </w:tcPr>
          <w:p w14:paraId="039A3EF3" w14:textId="3455BDA8" w:rsidR="00033C1E" w:rsidRPr="00033C1E" w:rsidRDefault="00033C1E" w:rsidP="00536236">
            <w:pPr>
              <w:pStyle w:val="Encabezado"/>
              <w:jc w:val="center"/>
              <w:rPr>
                <w:color w:val="000000"/>
                <w:sz w:val="20"/>
                <w:szCs w:val="20"/>
              </w:rPr>
            </w:pPr>
            <w:r w:rsidRPr="00033C1E">
              <w:rPr>
                <w:color w:val="000000"/>
                <w:sz w:val="20"/>
                <w:szCs w:val="20"/>
              </w:rPr>
              <w:t>92.509</w:t>
            </w:r>
          </w:p>
        </w:tc>
        <w:tc>
          <w:tcPr>
            <w:tcW w:w="2500" w:type="dxa"/>
            <w:vAlign w:val="center"/>
            <w:hideMark/>
          </w:tcPr>
          <w:p w14:paraId="4F6D9A29" w14:textId="0B777960" w:rsidR="00033C1E" w:rsidRPr="00033C1E" w:rsidRDefault="00033C1E" w:rsidP="00536236">
            <w:pPr>
              <w:pStyle w:val="Encabezado"/>
              <w:jc w:val="center"/>
              <w:rPr>
                <w:color w:val="000000"/>
                <w:sz w:val="20"/>
                <w:szCs w:val="20"/>
              </w:rPr>
            </w:pPr>
            <w:r w:rsidRPr="00033C1E">
              <w:rPr>
                <w:color w:val="000000"/>
                <w:sz w:val="20"/>
                <w:szCs w:val="20"/>
              </w:rPr>
              <w:t>84.811</w:t>
            </w:r>
          </w:p>
        </w:tc>
        <w:tc>
          <w:tcPr>
            <w:tcW w:w="2380" w:type="dxa"/>
            <w:vAlign w:val="center"/>
            <w:hideMark/>
          </w:tcPr>
          <w:p w14:paraId="3AC00557" w14:textId="008C746B" w:rsidR="00033C1E" w:rsidRPr="00033C1E" w:rsidRDefault="00033C1E" w:rsidP="00536236">
            <w:pPr>
              <w:pStyle w:val="Encabezado"/>
              <w:jc w:val="center"/>
              <w:rPr>
                <w:color w:val="000000"/>
                <w:sz w:val="20"/>
                <w:szCs w:val="20"/>
              </w:rPr>
            </w:pPr>
            <w:r w:rsidRPr="00033C1E">
              <w:rPr>
                <w:color w:val="000000"/>
                <w:sz w:val="20"/>
                <w:szCs w:val="20"/>
              </w:rPr>
              <w:t>30.698</w:t>
            </w:r>
          </w:p>
        </w:tc>
      </w:tr>
    </w:tbl>
    <w:p w14:paraId="2ADC6C07" w14:textId="280E1C0A" w:rsidR="00BC47E6" w:rsidRDefault="00700330" w:rsidP="009D6C1D">
      <w:pPr>
        <w:pStyle w:val="Encabezado"/>
        <w:jc w:val="both"/>
        <w:rPr>
          <w:rFonts w:cs="Arial"/>
          <w:bCs/>
          <w:color w:val="000000"/>
          <w:sz w:val="24"/>
        </w:rPr>
      </w:pPr>
      <w:r>
        <w:rPr>
          <w:rFonts w:cs="Arial"/>
          <w:bCs/>
          <w:color w:val="000000"/>
          <w:sz w:val="24"/>
        </w:rPr>
        <w:fldChar w:fldCharType="end"/>
      </w:r>
      <w:r w:rsidR="00EB5525">
        <w:rPr>
          <w:rFonts w:cs="Arial"/>
          <w:b/>
          <w:bCs/>
          <w:color w:val="000000"/>
          <w:sz w:val="24"/>
        </w:rPr>
        <w:t>Tabla 3</w:t>
      </w:r>
      <w:r w:rsidR="00EB5525">
        <w:rPr>
          <w:rFonts w:cs="Arial"/>
          <w:bCs/>
          <w:color w:val="000000"/>
          <w:sz w:val="24"/>
        </w:rPr>
        <w:t xml:space="preserve">. </w:t>
      </w:r>
      <w:r w:rsidR="00D1028E">
        <w:rPr>
          <w:rFonts w:cs="Arial"/>
          <w:bCs/>
          <w:color w:val="000000"/>
          <w:sz w:val="24"/>
        </w:rPr>
        <w:t>Volumen promedio de r</w:t>
      </w:r>
      <w:r w:rsidR="001852D4" w:rsidRPr="001852D4">
        <w:rPr>
          <w:rFonts w:cs="Arial"/>
          <w:bCs/>
          <w:color w:val="000000"/>
          <w:sz w:val="24"/>
        </w:rPr>
        <w:t xml:space="preserve">esiduos generados </w:t>
      </w:r>
      <w:r w:rsidR="00D1028E">
        <w:rPr>
          <w:rFonts w:cs="Arial"/>
          <w:bCs/>
          <w:color w:val="000000"/>
          <w:sz w:val="24"/>
        </w:rPr>
        <w:t xml:space="preserve">en el proceso de producción de </w:t>
      </w:r>
      <w:proofErr w:type="spellStart"/>
      <w:r w:rsidR="00D1028E">
        <w:rPr>
          <w:rFonts w:cs="Arial"/>
          <w:bCs/>
          <w:color w:val="000000"/>
          <w:sz w:val="24"/>
        </w:rPr>
        <w:t>chorito</w:t>
      </w:r>
      <w:proofErr w:type="spellEnd"/>
      <w:r w:rsidR="00D1028E">
        <w:rPr>
          <w:rFonts w:cs="Arial"/>
          <w:bCs/>
          <w:color w:val="000000"/>
          <w:sz w:val="24"/>
        </w:rPr>
        <w:t xml:space="preserve"> cocido congelado</w:t>
      </w:r>
      <w:r w:rsidR="00EB5525">
        <w:rPr>
          <w:rFonts w:cs="Arial"/>
          <w:bCs/>
          <w:color w:val="000000"/>
          <w:sz w:val="24"/>
        </w:rPr>
        <w:t>.</w:t>
      </w:r>
    </w:p>
    <w:p w14:paraId="7B39408C" w14:textId="77777777" w:rsidR="00BE22B0" w:rsidRDefault="00BE22B0" w:rsidP="00CE62F9">
      <w:pPr>
        <w:pStyle w:val="Encabezado"/>
        <w:spacing w:before="240"/>
        <w:jc w:val="both"/>
        <w:rPr>
          <w:rFonts w:cs="Arial"/>
          <w:bCs/>
          <w:color w:val="000000"/>
          <w:sz w:val="24"/>
        </w:rPr>
      </w:pPr>
    </w:p>
    <w:p w14:paraId="4F750A67" w14:textId="76DE7710" w:rsidR="00D1028E" w:rsidRDefault="00C83E2C" w:rsidP="00CE62F9">
      <w:pPr>
        <w:pStyle w:val="Encabezado"/>
        <w:spacing w:before="240" w:line="276" w:lineRule="auto"/>
        <w:jc w:val="both"/>
        <w:rPr>
          <w:rFonts w:cs="Arial"/>
          <w:bCs/>
          <w:color w:val="000000"/>
          <w:sz w:val="24"/>
        </w:rPr>
      </w:pPr>
      <w:r>
        <w:rPr>
          <w:rFonts w:cs="Arial"/>
          <w:bCs/>
          <w:color w:val="000000"/>
          <w:sz w:val="24"/>
        </w:rPr>
        <w:lastRenderedPageBreak/>
        <w:t xml:space="preserve">El análisis </w:t>
      </w:r>
      <w:r w:rsidRPr="00CE7C87">
        <w:rPr>
          <w:rFonts w:cs="Arial"/>
          <w:bCs/>
          <w:color w:val="000000"/>
          <w:sz w:val="24"/>
        </w:rPr>
        <w:t xml:space="preserve">evidencia que </w:t>
      </w:r>
      <w:r w:rsidR="000D1C8F" w:rsidRPr="00CE7C87">
        <w:rPr>
          <w:rFonts w:cs="Arial"/>
          <w:bCs/>
          <w:color w:val="000000"/>
          <w:sz w:val="24"/>
        </w:rPr>
        <w:t>e</w:t>
      </w:r>
      <w:r w:rsidR="00883F0A" w:rsidRPr="00CE7C87">
        <w:rPr>
          <w:rFonts w:cs="Arial"/>
          <w:bCs/>
          <w:color w:val="000000"/>
          <w:sz w:val="24"/>
        </w:rPr>
        <w:t>l mayor</w:t>
      </w:r>
      <w:r w:rsidR="000D1C8F" w:rsidRPr="00CE7C87">
        <w:rPr>
          <w:rFonts w:cs="Arial"/>
          <w:bCs/>
          <w:color w:val="000000"/>
          <w:sz w:val="24"/>
        </w:rPr>
        <w:t xml:space="preserve"> volumen de residuo generado</w:t>
      </w:r>
      <w:r w:rsidR="00883F0A" w:rsidRPr="00CE7C87">
        <w:rPr>
          <w:rFonts w:cs="Arial"/>
          <w:bCs/>
          <w:color w:val="000000"/>
          <w:sz w:val="24"/>
        </w:rPr>
        <w:t xml:space="preserve"> por t</w:t>
      </w:r>
      <w:r w:rsidR="005F6B1C" w:rsidRPr="00CE7C87">
        <w:rPr>
          <w:rFonts w:cs="Arial"/>
          <w:bCs/>
          <w:color w:val="000000"/>
          <w:sz w:val="24"/>
        </w:rPr>
        <w:t>onelada de producto final</w:t>
      </w:r>
      <w:r w:rsidR="00883F0A" w:rsidRPr="00CE7C87">
        <w:rPr>
          <w:rFonts w:cs="Arial"/>
          <w:bCs/>
          <w:color w:val="000000"/>
          <w:sz w:val="24"/>
        </w:rPr>
        <w:t xml:space="preserve"> son los Riles con 97,4</w:t>
      </w:r>
      <w:r w:rsidR="005F6B1C" w:rsidRPr="00CE7C87">
        <w:rPr>
          <w:rFonts w:cs="Arial"/>
          <w:bCs/>
          <w:color w:val="000000"/>
          <w:sz w:val="24"/>
        </w:rPr>
        <w:t xml:space="preserve"> (M</w:t>
      </w:r>
      <w:r w:rsidR="005F6B1C" w:rsidRPr="00CE7C87">
        <w:rPr>
          <w:rFonts w:cs="Arial"/>
          <w:bCs/>
          <w:color w:val="000000"/>
          <w:sz w:val="24"/>
          <w:vertAlign w:val="superscript"/>
        </w:rPr>
        <w:t>3</w:t>
      </w:r>
      <w:r w:rsidR="005F6B1C" w:rsidRPr="00CE7C87">
        <w:rPr>
          <w:rFonts w:cs="Arial"/>
          <w:bCs/>
          <w:color w:val="000000"/>
          <w:sz w:val="24"/>
        </w:rPr>
        <w:t>/Ton), seguido de 2,3 (M</w:t>
      </w:r>
      <w:r w:rsidR="005F6B1C" w:rsidRPr="00CE7C87">
        <w:rPr>
          <w:rFonts w:cs="Arial"/>
          <w:bCs/>
          <w:color w:val="000000"/>
          <w:sz w:val="24"/>
          <w:vertAlign w:val="superscript"/>
        </w:rPr>
        <w:t>3</w:t>
      </w:r>
      <w:r w:rsidR="005F6B1C" w:rsidRPr="00CE7C87">
        <w:rPr>
          <w:rFonts w:cs="Arial"/>
          <w:bCs/>
          <w:color w:val="000000"/>
          <w:sz w:val="24"/>
        </w:rPr>
        <w:t>/Ton) de conchillas, 1,9 (M</w:t>
      </w:r>
      <w:r w:rsidR="005F6B1C" w:rsidRPr="00CE7C87">
        <w:rPr>
          <w:rFonts w:cs="Arial"/>
          <w:bCs/>
          <w:color w:val="000000"/>
          <w:sz w:val="24"/>
          <w:vertAlign w:val="superscript"/>
        </w:rPr>
        <w:t>3</w:t>
      </w:r>
      <w:r w:rsidR="005F6B1C" w:rsidRPr="00CE7C87">
        <w:rPr>
          <w:rFonts w:cs="Arial"/>
          <w:bCs/>
          <w:color w:val="000000"/>
          <w:sz w:val="24"/>
        </w:rPr>
        <w:t xml:space="preserve">/Ton) de </w:t>
      </w:r>
      <w:r w:rsidR="008400F9" w:rsidRPr="00CE7C87">
        <w:rPr>
          <w:rFonts w:cs="Arial"/>
          <w:bCs/>
          <w:color w:val="000000"/>
          <w:sz w:val="24"/>
        </w:rPr>
        <w:t xml:space="preserve">otros </w:t>
      </w:r>
      <w:r w:rsidR="005F6B1C" w:rsidRPr="00CE7C87">
        <w:rPr>
          <w:rFonts w:cs="Arial"/>
          <w:bCs/>
          <w:color w:val="000000"/>
          <w:sz w:val="24"/>
        </w:rPr>
        <w:t>residuos sólidos y 0,6 (Kg/Ton)</w:t>
      </w:r>
      <w:r w:rsidR="00432114" w:rsidRPr="00CE7C87">
        <w:rPr>
          <w:rFonts w:cs="Arial"/>
          <w:bCs/>
          <w:color w:val="000000"/>
          <w:sz w:val="24"/>
        </w:rPr>
        <w:t xml:space="preserve"> de residuos peligrosos</w:t>
      </w:r>
      <w:r w:rsidR="00205F71" w:rsidRPr="00CE7C87">
        <w:rPr>
          <w:rFonts w:cs="Arial"/>
          <w:bCs/>
          <w:color w:val="000000"/>
          <w:sz w:val="24"/>
        </w:rPr>
        <w:t xml:space="preserve"> </w:t>
      </w:r>
      <w:r w:rsidR="00412391" w:rsidRPr="00CE7C87">
        <w:rPr>
          <w:rFonts w:cs="Arial"/>
          <w:bCs/>
          <w:color w:val="000000"/>
          <w:sz w:val="24"/>
        </w:rPr>
        <w:t>(</w:t>
      </w:r>
      <w:r w:rsidR="007C2A2A" w:rsidRPr="00CE7C87">
        <w:rPr>
          <w:rFonts w:cs="Arial"/>
          <w:bCs/>
          <w:color w:val="000000"/>
          <w:sz w:val="24"/>
        </w:rPr>
        <w:t>Figura 1</w:t>
      </w:r>
      <w:r w:rsidR="0092243C" w:rsidRPr="00CE7C87">
        <w:rPr>
          <w:rFonts w:cs="Arial"/>
          <w:bCs/>
          <w:color w:val="000000"/>
          <w:sz w:val="24"/>
        </w:rPr>
        <w:t>3</w:t>
      </w:r>
      <w:r w:rsidR="00883F0A" w:rsidRPr="00CE7C87">
        <w:rPr>
          <w:rFonts w:cs="Arial"/>
          <w:bCs/>
          <w:color w:val="000000"/>
          <w:sz w:val="24"/>
        </w:rPr>
        <w:t>).</w:t>
      </w:r>
      <w:r w:rsidR="00883F0A">
        <w:rPr>
          <w:rFonts w:cs="Arial"/>
          <w:bCs/>
          <w:color w:val="000000"/>
          <w:sz w:val="24"/>
        </w:rPr>
        <w:t xml:space="preserve"> </w:t>
      </w:r>
    </w:p>
    <w:p w14:paraId="7BFA8817" w14:textId="361C4DB9" w:rsidR="007E12BD" w:rsidRDefault="007E12BD" w:rsidP="00CE62F9">
      <w:pPr>
        <w:pStyle w:val="Encabezado"/>
        <w:spacing w:before="240" w:line="276" w:lineRule="auto"/>
        <w:jc w:val="both"/>
        <w:rPr>
          <w:rFonts w:cs="Arial"/>
          <w:bCs/>
          <w:color w:val="000000"/>
          <w:sz w:val="24"/>
        </w:rPr>
      </w:pPr>
    </w:p>
    <w:p w14:paraId="5210F822" w14:textId="08896770" w:rsidR="00145D55" w:rsidRDefault="007E12BD" w:rsidP="00CE62F9">
      <w:pPr>
        <w:pStyle w:val="Encabezado"/>
        <w:spacing w:before="240" w:line="276" w:lineRule="auto"/>
        <w:jc w:val="both"/>
        <w:rPr>
          <w:rFonts w:cs="Arial"/>
          <w:bCs/>
          <w:color w:val="000000"/>
          <w:sz w:val="24"/>
        </w:rPr>
      </w:pPr>
      <w:r w:rsidRPr="007E12BD">
        <w:rPr>
          <w:noProof/>
          <w:sz w:val="24"/>
          <w:szCs w:val="24"/>
          <w:lang w:val="es-CL" w:eastAsia="es-CL"/>
        </w:rPr>
        <w:drawing>
          <wp:inline distT="0" distB="0" distL="0" distR="0" wp14:anchorId="3D39E680" wp14:editId="67122721">
            <wp:extent cx="2619375" cy="2676525"/>
            <wp:effectExtent l="0" t="0" r="9525" b="9525"/>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r>
        <w:rPr>
          <w:noProof/>
          <w:lang w:val="es-CL" w:eastAsia="es-CL"/>
        </w:rPr>
        <w:drawing>
          <wp:inline distT="0" distB="0" distL="0" distR="0" wp14:anchorId="210B2679" wp14:editId="02AB6ADD">
            <wp:extent cx="2619375" cy="2667000"/>
            <wp:effectExtent l="0" t="0" r="9525" b="19050"/>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r w:rsidR="007C2A2A">
        <w:rPr>
          <w:rFonts w:cs="Arial"/>
          <w:b/>
          <w:bCs/>
          <w:color w:val="000000"/>
          <w:sz w:val="24"/>
        </w:rPr>
        <w:t>Figura 1</w:t>
      </w:r>
      <w:r w:rsidR="0092243C">
        <w:rPr>
          <w:rFonts w:cs="Arial"/>
          <w:b/>
          <w:bCs/>
          <w:color w:val="000000"/>
          <w:sz w:val="24"/>
        </w:rPr>
        <w:t>3</w:t>
      </w:r>
      <w:r w:rsidR="007E275F" w:rsidRPr="007E275F">
        <w:rPr>
          <w:rFonts w:cs="Arial"/>
          <w:b/>
          <w:bCs/>
          <w:color w:val="000000"/>
          <w:sz w:val="24"/>
        </w:rPr>
        <w:t>.</w:t>
      </w:r>
      <w:r w:rsidR="007E275F">
        <w:rPr>
          <w:rFonts w:cs="Arial"/>
          <w:bCs/>
          <w:color w:val="000000"/>
          <w:sz w:val="24"/>
        </w:rPr>
        <w:t xml:space="preserve"> </w:t>
      </w:r>
      <w:r w:rsidR="00C47E72">
        <w:rPr>
          <w:rFonts w:cs="Arial"/>
          <w:bCs/>
          <w:color w:val="000000"/>
          <w:sz w:val="24"/>
        </w:rPr>
        <w:t>Volumen de residuos informados por las empresas.</w:t>
      </w:r>
    </w:p>
    <w:p w14:paraId="2693C615" w14:textId="77777777" w:rsidR="00236809" w:rsidRDefault="00236809" w:rsidP="00CE62F9">
      <w:pPr>
        <w:pStyle w:val="Encabezado"/>
        <w:spacing w:before="240"/>
      </w:pPr>
    </w:p>
    <w:p w14:paraId="6C7D5489" w14:textId="102A6D9C" w:rsidR="00A81941" w:rsidRPr="00ED26C2" w:rsidRDefault="00A81941" w:rsidP="00343562">
      <w:pPr>
        <w:pStyle w:val="Ttulo2"/>
        <w:rPr>
          <w:b w:val="0"/>
          <w:sz w:val="32"/>
          <w:szCs w:val="32"/>
        </w:rPr>
      </w:pPr>
      <w:bookmarkStart w:id="13" w:name="_Toc471999524"/>
      <w:r w:rsidRPr="00ED26C2">
        <w:rPr>
          <w:b w:val="0"/>
          <w:sz w:val="32"/>
          <w:szCs w:val="32"/>
        </w:rPr>
        <w:t xml:space="preserve">Residuos </w:t>
      </w:r>
      <w:r w:rsidR="00152EEA" w:rsidRPr="00ED26C2">
        <w:rPr>
          <w:b w:val="0"/>
          <w:sz w:val="32"/>
          <w:szCs w:val="32"/>
        </w:rPr>
        <w:t xml:space="preserve">Industriales </w:t>
      </w:r>
      <w:r w:rsidRPr="00ED26C2">
        <w:rPr>
          <w:b w:val="0"/>
          <w:sz w:val="32"/>
          <w:szCs w:val="32"/>
        </w:rPr>
        <w:t>Líquidos (Riles)</w:t>
      </w:r>
      <w:bookmarkEnd w:id="13"/>
      <w:r w:rsidRPr="00ED26C2">
        <w:rPr>
          <w:b w:val="0"/>
          <w:sz w:val="32"/>
          <w:szCs w:val="32"/>
        </w:rPr>
        <w:t xml:space="preserve"> </w:t>
      </w:r>
    </w:p>
    <w:p w14:paraId="4EF5EDDB" w14:textId="77777777" w:rsidR="002E62C5" w:rsidRDefault="002E62C5" w:rsidP="00CE62F9">
      <w:pPr>
        <w:pStyle w:val="Encabezado"/>
        <w:spacing w:before="240" w:line="276" w:lineRule="auto"/>
        <w:jc w:val="both"/>
        <w:rPr>
          <w:rFonts w:cs="Arial"/>
          <w:bCs/>
          <w:color w:val="000000"/>
          <w:sz w:val="24"/>
        </w:rPr>
      </w:pPr>
      <w:r>
        <w:rPr>
          <w:rFonts w:cs="Arial"/>
          <w:bCs/>
          <w:color w:val="000000"/>
          <w:sz w:val="24"/>
        </w:rPr>
        <w:t>Los r</w:t>
      </w:r>
      <w:r w:rsidRPr="00A81941">
        <w:rPr>
          <w:rFonts w:cs="Arial"/>
          <w:bCs/>
          <w:color w:val="000000"/>
          <w:sz w:val="24"/>
        </w:rPr>
        <w:t>esiduos líquidos</w:t>
      </w:r>
      <w:r>
        <w:rPr>
          <w:rFonts w:cs="Arial"/>
          <w:bCs/>
          <w:color w:val="000000"/>
          <w:sz w:val="24"/>
        </w:rPr>
        <w:t xml:space="preserve"> se definen como</w:t>
      </w:r>
      <w:r w:rsidRPr="00A81941">
        <w:rPr>
          <w:rFonts w:cs="Arial"/>
          <w:bCs/>
          <w:color w:val="000000"/>
          <w:sz w:val="24"/>
        </w:rPr>
        <w:t xml:space="preserve"> aguas residuales o efluentes que se descargan desde una fuente emisora, a un cuerpo receptor</w:t>
      </w:r>
      <w:r>
        <w:rPr>
          <w:rFonts w:cs="Arial"/>
          <w:bCs/>
          <w:color w:val="000000"/>
          <w:sz w:val="24"/>
        </w:rPr>
        <w:t>.</w:t>
      </w:r>
    </w:p>
    <w:p w14:paraId="63648A7F" w14:textId="459011E7" w:rsidR="002E62C5" w:rsidRDefault="002E62C5" w:rsidP="00CE62F9">
      <w:pPr>
        <w:pStyle w:val="Encabezado"/>
        <w:spacing w:before="240" w:line="276" w:lineRule="auto"/>
        <w:jc w:val="both"/>
        <w:rPr>
          <w:rFonts w:cs="Arial"/>
          <w:bCs/>
          <w:color w:val="000000"/>
          <w:sz w:val="24"/>
        </w:rPr>
      </w:pPr>
      <w:r>
        <w:rPr>
          <w:rFonts w:cs="Arial"/>
          <w:bCs/>
          <w:color w:val="000000"/>
          <w:sz w:val="24"/>
        </w:rPr>
        <w:t>El D.S</w:t>
      </w:r>
      <w:r w:rsidRPr="00594B0B">
        <w:rPr>
          <w:rFonts w:cs="Arial"/>
          <w:bCs/>
          <w:color w:val="000000"/>
          <w:sz w:val="24"/>
        </w:rPr>
        <w:t xml:space="preserve"> Nº 90/2000, </w:t>
      </w:r>
      <w:r>
        <w:rPr>
          <w:rFonts w:cs="Arial"/>
          <w:bCs/>
          <w:color w:val="000000"/>
          <w:sz w:val="24"/>
        </w:rPr>
        <w:t>“</w:t>
      </w:r>
      <w:r w:rsidRPr="00594B0B">
        <w:rPr>
          <w:rFonts w:cs="Arial"/>
          <w:bCs/>
          <w:color w:val="000000"/>
          <w:sz w:val="24"/>
        </w:rPr>
        <w:t xml:space="preserve">Norma de Emisión para la Regulación de Contaminantes Asociados a las Descargas de Residuos Líquidos a Aguas Marinas y Continentales Superficiales, del </w:t>
      </w:r>
      <w:r w:rsidRPr="005F6B1C">
        <w:rPr>
          <w:rFonts w:cs="Arial"/>
          <w:bCs/>
          <w:color w:val="000000"/>
          <w:sz w:val="24"/>
        </w:rPr>
        <w:t>Ministerio Secretaría General de la República”, tiene como objetivo la</w:t>
      </w:r>
      <w:r w:rsidRPr="00586B55">
        <w:rPr>
          <w:rFonts w:cs="Arial"/>
          <w:bCs/>
          <w:color w:val="000000"/>
          <w:sz w:val="24"/>
        </w:rPr>
        <w:t xml:space="preserve"> protección ambiental</w:t>
      </w:r>
      <w:r>
        <w:rPr>
          <w:rFonts w:cs="Arial"/>
          <w:bCs/>
          <w:color w:val="000000"/>
          <w:sz w:val="24"/>
        </w:rPr>
        <w:t>,</w:t>
      </w:r>
      <w:r w:rsidRPr="00586B55">
        <w:rPr>
          <w:rFonts w:cs="Arial"/>
          <w:bCs/>
          <w:color w:val="000000"/>
          <w:sz w:val="24"/>
        </w:rPr>
        <w:t xml:space="preserve"> prevenir la contaminación de las aguas marina</w:t>
      </w:r>
      <w:r>
        <w:rPr>
          <w:rFonts w:cs="Arial"/>
          <w:bCs/>
          <w:color w:val="000000"/>
          <w:sz w:val="24"/>
        </w:rPr>
        <w:t>s y continentales superficiales</w:t>
      </w:r>
      <w:r w:rsidRPr="00586B55">
        <w:rPr>
          <w:rFonts w:cs="Arial"/>
          <w:bCs/>
          <w:color w:val="000000"/>
          <w:sz w:val="24"/>
        </w:rPr>
        <w:t xml:space="preserve">, mediante el control de contaminantes asociados a los residuos líquidos que se descargan a </w:t>
      </w:r>
      <w:r>
        <w:rPr>
          <w:rFonts w:cs="Arial"/>
          <w:bCs/>
          <w:color w:val="000000"/>
          <w:sz w:val="24"/>
        </w:rPr>
        <w:t xml:space="preserve">los </w:t>
      </w:r>
      <w:r w:rsidRPr="00586B55">
        <w:rPr>
          <w:rFonts w:cs="Arial"/>
          <w:bCs/>
          <w:color w:val="000000"/>
          <w:sz w:val="24"/>
        </w:rPr>
        <w:t>cuer</w:t>
      </w:r>
      <w:r>
        <w:rPr>
          <w:rFonts w:cs="Arial"/>
          <w:bCs/>
          <w:color w:val="000000"/>
          <w:sz w:val="24"/>
        </w:rPr>
        <w:t xml:space="preserve">pos receptores. Esta norma establece que </w:t>
      </w:r>
      <w:r w:rsidR="0085330A">
        <w:rPr>
          <w:rFonts w:cs="Arial"/>
          <w:bCs/>
          <w:color w:val="000000"/>
          <w:sz w:val="24"/>
        </w:rPr>
        <w:t>l</w:t>
      </w:r>
      <w:r w:rsidR="0085330A" w:rsidRPr="0085330A">
        <w:rPr>
          <w:rFonts w:cs="Arial"/>
          <w:bCs/>
          <w:color w:val="000000"/>
          <w:sz w:val="24"/>
        </w:rPr>
        <w:t xml:space="preserve">a zona de protección litoral es un ámbito territorial de aplicación de la norma </w:t>
      </w:r>
      <w:r w:rsidR="0085330A">
        <w:rPr>
          <w:rFonts w:cs="Arial"/>
          <w:bCs/>
          <w:color w:val="000000"/>
          <w:sz w:val="24"/>
        </w:rPr>
        <w:t>y</w:t>
      </w:r>
      <w:r w:rsidRPr="00594B0B">
        <w:rPr>
          <w:rFonts w:cs="Arial"/>
          <w:bCs/>
          <w:color w:val="000000"/>
          <w:sz w:val="24"/>
        </w:rPr>
        <w:t xml:space="preserve"> corresponde a la franja de playa, agua y fondo de mar adyacente a la costa continental o insular, delimitada por una línea superficial imaginaria, medida desde la línea  de  baja  marea  de  sicigia, que se orienta paralela a ésta y que se proyecta hasta el fondo del cuerpo de agua, fijada por la Dirección General del Territorio Marítimo y de Marina Mercante</w:t>
      </w:r>
      <w:r>
        <w:rPr>
          <w:rFonts w:cs="Arial"/>
          <w:bCs/>
          <w:color w:val="000000"/>
          <w:sz w:val="24"/>
        </w:rPr>
        <w:t>.</w:t>
      </w:r>
    </w:p>
    <w:p w14:paraId="1BCFE7FC" w14:textId="084087D5" w:rsidR="000B4DFD" w:rsidRDefault="001C7B6E" w:rsidP="00C63279">
      <w:pPr>
        <w:pStyle w:val="Encabezado"/>
        <w:spacing w:before="240" w:line="276" w:lineRule="auto"/>
        <w:jc w:val="both"/>
        <w:rPr>
          <w:rFonts w:cs="Arial"/>
          <w:bCs/>
          <w:color w:val="000000"/>
          <w:sz w:val="24"/>
        </w:rPr>
      </w:pPr>
      <w:r>
        <w:rPr>
          <w:rFonts w:cs="Arial"/>
          <w:bCs/>
          <w:color w:val="000000"/>
          <w:sz w:val="24"/>
        </w:rPr>
        <w:lastRenderedPageBreak/>
        <w:t>Todas l</w:t>
      </w:r>
      <w:r w:rsidR="002E62C5">
        <w:rPr>
          <w:rFonts w:cs="Arial"/>
          <w:bCs/>
          <w:color w:val="000000"/>
          <w:sz w:val="24"/>
        </w:rPr>
        <w:t>as plantas de proceso descarga</w:t>
      </w:r>
      <w:r>
        <w:rPr>
          <w:rFonts w:cs="Arial"/>
          <w:bCs/>
          <w:color w:val="000000"/>
          <w:sz w:val="24"/>
        </w:rPr>
        <w:t>n los</w:t>
      </w:r>
      <w:r w:rsidR="002E62C5">
        <w:rPr>
          <w:rFonts w:cs="Arial"/>
          <w:bCs/>
          <w:color w:val="000000"/>
          <w:sz w:val="24"/>
        </w:rPr>
        <w:t xml:space="preserve"> residuos líquidos (Riles)</w:t>
      </w:r>
      <w:r w:rsidR="002B4EF6">
        <w:rPr>
          <w:rFonts w:cs="Arial"/>
          <w:bCs/>
          <w:color w:val="000000"/>
          <w:sz w:val="24"/>
        </w:rPr>
        <w:t>,</w:t>
      </w:r>
      <w:r w:rsidR="002E62C5">
        <w:rPr>
          <w:rFonts w:cs="Arial"/>
          <w:bCs/>
          <w:color w:val="000000"/>
          <w:sz w:val="24"/>
        </w:rPr>
        <w:t xml:space="preserve"> a través de emisarios submarinos</w:t>
      </w:r>
      <w:r w:rsidR="00C47E72">
        <w:rPr>
          <w:rFonts w:cs="Arial"/>
          <w:bCs/>
          <w:color w:val="000000"/>
          <w:sz w:val="24"/>
        </w:rPr>
        <w:t xml:space="preserve"> (Figura 14</w:t>
      </w:r>
      <w:r w:rsidR="005F6B1C">
        <w:rPr>
          <w:rFonts w:cs="Arial"/>
          <w:bCs/>
          <w:color w:val="000000"/>
          <w:sz w:val="24"/>
        </w:rPr>
        <w:t>)</w:t>
      </w:r>
      <w:r>
        <w:rPr>
          <w:rFonts w:cs="Arial"/>
          <w:bCs/>
          <w:color w:val="000000"/>
          <w:sz w:val="24"/>
        </w:rPr>
        <w:t xml:space="preserve">. EL </w:t>
      </w:r>
      <w:r w:rsidR="002E62C5">
        <w:rPr>
          <w:rFonts w:cs="Arial"/>
          <w:bCs/>
          <w:color w:val="000000"/>
          <w:sz w:val="24"/>
        </w:rPr>
        <w:t xml:space="preserve">89% de las plantas (8 empresas), </w:t>
      </w:r>
      <w:r>
        <w:rPr>
          <w:rFonts w:cs="Arial"/>
          <w:bCs/>
          <w:color w:val="000000"/>
          <w:sz w:val="24"/>
        </w:rPr>
        <w:t xml:space="preserve">lo </w:t>
      </w:r>
      <w:r w:rsidR="002E62C5">
        <w:rPr>
          <w:rFonts w:cs="Arial"/>
          <w:bCs/>
          <w:color w:val="000000"/>
          <w:sz w:val="24"/>
        </w:rPr>
        <w:t xml:space="preserve">realizan </w:t>
      </w:r>
      <w:r>
        <w:rPr>
          <w:rFonts w:cs="Arial"/>
          <w:bCs/>
          <w:color w:val="000000"/>
          <w:sz w:val="24"/>
        </w:rPr>
        <w:t>fuera de la zona de protección litoral, por lo tanto deben cumplir con lo establecido en la Tabla N°4 del D.S 90/2000 (Límites Máximos Permitidos para la Descarga de R</w:t>
      </w:r>
      <w:r w:rsidRPr="002E62C5">
        <w:rPr>
          <w:rFonts w:cs="Arial"/>
          <w:bCs/>
          <w:color w:val="000000"/>
          <w:sz w:val="24"/>
        </w:rPr>
        <w:t>esiduos</w:t>
      </w:r>
      <w:r>
        <w:rPr>
          <w:rFonts w:cs="Arial"/>
          <w:bCs/>
          <w:color w:val="000000"/>
          <w:sz w:val="24"/>
        </w:rPr>
        <w:t xml:space="preserve"> Líquidos a C</w:t>
      </w:r>
      <w:r w:rsidRPr="002E62C5">
        <w:rPr>
          <w:rFonts w:cs="Arial"/>
          <w:bCs/>
          <w:color w:val="000000"/>
          <w:sz w:val="24"/>
        </w:rPr>
        <w:t xml:space="preserve">uerpos </w:t>
      </w:r>
      <w:r w:rsidR="007B4891">
        <w:rPr>
          <w:rFonts w:cs="Arial"/>
          <w:bCs/>
          <w:color w:val="000000"/>
          <w:sz w:val="24"/>
        </w:rPr>
        <w:t>de Agua Marinos D</w:t>
      </w:r>
      <w:r>
        <w:rPr>
          <w:rFonts w:cs="Arial"/>
          <w:bCs/>
          <w:color w:val="000000"/>
          <w:sz w:val="24"/>
        </w:rPr>
        <w:t>entro de la Z</w:t>
      </w:r>
      <w:r w:rsidRPr="002E62C5">
        <w:rPr>
          <w:rFonts w:cs="Arial"/>
          <w:bCs/>
          <w:color w:val="000000"/>
          <w:sz w:val="24"/>
        </w:rPr>
        <w:t>ona de</w:t>
      </w:r>
      <w:r>
        <w:rPr>
          <w:rFonts w:cs="Arial"/>
          <w:bCs/>
          <w:color w:val="000000"/>
          <w:sz w:val="24"/>
        </w:rPr>
        <w:t xml:space="preserve"> P</w:t>
      </w:r>
      <w:r w:rsidRPr="002E62C5">
        <w:rPr>
          <w:rFonts w:cs="Arial"/>
          <w:bCs/>
          <w:color w:val="000000"/>
          <w:sz w:val="24"/>
        </w:rPr>
        <w:t>rotección litoral</w:t>
      </w:r>
      <w:r>
        <w:rPr>
          <w:rFonts w:cs="Arial"/>
          <w:bCs/>
          <w:color w:val="000000"/>
          <w:sz w:val="24"/>
        </w:rPr>
        <w:t>), en cambio el 11% restante de</w:t>
      </w:r>
      <w:r w:rsidR="00FE0943">
        <w:rPr>
          <w:rFonts w:cs="Arial"/>
          <w:bCs/>
          <w:color w:val="000000"/>
          <w:sz w:val="24"/>
        </w:rPr>
        <w:t xml:space="preserve"> las</w:t>
      </w:r>
      <w:r>
        <w:rPr>
          <w:rFonts w:cs="Arial"/>
          <w:bCs/>
          <w:color w:val="000000"/>
          <w:sz w:val="24"/>
        </w:rPr>
        <w:t xml:space="preserve"> empresas lo hace dentro </w:t>
      </w:r>
      <w:r w:rsidR="002E62C5">
        <w:rPr>
          <w:rFonts w:cs="Arial"/>
          <w:bCs/>
          <w:color w:val="000000"/>
          <w:sz w:val="24"/>
        </w:rPr>
        <w:t xml:space="preserve">la </w:t>
      </w:r>
      <w:r>
        <w:rPr>
          <w:rFonts w:cs="Arial"/>
          <w:bCs/>
          <w:color w:val="000000"/>
          <w:sz w:val="24"/>
        </w:rPr>
        <w:t>zona de protección litoral, regida por la Tabla N°5.</w:t>
      </w:r>
      <w:r w:rsidRPr="001C7B6E">
        <w:rPr>
          <w:rFonts w:cs="Arial"/>
          <w:bCs/>
          <w:color w:val="000000"/>
          <w:sz w:val="24"/>
        </w:rPr>
        <w:t xml:space="preserve"> </w:t>
      </w:r>
      <w:r>
        <w:rPr>
          <w:rFonts w:cs="Arial"/>
          <w:bCs/>
          <w:color w:val="000000"/>
          <w:sz w:val="24"/>
        </w:rPr>
        <w:t>(Límites Máximos Permitidos para la Descarga de R</w:t>
      </w:r>
      <w:r w:rsidRPr="002E62C5">
        <w:rPr>
          <w:rFonts w:cs="Arial"/>
          <w:bCs/>
          <w:color w:val="000000"/>
          <w:sz w:val="24"/>
        </w:rPr>
        <w:t>esiduos</w:t>
      </w:r>
      <w:r>
        <w:rPr>
          <w:rFonts w:cs="Arial"/>
          <w:bCs/>
          <w:color w:val="000000"/>
          <w:sz w:val="24"/>
        </w:rPr>
        <w:t xml:space="preserve"> Líquidos a C</w:t>
      </w:r>
      <w:r w:rsidRPr="002E62C5">
        <w:rPr>
          <w:rFonts w:cs="Arial"/>
          <w:bCs/>
          <w:color w:val="000000"/>
          <w:sz w:val="24"/>
        </w:rPr>
        <w:t xml:space="preserve">uerpos </w:t>
      </w:r>
      <w:r>
        <w:rPr>
          <w:rFonts w:cs="Arial"/>
          <w:bCs/>
          <w:color w:val="000000"/>
          <w:sz w:val="24"/>
        </w:rPr>
        <w:t>de Agua Marinos Fuera de la Z</w:t>
      </w:r>
      <w:r w:rsidRPr="002E62C5">
        <w:rPr>
          <w:rFonts w:cs="Arial"/>
          <w:bCs/>
          <w:color w:val="000000"/>
          <w:sz w:val="24"/>
        </w:rPr>
        <w:t>ona de</w:t>
      </w:r>
      <w:r>
        <w:rPr>
          <w:rFonts w:cs="Arial"/>
          <w:bCs/>
          <w:color w:val="000000"/>
          <w:sz w:val="24"/>
        </w:rPr>
        <w:t xml:space="preserve"> P</w:t>
      </w:r>
      <w:r w:rsidRPr="002E62C5">
        <w:rPr>
          <w:rFonts w:cs="Arial"/>
          <w:bCs/>
          <w:color w:val="000000"/>
          <w:sz w:val="24"/>
        </w:rPr>
        <w:t>rotección litoral</w:t>
      </w:r>
      <w:r w:rsidR="005F6B1C">
        <w:rPr>
          <w:rFonts w:cs="Arial"/>
          <w:bCs/>
          <w:color w:val="000000"/>
          <w:sz w:val="24"/>
        </w:rPr>
        <w:t>.</w:t>
      </w:r>
      <w:r w:rsidR="00FE0943" w:rsidRPr="00FE0943">
        <w:rPr>
          <w:noProof/>
          <w:lang w:val="es-CL" w:eastAsia="es-CL"/>
        </w:rPr>
        <w:drawing>
          <wp:inline distT="0" distB="0" distL="0" distR="0" wp14:anchorId="558CEDEA" wp14:editId="29466D52">
            <wp:extent cx="5410200" cy="3215586"/>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406253" cy="3213240"/>
                    </a:xfrm>
                    <a:prstGeom prst="rect">
                      <a:avLst/>
                    </a:prstGeom>
                    <a:noFill/>
                    <a:ln>
                      <a:noFill/>
                    </a:ln>
                  </pic:spPr>
                </pic:pic>
              </a:graphicData>
            </a:graphic>
          </wp:inline>
        </w:drawing>
      </w:r>
      <w:r w:rsidR="007C2A2A">
        <w:rPr>
          <w:rFonts w:cs="Arial"/>
          <w:b/>
          <w:bCs/>
          <w:color w:val="000000"/>
          <w:sz w:val="24"/>
        </w:rPr>
        <w:t>Figura 1</w:t>
      </w:r>
      <w:r w:rsidR="00C47E72">
        <w:rPr>
          <w:rFonts w:cs="Arial"/>
          <w:b/>
          <w:bCs/>
          <w:color w:val="000000"/>
          <w:sz w:val="24"/>
        </w:rPr>
        <w:t>4</w:t>
      </w:r>
      <w:r w:rsidR="000B4DFD" w:rsidRPr="007E275F">
        <w:rPr>
          <w:rFonts w:cs="Arial"/>
          <w:b/>
          <w:bCs/>
          <w:color w:val="000000"/>
          <w:sz w:val="24"/>
        </w:rPr>
        <w:t>.</w:t>
      </w:r>
      <w:r w:rsidR="000B4DFD">
        <w:rPr>
          <w:rFonts w:cs="Arial"/>
          <w:bCs/>
          <w:color w:val="000000"/>
          <w:sz w:val="24"/>
        </w:rPr>
        <w:t xml:space="preserve"> </w:t>
      </w:r>
      <w:r w:rsidR="00FE0943">
        <w:rPr>
          <w:rFonts w:cs="Arial"/>
          <w:bCs/>
          <w:color w:val="000000"/>
          <w:sz w:val="24"/>
        </w:rPr>
        <w:t>Porcentaje de empresas que tiene como destino final de los</w:t>
      </w:r>
      <w:r w:rsidR="00C47E72">
        <w:rPr>
          <w:rFonts w:cs="Arial"/>
          <w:bCs/>
          <w:color w:val="000000"/>
          <w:sz w:val="24"/>
        </w:rPr>
        <w:t xml:space="preserve"> </w:t>
      </w:r>
      <w:r w:rsidR="000D7271">
        <w:rPr>
          <w:rFonts w:cs="Arial"/>
          <w:bCs/>
          <w:color w:val="000000"/>
          <w:sz w:val="24"/>
        </w:rPr>
        <w:t>r</w:t>
      </w:r>
      <w:r w:rsidR="00C47E72">
        <w:rPr>
          <w:rFonts w:cs="Arial"/>
          <w:bCs/>
          <w:color w:val="000000"/>
          <w:sz w:val="24"/>
        </w:rPr>
        <w:t>esiduos industriales</w:t>
      </w:r>
      <w:r w:rsidR="000B4DFD">
        <w:rPr>
          <w:rFonts w:cs="Arial"/>
          <w:bCs/>
          <w:color w:val="000000"/>
          <w:sz w:val="24"/>
        </w:rPr>
        <w:t xml:space="preserve"> líquidos (Riles) </w:t>
      </w:r>
      <w:r w:rsidR="00FE0943">
        <w:rPr>
          <w:rFonts w:cs="Arial"/>
          <w:bCs/>
          <w:color w:val="000000"/>
          <w:sz w:val="24"/>
        </w:rPr>
        <w:t>un emisario submarino.</w:t>
      </w:r>
    </w:p>
    <w:p w14:paraId="3148EA9D" w14:textId="670C791A" w:rsidR="00A402A4" w:rsidRDefault="00A81941" w:rsidP="00CE62F9">
      <w:pPr>
        <w:pStyle w:val="Encabezado"/>
        <w:spacing w:before="240" w:line="276" w:lineRule="auto"/>
        <w:jc w:val="both"/>
        <w:rPr>
          <w:rFonts w:cs="Arial"/>
          <w:bCs/>
          <w:color w:val="000000"/>
          <w:sz w:val="24"/>
        </w:rPr>
      </w:pPr>
      <w:r>
        <w:rPr>
          <w:rFonts w:cs="Arial"/>
          <w:bCs/>
          <w:color w:val="000000"/>
          <w:sz w:val="24"/>
        </w:rPr>
        <w:t>El volumen total de Riles</w:t>
      </w:r>
      <w:r w:rsidR="001F20A6">
        <w:rPr>
          <w:rFonts w:cs="Arial"/>
          <w:bCs/>
          <w:color w:val="000000"/>
          <w:sz w:val="24"/>
        </w:rPr>
        <w:t xml:space="preserve"> el 2015</w:t>
      </w:r>
      <w:r w:rsidRPr="00A81941">
        <w:rPr>
          <w:rFonts w:cs="Arial"/>
          <w:bCs/>
          <w:color w:val="000000"/>
          <w:sz w:val="24"/>
        </w:rPr>
        <w:t>,</w:t>
      </w:r>
      <w:r w:rsidRPr="001848D6">
        <w:rPr>
          <w:rFonts w:cs="Arial"/>
          <w:bCs/>
          <w:color w:val="000000"/>
          <w:sz w:val="24"/>
        </w:rPr>
        <w:t xml:space="preserve"> generados por las plantas de proceso </w:t>
      </w:r>
      <w:r>
        <w:rPr>
          <w:rFonts w:cs="Arial"/>
          <w:bCs/>
          <w:color w:val="000000"/>
          <w:sz w:val="24"/>
        </w:rPr>
        <w:t>participantes del diagnóstico</w:t>
      </w:r>
      <w:r w:rsidR="00801671">
        <w:rPr>
          <w:rFonts w:cs="Arial"/>
          <w:bCs/>
          <w:color w:val="000000"/>
          <w:sz w:val="24"/>
        </w:rPr>
        <w:t>,</w:t>
      </w:r>
      <w:r>
        <w:rPr>
          <w:rFonts w:cs="Arial"/>
          <w:bCs/>
          <w:color w:val="000000"/>
          <w:sz w:val="24"/>
        </w:rPr>
        <w:t xml:space="preserve"> fue de </w:t>
      </w:r>
      <w:r w:rsidRPr="00A81941">
        <w:rPr>
          <w:rFonts w:cs="Arial"/>
          <w:bCs/>
          <w:color w:val="000000"/>
          <w:sz w:val="24"/>
        </w:rPr>
        <w:t>3.840.249</w:t>
      </w:r>
      <w:r w:rsidR="003D1429">
        <w:rPr>
          <w:rFonts w:cs="Arial"/>
          <w:bCs/>
          <w:color w:val="000000"/>
          <w:sz w:val="24"/>
        </w:rPr>
        <w:t xml:space="preserve"> </w:t>
      </w:r>
      <w:r w:rsidR="000D7271">
        <w:rPr>
          <w:rFonts w:cs="Arial"/>
          <w:bCs/>
          <w:color w:val="000000"/>
          <w:sz w:val="24"/>
        </w:rPr>
        <w:t>(</w:t>
      </w:r>
      <w:r w:rsidR="000D7271" w:rsidRPr="00A402A4">
        <w:rPr>
          <w:rFonts w:cs="Arial"/>
          <w:bCs/>
          <w:color w:val="000000"/>
          <w:sz w:val="24"/>
        </w:rPr>
        <w:t>M</w:t>
      </w:r>
      <w:r w:rsidR="000D7271" w:rsidRPr="00A402A4">
        <w:rPr>
          <w:rFonts w:cs="Arial"/>
          <w:bCs/>
          <w:color w:val="000000"/>
          <w:sz w:val="24"/>
          <w:vertAlign w:val="superscript"/>
        </w:rPr>
        <w:t>3</w:t>
      </w:r>
      <w:r w:rsidR="000D7271" w:rsidRPr="000D7271">
        <w:rPr>
          <w:rFonts w:cs="Arial"/>
          <w:bCs/>
          <w:color w:val="000000"/>
          <w:sz w:val="24"/>
        </w:rPr>
        <w:t>)</w:t>
      </w:r>
      <w:r w:rsidR="00A402A4">
        <w:rPr>
          <w:rFonts w:cs="Arial"/>
          <w:bCs/>
          <w:color w:val="000000"/>
          <w:sz w:val="24"/>
        </w:rPr>
        <w:t xml:space="preserve"> y en promedio</w:t>
      </w:r>
      <w:r w:rsidR="00033C1E">
        <w:rPr>
          <w:rFonts w:cs="Arial"/>
          <w:bCs/>
          <w:color w:val="000000"/>
          <w:sz w:val="24"/>
        </w:rPr>
        <w:t xml:space="preserve"> </w:t>
      </w:r>
      <w:r w:rsidR="00D1532C">
        <w:rPr>
          <w:rFonts w:cs="Arial"/>
          <w:bCs/>
          <w:color w:val="000000"/>
          <w:sz w:val="24"/>
        </w:rPr>
        <w:t xml:space="preserve">548.607 </w:t>
      </w:r>
      <w:r w:rsidR="000D7271">
        <w:rPr>
          <w:rFonts w:cs="Arial"/>
          <w:bCs/>
          <w:color w:val="000000"/>
          <w:sz w:val="24"/>
        </w:rPr>
        <w:t>(</w:t>
      </w:r>
      <w:r w:rsidR="000D7271" w:rsidRPr="00A402A4">
        <w:rPr>
          <w:rFonts w:cs="Arial"/>
          <w:bCs/>
          <w:color w:val="000000"/>
          <w:sz w:val="24"/>
        </w:rPr>
        <w:t>M</w:t>
      </w:r>
      <w:r w:rsidR="000D7271" w:rsidRPr="00A402A4">
        <w:rPr>
          <w:rFonts w:cs="Arial"/>
          <w:bCs/>
          <w:color w:val="000000"/>
          <w:sz w:val="24"/>
          <w:vertAlign w:val="superscript"/>
        </w:rPr>
        <w:t>3</w:t>
      </w:r>
      <w:r w:rsidR="000D7271" w:rsidRPr="000D7271">
        <w:rPr>
          <w:rFonts w:cs="Arial"/>
          <w:bCs/>
          <w:color w:val="000000"/>
          <w:sz w:val="24"/>
        </w:rPr>
        <w:t>)</w:t>
      </w:r>
      <w:r w:rsidR="000D7271">
        <w:rPr>
          <w:rFonts w:cs="Arial"/>
          <w:bCs/>
          <w:color w:val="000000"/>
          <w:sz w:val="24"/>
        </w:rPr>
        <w:t xml:space="preserve"> (Figura 15</w:t>
      </w:r>
      <w:r w:rsidR="00A402A4">
        <w:rPr>
          <w:rFonts w:cs="Arial"/>
          <w:bCs/>
          <w:color w:val="000000"/>
          <w:sz w:val="24"/>
        </w:rPr>
        <w:t>).</w:t>
      </w:r>
    </w:p>
    <w:p w14:paraId="266C13E3" w14:textId="6E96C271" w:rsidR="001852D4" w:rsidRPr="00BC47E6" w:rsidRDefault="00D1532C" w:rsidP="00CE62F9">
      <w:pPr>
        <w:pStyle w:val="Encabezado"/>
        <w:spacing w:before="240"/>
        <w:rPr>
          <w:lang w:eastAsia="es-CL"/>
        </w:rPr>
      </w:pPr>
      <w:r>
        <w:rPr>
          <w:noProof/>
          <w:lang w:val="es-CL" w:eastAsia="es-CL"/>
        </w:rPr>
        <w:lastRenderedPageBreak/>
        <w:drawing>
          <wp:inline distT="0" distB="0" distL="0" distR="0" wp14:anchorId="28AE5C24" wp14:editId="26AB4173">
            <wp:extent cx="3579962" cy="2087592"/>
            <wp:effectExtent l="0" t="0" r="20955" b="27305"/>
            <wp:docPr id="30" name="Gráfico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310A975E" w14:textId="3FC64C1A" w:rsidR="00D1532C" w:rsidRDefault="00D1532C" w:rsidP="009D6C1D">
      <w:pPr>
        <w:pStyle w:val="Encabezado"/>
        <w:jc w:val="both"/>
        <w:rPr>
          <w:rFonts w:cs="Arial"/>
          <w:bCs/>
          <w:color w:val="000000"/>
          <w:sz w:val="24"/>
        </w:rPr>
      </w:pPr>
      <w:r>
        <w:rPr>
          <w:rFonts w:cs="Arial"/>
          <w:b/>
          <w:bCs/>
          <w:color w:val="000000"/>
          <w:sz w:val="24"/>
        </w:rPr>
        <w:t>Figura 1</w:t>
      </w:r>
      <w:r w:rsidR="000D7271">
        <w:rPr>
          <w:rFonts w:cs="Arial"/>
          <w:b/>
          <w:bCs/>
          <w:color w:val="000000"/>
          <w:sz w:val="24"/>
        </w:rPr>
        <w:t>5</w:t>
      </w:r>
      <w:r w:rsidRPr="007E275F">
        <w:rPr>
          <w:rFonts w:cs="Arial"/>
          <w:b/>
          <w:bCs/>
          <w:color w:val="000000"/>
          <w:sz w:val="24"/>
        </w:rPr>
        <w:t>.</w:t>
      </w:r>
      <w:r w:rsidR="000D7271">
        <w:rPr>
          <w:rFonts w:cs="Arial"/>
          <w:bCs/>
          <w:color w:val="000000"/>
          <w:sz w:val="24"/>
        </w:rPr>
        <w:t xml:space="preserve"> Volumen de residuos industriales líquidos (Riles) (M</w:t>
      </w:r>
      <w:r w:rsidR="000D7271" w:rsidRPr="00E70D3C">
        <w:rPr>
          <w:rFonts w:cs="Arial"/>
          <w:bCs/>
          <w:color w:val="000000"/>
          <w:sz w:val="24"/>
          <w:vertAlign w:val="superscript"/>
        </w:rPr>
        <w:t>3</w:t>
      </w:r>
      <w:r w:rsidR="000D7271" w:rsidRPr="00B538EB">
        <w:rPr>
          <w:rFonts w:cs="Arial"/>
          <w:bCs/>
          <w:color w:val="000000"/>
          <w:sz w:val="24"/>
        </w:rPr>
        <w:t>)</w:t>
      </w:r>
      <w:r w:rsidR="000D7271">
        <w:rPr>
          <w:rFonts w:cs="Arial"/>
          <w:bCs/>
          <w:color w:val="000000"/>
          <w:sz w:val="24"/>
        </w:rPr>
        <w:t>.</w:t>
      </w:r>
      <w:r w:rsidR="0061425E">
        <w:rPr>
          <w:rFonts w:cs="Arial"/>
          <w:bCs/>
          <w:color w:val="000000"/>
          <w:sz w:val="24"/>
        </w:rPr>
        <w:t xml:space="preserve"> </w:t>
      </w:r>
    </w:p>
    <w:p w14:paraId="5D7B63A2" w14:textId="77777777" w:rsidR="00D446B4" w:rsidRDefault="00D446B4" w:rsidP="00CE62F9">
      <w:pPr>
        <w:pStyle w:val="Encabezado"/>
        <w:spacing w:before="240"/>
        <w:rPr>
          <w:lang w:eastAsia="es-CL"/>
        </w:rPr>
      </w:pPr>
    </w:p>
    <w:p w14:paraId="5ECFE853" w14:textId="0D48C5BB" w:rsidR="00197DDA" w:rsidRPr="00ED26C2" w:rsidRDefault="006C1A9A" w:rsidP="00343562">
      <w:pPr>
        <w:pStyle w:val="Ttulo2"/>
        <w:rPr>
          <w:b w:val="0"/>
          <w:sz w:val="32"/>
          <w:szCs w:val="32"/>
        </w:rPr>
      </w:pPr>
      <w:bookmarkStart w:id="14" w:name="_Toc471999525"/>
      <w:r w:rsidRPr="00ED26C2">
        <w:rPr>
          <w:b w:val="0"/>
          <w:sz w:val="32"/>
          <w:szCs w:val="32"/>
        </w:rPr>
        <w:t>Residuos Só</w:t>
      </w:r>
      <w:r w:rsidR="00197DDA" w:rsidRPr="00ED26C2">
        <w:rPr>
          <w:b w:val="0"/>
          <w:sz w:val="32"/>
          <w:szCs w:val="32"/>
        </w:rPr>
        <w:t>lidos</w:t>
      </w:r>
      <w:bookmarkEnd w:id="14"/>
    </w:p>
    <w:p w14:paraId="26CE9041" w14:textId="79DCF4FC" w:rsidR="005C7DEC" w:rsidRDefault="008B2E33" w:rsidP="00CE62F9">
      <w:pPr>
        <w:pStyle w:val="Encabezado"/>
        <w:spacing w:before="240" w:line="276" w:lineRule="auto"/>
        <w:jc w:val="both"/>
        <w:rPr>
          <w:rFonts w:cs="Arial"/>
          <w:bCs/>
          <w:color w:val="000000"/>
          <w:sz w:val="24"/>
        </w:rPr>
      </w:pPr>
      <w:r w:rsidRPr="00404256">
        <w:rPr>
          <w:rFonts w:cs="Arial"/>
          <w:bCs/>
          <w:color w:val="000000"/>
          <w:sz w:val="24"/>
        </w:rPr>
        <w:t xml:space="preserve">Los residuos </w:t>
      </w:r>
      <w:r w:rsidRPr="00152EEA">
        <w:rPr>
          <w:rFonts w:cs="Arial"/>
          <w:bCs/>
          <w:color w:val="000000"/>
          <w:sz w:val="24"/>
        </w:rPr>
        <w:t>sólidos,</w:t>
      </w:r>
      <w:r w:rsidRPr="00404256">
        <w:rPr>
          <w:rFonts w:cs="Arial"/>
          <w:bCs/>
          <w:color w:val="000000"/>
          <w:sz w:val="24"/>
        </w:rPr>
        <w:t xml:space="preserve"> constituyen aquellos materiales desechados tras su vida útil, y por lo general por sí solos carecen de valor económico.</w:t>
      </w:r>
      <w:r>
        <w:rPr>
          <w:rFonts w:cs="Arial"/>
          <w:bCs/>
          <w:color w:val="000000"/>
          <w:sz w:val="24"/>
        </w:rPr>
        <w:t xml:space="preserve"> </w:t>
      </w:r>
      <w:r w:rsidRPr="00404256">
        <w:rPr>
          <w:rFonts w:cs="Arial"/>
          <w:bCs/>
          <w:color w:val="000000"/>
          <w:sz w:val="24"/>
        </w:rPr>
        <w:t>Se componen principalmente de desechos procedentes de materiales utilizados en la fabricación, transformación o utilización de</w:t>
      </w:r>
      <w:r>
        <w:rPr>
          <w:rFonts w:cs="Arial"/>
          <w:bCs/>
          <w:color w:val="000000"/>
          <w:sz w:val="24"/>
        </w:rPr>
        <w:t xml:space="preserve"> bienes de consumo. </w:t>
      </w:r>
      <w:r w:rsidR="00A81941">
        <w:rPr>
          <w:rFonts w:cs="Arial"/>
          <w:bCs/>
          <w:color w:val="000000"/>
          <w:sz w:val="24"/>
        </w:rPr>
        <w:t xml:space="preserve">Los residuos sólidos son </w:t>
      </w:r>
      <w:r>
        <w:rPr>
          <w:rFonts w:cs="Arial"/>
          <w:bCs/>
          <w:color w:val="000000"/>
          <w:sz w:val="24"/>
        </w:rPr>
        <w:t>denominados</w:t>
      </w:r>
      <w:r w:rsidR="00ED3B35">
        <w:rPr>
          <w:rFonts w:cs="Arial"/>
          <w:bCs/>
          <w:color w:val="000000"/>
          <w:sz w:val="24"/>
        </w:rPr>
        <w:t xml:space="preserve"> de esta forma</w:t>
      </w:r>
      <w:r w:rsidR="00A81941">
        <w:rPr>
          <w:rFonts w:cs="Arial"/>
          <w:bCs/>
          <w:color w:val="000000"/>
          <w:sz w:val="24"/>
        </w:rPr>
        <w:t xml:space="preserve"> por su estado físico</w:t>
      </w:r>
      <w:r w:rsidR="00A81941" w:rsidRPr="00A81941">
        <w:rPr>
          <w:rFonts w:cs="Arial"/>
          <w:bCs/>
          <w:color w:val="000000"/>
          <w:sz w:val="24"/>
        </w:rPr>
        <w:t>.</w:t>
      </w:r>
      <w:r w:rsidR="00A81941">
        <w:rPr>
          <w:rFonts w:cs="Arial"/>
          <w:bCs/>
          <w:color w:val="000000"/>
          <w:sz w:val="24"/>
        </w:rPr>
        <w:t xml:space="preserve"> </w:t>
      </w:r>
    </w:p>
    <w:p w14:paraId="414B1DE0" w14:textId="6ED06363" w:rsidR="00E65482" w:rsidRPr="0034318A" w:rsidRDefault="00E65482" w:rsidP="00CE62F9">
      <w:pPr>
        <w:pStyle w:val="Encabezado"/>
        <w:spacing w:before="240" w:line="276" w:lineRule="auto"/>
        <w:jc w:val="both"/>
        <w:rPr>
          <w:rFonts w:cs="Arial"/>
          <w:bCs/>
          <w:color w:val="000000"/>
          <w:sz w:val="24"/>
        </w:rPr>
      </w:pPr>
      <w:r w:rsidRPr="0034318A">
        <w:rPr>
          <w:rFonts w:cs="Arial"/>
          <w:bCs/>
          <w:color w:val="000000"/>
          <w:sz w:val="24"/>
        </w:rPr>
        <w:t xml:space="preserve">Las empresas identificaron los componentes de sus </w:t>
      </w:r>
      <w:r w:rsidR="0034318A" w:rsidRPr="0034318A">
        <w:rPr>
          <w:rFonts w:cs="Arial"/>
          <w:bCs/>
          <w:color w:val="000000"/>
          <w:sz w:val="24"/>
        </w:rPr>
        <w:t>residuos sólidos</w:t>
      </w:r>
      <w:r w:rsidR="00C63279">
        <w:rPr>
          <w:rFonts w:cs="Arial"/>
          <w:bCs/>
          <w:color w:val="000000"/>
          <w:sz w:val="24"/>
        </w:rPr>
        <w:t xml:space="preserve"> </w:t>
      </w:r>
      <w:r w:rsidRPr="0034318A">
        <w:rPr>
          <w:rFonts w:cs="Arial"/>
          <w:bCs/>
          <w:color w:val="000000"/>
          <w:sz w:val="24"/>
        </w:rPr>
        <w:t>menciona</w:t>
      </w:r>
      <w:r w:rsidR="00644FB5">
        <w:rPr>
          <w:rFonts w:cs="Arial"/>
          <w:bCs/>
          <w:color w:val="000000"/>
          <w:sz w:val="24"/>
        </w:rPr>
        <w:t>n</w:t>
      </w:r>
      <w:r w:rsidRPr="0034318A">
        <w:rPr>
          <w:rFonts w:cs="Arial"/>
          <w:bCs/>
          <w:color w:val="000000"/>
          <w:sz w:val="24"/>
        </w:rPr>
        <w:t xml:space="preserve">do mayor número de veces </w:t>
      </w:r>
      <w:r w:rsidR="00644FB5">
        <w:rPr>
          <w:rFonts w:cs="Arial"/>
          <w:bCs/>
          <w:color w:val="000000"/>
          <w:sz w:val="24"/>
        </w:rPr>
        <w:t>a las</w:t>
      </w:r>
      <w:r w:rsidR="0034318A" w:rsidRPr="0034318A">
        <w:rPr>
          <w:rFonts w:cs="Arial"/>
          <w:bCs/>
          <w:color w:val="000000"/>
          <w:sz w:val="24"/>
        </w:rPr>
        <w:t xml:space="preserve"> conchillas (86%), seguido de cartones y plásticos con (57%) y residuos domiciliarios (43%). A continuación, fauna acompañante y chatarra (29%), y en menor cantidad las pecheras y guantes (14) (Fi</w:t>
      </w:r>
      <w:r w:rsidR="00D34DBD">
        <w:rPr>
          <w:rFonts w:cs="Arial"/>
          <w:bCs/>
          <w:color w:val="000000"/>
          <w:sz w:val="24"/>
        </w:rPr>
        <w:t>gura 18</w:t>
      </w:r>
      <w:r w:rsidR="0034318A" w:rsidRPr="0034318A">
        <w:rPr>
          <w:rFonts w:cs="Arial"/>
          <w:bCs/>
          <w:color w:val="000000"/>
          <w:sz w:val="24"/>
        </w:rPr>
        <w:t>).</w:t>
      </w:r>
      <w:r w:rsidR="009043A3">
        <w:rPr>
          <w:rFonts w:cs="Arial"/>
          <w:bCs/>
          <w:color w:val="000000"/>
          <w:sz w:val="24"/>
        </w:rPr>
        <w:t xml:space="preserve"> </w:t>
      </w:r>
    </w:p>
    <w:p w14:paraId="11186FCE" w14:textId="4B81BBC9" w:rsidR="007361FA" w:rsidRDefault="006C1A9A" w:rsidP="00CE62F9">
      <w:pPr>
        <w:pStyle w:val="Encabezado"/>
        <w:spacing w:before="240"/>
        <w:jc w:val="both"/>
        <w:rPr>
          <w:rFonts w:cs="Arial"/>
          <w:bCs/>
          <w:color w:val="000000"/>
          <w:sz w:val="24"/>
        </w:rPr>
      </w:pPr>
      <w:r>
        <w:rPr>
          <w:rFonts w:cs="Arial"/>
          <w:b/>
          <w:bCs/>
          <w:noProof/>
          <w:color w:val="000000"/>
          <w:sz w:val="24"/>
          <w:lang w:val="es-CL" w:eastAsia="es-CL"/>
        </w:rPr>
        <w:drawing>
          <wp:inline distT="0" distB="0" distL="0" distR="0" wp14:anchorId="515BE816" wp14:editId="73A31E9D">
            <wp:extent cx="5460365" cy="2286000"/>
            <wp:effectExtent l="0" t="0" r="698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460365" cy="2286000"/>
                    </a:xfrm>
                    <a:prstGeom prst="rect">
                      <a:avLst/>
                    </a:prstGeom>
                    <a:noFill/>
                    <a:ln>
                      <a:noFill/>
                    </a:ln>
                  </pic:spPr>
                </pic:pic>
              </a:graphicData>
            </a:graphic>
          </wp:inline>
        </w:drawing>
      </w:r>
      <w:r w:rsidR="00D3052D">
        <w:rPr>
          <w:rFonts w:cs="Arial"/>
          <w:b/>
          <w:bCs/>
          <w:color w:val="000000"/>
          <w:sz w:val="24"/>
        </w:rPr>
        <w:t>Figura 1</w:t>
      </w:r>
      <w:r w:rsidR="00D34DBD">
        <w:rPr>
          <w:rFonts w:cs="Arial"/>
          <w:b/>
          <w:bCs/>
          <w:color w:val="000000"/>
          <w:sz w:val="24"/>
        </w:rPr>
        <w:t>8</w:t>
      </w:r>
      <w:r w:rsidR="007F6A01" w:rsidRPr="007F6A01">
        <w:rPr>
          <w:rFonts w:cs="Arial"/>
          <w:b/>
          <w:bCs/>
          <w:color w:val="000000"/>
          <w:sz w:val="24"/>
        </w:rPr>
        <w:t>.</w:t>
      </w:r>
      <w:r w:rsidR="007F6A01">
        <w:rPr>
          <w:rFonts w:cs="Arial"/>
          <w:bCs/>
          <w:color w:val="000000"/>
          <w:sz w:val="24"/>
        </w:rPr>
        <w:t xml:space="preserve"> Residuos Sólidos identificados por las plantas de proceso</w:t>
      </w:r>
      <w:r w:rsidR="007361FA">
        <w:rPr>
          <w:rFonts w:cs="Arial"/>
          <w:bCs/>
          <w:color w:val="000000"/>
          <w:sz w:val="24"/>
        </w:rPr>
        <w:t>.</w:t>
      </w:r>
    </w:p>
    <w:p w14:paraId="4B0DDA5F" w14:textId="77777777" w:rsidR="00C63279" w:rsidRDefault="00C63279" w:rsidP="00CE62F9">
      <w:pPr>
        <w:pStyle w:val="Encabezado"/>
        <w:spacing w:before="240"/>
        <w:jc w:val="both"/>
        <w:rPr>
          <w:rFonts w:cs="Arial"/>
          <w:bCs/>
          <w:color w:val="000000"/>
          <w:sz w:val="24"/>
        </w:rPr>
      </w:pPr>
    </w:p>
    <w:p w14:paraId="4D65327F" w14:textId="6AF0B081" w:rsidR="009371DE" w:rsidRDefault="00A43679" w:rsidP="00CE62F9">
      <w:pPr>
        <w:pStyle w:val="Encabezado"/>
        <w:spacing w:before="240" w:line="276" w:lineRule="auto"/>
        <w:jc w:val="both"/>
        <w:rPr>
          <w:rFonts w:cs="Arial"/>
          <w:bCs/>
          <w:color w:val="000000"/>
          <w:sz w:val="24"/>
        </w:rPr>
      </w:pPr>
      <w:r>
        <w:rPr>
          <w:rFonts w:cs="Arial"/>
          <w:bCs/>
          <w:color w:val="000000"/>
          <w:sz w:val="24"/>
        </w:rPr>
        <w:t xml:space="preserve">Todas </w:t>
      </w:r>
      <w:r w:rsidR="007361FA">
        <w:rPr>
          <w:rFonts w:cs="Arial"/>
          <w:bCs/>
          <w:color w:val="000000"/>
          <w:sz w:val="24"/>
        </w:rPr>
        <w:t xml:space="preserve">las empresas identifican los </w:t>
      </w:r>
      <w:r w:rsidR="00152EEA">
        <w:rPr>
          <w:rFonts w:cs="Arial"/>
          <w:bCs/>
          <w:color w:val="000000"/>
          <w:sz w:val="24"/>
        </w:rPr>
        <w:t>componentes de sus residuos sólidos</w:t>
      </w:r>
      <w:r w:rsidR="007361FA">
        <w:rPr>
          <w:rFonts w:cs="Arial"/>
          <w:bCs/>
          <w:color w:val="000000"/>
          <w:sz w:val="24"/>
        </w:rPr>
        <w:t xml:space="preserve">, sin embargo sólo </w:t>
      </w:r>
      <w:r w:rsidR="00DD0906">
        <w:rPr>
          <w:rFonts w:cs="Arial"/>
          <w:bCs/>
          <w:color w:val="000000"/>
          <w:sz w:val="24"/>
        </w:rPr>
        <w:t>algunas</w:t>
      </w:r>
      <w:r w:rsidR="007361FA">
        <w:rPr>
          <w:rFonts w:cs="Arial"/>
          <w:bCs/>
          <w:color w:val="000000"/>
          <w:sz w:val="24"/>
        </w:rPr>
        <w:t xml:space="preserve"> de las plantas de proceso </w:t>
      </w:r>
      <w:r w:rsidR="00152EEA">
        <w:rPr>
          <w:rFonts w:cs="Arial"/>
          <w:bCs/>
          <w:color w:val="000000"/>
          <w:sz w:val="24"/>
        </w:rPr>
        <w:t xml:space="preserve">los </w:t>
      </w:r>
      <w:r w:rsidR="00442310">
        <w:rPr>
          <w:rFonts w:cs="Arial"/>
          <w:bCs/>
          <w:color w:val="000000"/>
          <w:sz w:val="24"/>
        </w:rPr>
        <w:t>separan</w:t>
      </w:r>
      <w:r w:rsidR="007361FA">
        <w:rPr>
          <w:rFonts w:cs="Arial"/>
          <w:bCs/>
          <w:color w:val="000000"/>
          <w:sz w:val="24"/>
        </w:rPr>
        <w:t>, ya sea para recicl</w:t>
      </w:r>
      <w:r w:rsidR="00442310">
        <w:rPr>
          <w:rFonts w:cs="Arial"/>
          <w:bCs/>
          <w:color w:val="000000"/>
          <w:sz w:val="24"/>
        </w:rPr>
        <w:t>aje como forma de valorización</w:t>
      </w:r>
      <w:r>
        <w:rPr>
          <w:rFonts w:cs="Arial"/>
          <w:bCs/>
          <w:color w:val="000000"/>
          <w:sz w:val="24"/>
        </w:rPr>
        <w:t xml:space="preserve">, </w:t>
      </w:r>
      <w:r w:rsidR="007361FA">
        <w:rPr>
          <w:rFonts w:cs="Arial"/>
          <w:bCs/>
          <w:color w:val="000000"/>
          <w:sz w:val="24"/>
        </w:rPr>
        <w:t>reutilización o destino fin</w:t>
      </w:r>
      <w:r>
        <w:rPr>
          <w:rFonts w:cs="Arial"/>
          <w:bCs/>
          <w:color w:val="000000"/>
          <w:sz w:val="24"/>
        </w:rPr>
        <w:t>al el vertedero</w:t>
      </w:r>
      <w:r w:rsidR="007361FA">
        <w:rPr>
          <w:rFonts w:cs="Arial"/>
          <w:bCs/>
          <w:color w:val="000000"/>
          <w:sz w:val="24"/>
        </w:rPr>
        <w:t>.</w:t>
      </w:r>
    </w:p>
    <w:p w14:paraId="112B5A0B" w14:textId="33887F1C" w:rsidR="007361FA" w:rsidRDefault="00DD0906" w:rsidP="00CE62F9">
      <w:pPr>
        <w:pStyle w:val="Encabezado"/>
        <w:spacing w:before="240" w:line="276" w:lineRule="auto"/>
        <w:jc w:val="both"/>
        <w:rPr>
          <w:rFonts w:cs="Arial"/>
          <w:bCs/>
          <w:color w:val="000000"/>
          <w:sz w:val="24"/>
        </w:rPr>
      </w:pPr>
      <w:r>
        <w:rPr>
          <w:rFonts w:cs="Arial"/>
          <w:bCs/>
          <w:color w:val="000000"/>
          <w:sz w:val="24"/>
        </w:rPr>
        <w:t>Respecto  al</w:t>
      </w:r>
      <w:r w:rsidR="007361FA" w:rsidRPr="00152EEA">
        <w:rPr>
          <w:rFonts w:cs="Arial"/>
          <w:bCs/>
          <w:color w:val="000000"/>
          <w:sz w:val="24"/>
        </w:rPr>
        <w:t xml:space="preserve"> </w:t>
      </w:r>
      <w:r w:rsidR="002F578B" w:rsidRPr="00152EEA">
        <w:rPr>
          <w:rFonts w:cs="Arial"/>
          <w:bCs/>
          <w:color w:val="000000"/>
          <w:sz w:val="24"/>
        </w:rPr>
        <w:t>destino final de los residuos sólidos la</w:t>
      </w:r>
      <w:r w:rsidR="007361FA" w:rsidRPr="00152EEA">
        <w:rPr>
          <w:rFonts w:cs="Arial"/>
          <w:bCs/>
          <w:color w:val="000000"/>
          <w:sz w:val="24"/>
        </w:rPr>
        <w:t>s</w:t>
      </w:r>
      <w:r w:rsidR="002F578B" w:rsidRPr="00152EEA">
        <w:rPr>
          <w:rFonts w:cs="Arial"/>
          <w:bCs/>
          <w:color w:val="000000"/>
          <w:sz w:val="24"/>
        </w:rPr>
        <w:t xml:space="preserve"> empresas utilizan más de un servicio</w:t>
      </w:r>
      <w:r w:rsidR="00442310" w:rsidRPr="00152EEA">
        <w:rPr>
          <w:rFonts w:cs="Arial"/>
          <w:bCs/>
          <w:color w:val="000000"/>
          <w:sz w:val="24"/>
        </w:rPr>
        <w:t xml:space="preserve"> externo</w:t>
      </w:r>
      <w:r w:rsidR="002F578B" w:rsidRPr="00152EEA">
        <w:rPr>
          <w:rFonts w:cs="Arial"/>
          <w:bCs/>
          <w:color w:val="000000"/>
          <w:sz w:val="24"/>
        </w:rPr>
        <w:t>, donde el mayor porcentaje de las plantas</w:t>
      </w:r>
      <w:r w:rsidR="007361FA" w:rsidRPr="00152EEA">
        <w:rPr>
          <w:rFonts w:cs="Arial"/>
          <w:bCs/>
          <w:color w:val="000000"/>
          <w:sz w:val="24"/>
        </w:rPr>
        <w:t>,</w:t>
      </w:r>
      <w:r w:rsidR="00573B89">
        <w:rPr>
          <w:rFonts w:cs="Arial"/>
          <w:bCs/>
          <w:color w:val="000000"/>
          <w:sz w:val="24"/>
        </w:rPr>
        <w:t xml:space="preserve"> </w:t>
      </w:r>
      <w:r>
        <w:rPr>
          <w:rFonts w:cs="Arial"/>
          <w:bCs/>
          <w:color w:val="000000"/>
          <w:sz w:val="24"/>
        </w:rPr>
        <w:t xml:space="preserve">declaró </w:t>
      </w:r>
      <w:r w:rsidR="00573B89">
        <w:rPr>
          <w:rFonts w:cs="Arial"/>
          <w:bCs/>
          <w:color w:val="000000"/>
          <w:sz w:val="24"/>
        </w:rPr>
        <w:t xml:space="preserve"> que</w:t>
      </w:r>
      <w:r w:rsidR="002F578B" w:rsidRPr="00152EEA">
        <w:rPr>
          <w:rFonts w:cs="Arial"/>
          <w:bCs/>
          <w:color w:val="000000"/>
          <w:sz w:val="24"/>
        </w:rPr>
        <w:t xml:space="preserve"> el destino final es </w:t>
      </w:r>
      <w:proofErr w:type="spellStart"/>
      <w:r w:rsidR="002F578B" w:rsidRPr="00152EEA">
        <w:rPr>
          <w:rFonts w:cs="Arial"/>
          <w:bCs/>
          <w:color w:val="000000"/>
          <w:sz w:val="24"/>
        </w:rPr>
        <w:t>Resiter</w:t>
      </w:r>
      <w:proofErr w:type="spellEnd"/>
      <w:r>
        <w:rPr>
          <w:rFonts w:cs="Arial"/>
          <w:bCs/>
          <w:color w:val="000000"/>
          <w:sz w:val="24"/>
        </w:rPr>
        <w:t xml:space="preserve">, </w:t>
      </w:r>
      <w:r w:rsidR="002F578B" w:rsidRPr="00152EEA">
        <w:rPr>
          <w:rFonts w:cs="Arial"/>
          <w:bCs/>
          <w:color w:val="000000"/>
          <w:sz w:val="24"/>
        </w:rPr>
        <w:t xml:space="preserve">seguido del vertedero Ismael Ojeda y </w:t>
      </w:r>
      <w:proofErr w:type="spellStart"/>
      <w:proofErr w:type="gramStart"/>
      <w:r w:rsidR="002F578B" w:rsidRPr="00152EEA">
        <w:rPr>
          <w:rFonts w:cs="Arial"/>
          <w:bCs/>
          <w:color w:val="000000"/>
          <w:sz w:val="24"/>
        </w:rPr>
        <w:t>Sorepa</w:t>
      </w:r>
      <w:proofErr w:type="spellEnd"/>
      <w:r w:rsidR="007361FA" w:rsidRPr="00152EEA">
        <w:rPr>
          <w:rFonts w:cs="Arial"/>
          <w:bCs/>
          <w:color w:val="000000"/>
          <w:sz w:val="24"/>
        </w:rPr>
        <w:t xml:space="preserve"> </w:t>
      </w:r>
      <w:r w:rsidR="004633B8">
        <w:rPr>
          <w:rFonts w:cs="Arial"/>
          <w:bCs/>
          <w:color w:val="000000"/>
          <w:sz w:val="24"/>
        </w:rPr>
        <w:t>.</w:t>
      </w:r>
      <w:proofErr w:type="gramEnd"/>
      <w:r w:rsidR="004633B8">
        <w:rPr>
          <w:rFonts w:cs="Arial"/>
          <w:bCs/>
          <w:color w:val="000000"/>
          <w:sz w:val="24"/>
        </w:rPr>
        <w:t xml:space="preserve"> </w:t>
      </w:r>
      <w:r>
        <w:rPr>
          <w:rFonts w:cs="Arial"/>
          <w:bCs/>
          <w:color w:val="000000"/>
          <w:sz w:val="24"/>
        </w:rPr>
        <w:t>Luego destacan  las empresas</w:t>
      </w:r>
      <w:r w:rsidR="004633B8">
        <w:rPr>
          <w:rFonts w:cs="Arial"/>
          <w:bCs/>
          <w:color w:val="000000"/>
          <w:sz w:val="24"/>
        </w:rPr>
        <w:t xml:space="preserve"> </w:t>
      </w:r>
      <w:r w:rsidR="0016461A">
        <w:rPr>
          <w:rFonts w:cs="Arial"/>
          <w:bCs/>
          <w:color w:val="000000"/>
          <w:sz w:val="24"/>
        </w:rPr>
        <w:t>Chil</w:t>
      </w:r>
      <w:r>
        <w:rPr>
          <w:rFonts w:cs="Arial"/>
          <w:bCs/>
          <w:color w:val="000000"/>
          <w:sz w:val="24"/>
        </w:rPr>
        <w:t>oé</w:t>
      </w:r>
      <w:r w:rsidR="0016461A">
        <w:rPr>
          <w:rFonts w:cs="Arial"/>
          <w:bCs/>
          <w:color w:val="000000"/>
          <w:sz w:val="24"/>
        </w:rPr>
        <w:t xml:space="preserve"> </w:t>
      </w:r>
      <w:proofErr w:type="spellStart"/>
      <w:r>
        <w:rPr>
          <w:rFonts w:cs="Arial"/>
          <w:bCs/>
          <w:color w:val="000000"/>
          <w:sz w:val="24"/>
        </w:rPr>
        <w:t>P</w:t>
      </w:r>
      <w:r w:rsidR="0016461A">
        <w:rPr>
          <w:rFonts w:cs="Arial"/>
          <w:bCs/>
          <w:color w:val="000000"/>
          <w:sz w:val="24"/>
        </w:rPr>
        <w:t>rotein</w:t>
      </w:r>
      <w:proofErr w:type="spellEnd"/>
      <w:r w:rsidR="0016461A">
        <w:rPr>
          <w:rFonts w:cs="Arial"/>
          <w:bCs/>
          <w:color w:val="000000"/>
          <w:sz w:val="24"/>
        </w:rPr>
        <w:t xml:space="preserve"> </w:t>
      </w:r>
      <w:proofErr w:type="spellStart"/>
      <w:r w:rsidR="0016461A">
        <w:rPr>
          <w:rFonts w:cs="Arial"/>
          <w:bCs/>
          <w:color w:val="000000"/>
          <w:sz w:val="24"/>
        </w:rPr>
        <w:t>SpA</w:t>
      </w:r>
      <w:proofErr w:type="spellEnd"/>
      <w:r w:rsidR="0016461A">
        <w:rPr>
          <w:rFonts w:cs="Arial"/>
          <w:bCs/>
          <w:color w:val="000000"/>
          <w:sz w:val="24"/>
        </w:rPr>
        <w:t xml:space="preserve">., Carlos Trujillo, </w:t>
      </w:r>
      <w:proofErr w:type="spellStart"/>
      <w:r w:rsidR="0016461A">
        <w:rPr>
          <w:rFonts w:cs="Arial"/>
          <w:bCs/>
          <w:color w:val="000000"/>
          <w:sz w:val="24"/>
        </w:rPr>
        <w:t>Ecofibras</w:t>
      </w:r>
      <w:proofErr w:type="spellEnd"/>
      <w:r w:rsidR="0016461A">
        <w:rPr>
          <w:rFonts w:cs="Arial"/>
          <w:bCs/>
          <w:color w:val="000000"/>
          <w:sz w:val="24"/>
        </w:rPr>
        <w:t xml:space="preserve">, </w:t>
      </w:r>
      <w:proofErr w:type="spellStart"/>
      <w:r w:rsidR="0016461A" w:rsidRPr="00152EEA">
        <w:rPr>
          <w:rFonts w:cs="Arial"/>
          <w:bCs/>
          <w:color w:val="000000"/>
          <w:sz w:val="24"/>
        </w:rPr>
        <w:t>Hidronor</w:t>
      </w:r>
      <w:proofErr w:type="spellEnd"/>
      <w:r w:rsidR="0016461A" w:rsidRPr="00152EEA">
        <w:rPr>
          <w:rFonts w:cs="Arial"/>
          <w:bCs/>
          <w:color w:val="000000"/>
          <w:sz w:val="24"/>
        </w:rPr>
        <w:t xml:space="preserve"> Chile S.A.</w:t>
      </w:r>
      <w:r w:rsidR="0016461A">
        <w:rPr>
          <w:rFonts w:cs="Arial"/>
          <w:bCs/>
          <w:color w:val="000000"/>
          <w:sz w:val="24"/>
        </w:rPr>
        <w:t xml:space="preserve">, </w:t>
      </w:r>
      <w:r w:rsidR="004633B8">
        <w:rPr>
          <w:rFonts w:cs="Arial"/>
          <w:bCs/>
          <w:color w:val="000000"/>
          <w:sz w:val="24"/>
        </w:rPr>
        <w:t xml:space="preserve">vertedero  </w:t>
      </w:r>
      <w:proofErr w:type="spellStart"/>
      <w:r w:rsidR="004633B8">
        <w:rPr>
          <w:rFonts w:cs="Arial"/>
          <w:bCs/>
          <w:color w:val="000000"/>
          <w:sz w:val="24"/>
        </w:rPr>
        <w:t>Dalcahue</w:t>
      </w:r>
      <w:proofErr w:type="spellEnd"/>
      <w:r w:rsidR="004633B8">
        <w:rPr>
          <w:rFonts w:cs="Arial"/>
          <w:bCs/>
          <w:color w:val="000000"/>
          <w:sz w:val="24"/>
        </w:rPr>
        <w:t xml:space="preserve">, </w:t>
      </w:r>
      <w:r w:rsidR="0016461A">
        <w:rPr>
          <w:rFonts w:cs="Arial"/>
          <w:bCs/>
          <w:color w:val="000000"/>
          <w:sz w:val="24"/>
        </w:rPr>
        <w:t>DRL y</w:t>
      </w:r>
      <w:r w:rsidR="0016461A" w:rsidRPr="00152EEA">
        <w:rPr>
          <w:rFonts w:cs="Arial"/>
          <w:bCs/>
          <w:color w:val="000000"/>
          <w:sz w:val="24"/>
        </w:rPr>
        <w:t xml:space="preserve"> </w:t>
      </w:r>
      <w:r w:rsidR="0016461A">
        <w:rPr>
          <w:rFonts w:cs="Arial"/>
          <w:bCs/>
          <w:color w:val="000000"/>
          <w:sz w:val="24"/>
        </w:rPr>
        <w:t xml:space="preserve"> </w:t>
      </w:r>
      <w:r>
        <w:rPr>
          <w:rFonts w:cs="Arial"/>
          <w:bCs/>
          <w:color w:val="000000"/>
          <w:sz w:val="24"/>
        </w:rPr>
        <w:t>l</w:t>
      </w:r>
      <w:r w:rsidR="0016461A">
        <w:rPr>
          <w:rFonts w:cs="Arial"/>
          <w:bCs/>
          <w:color w:val="000000"/>
          <w:sz w:val="24"/>
        </w:rPr>
        <w:t xml:space="preserve">impieza de fosas y retiro de basuras </w:t>
      </w:r>
      <w:proofErr w:type="spellStart"/>
      <w:r w:rsidR="0016461A">
        <w:rPr>
          <w:rFonts w:cs="Arial"/>
          <w:bCs/>
          <w:color w:val="000000"/>
          <w:sz w:val="24"/>
        </w:rPr>
        <w:t>Limfos</w:t>
      </w:r>
      <w:proofErr w:type="spellEnd"/>
      <w:r w:rsidR="0016461A">
        <w:rPr>
          <w:rFonts w:cs="Arial"/>
          <w:bCs/>
          <w:color w:val="000000"/>
          <w:sz w:val="24"/>
        </w:rPr>
        <w:t xml:space="preserve"> (</w:t>
      </w:r>
      <w:proofErr w:type="spellStart"/>
      <w:r w:rsidR="0016461A">
        <w:rPr>
          <w:rFonts w:cs="Arial"/>
          <w:bCs/>
          <w:color w:val="000000"/>
          <w:sz w:val="24"/>
        </w:rPr>
        <w:t>Limfos</w:t>
      </w:r>
      <w:proofErr w:type="spellEnd"/>
      <w:r w:rsidR="0016461A">
        <w:rPr>
          <w:rFonts w:cs="Arial"/>
          <w:bCs/>
          <w:color w:val="000000"/>
          <w:sz w:val="24"/>
        </w:rPr>
        <w:t>/</w:t>
      </w:r>
      <w:proofErr w:type="spellStart"/>
      <w:r w:rsidR="0016461A">
        <w:rPr>
          <w:rFonts w:cs="Arial"/>
          <w:bCs/>
          <w:color w:val="000000"/>
          <w:sz w:val="24"/>
        </w:rPr>
        <w:t>Dicham</w:t>
      </w:r>
      <w:proofErr w:type="spellEnd"/>
      <w:r w:rsidR="0016461A">
        <w:rPr>
          <w:rFonts w:cs="Arial"/>
          <w:bCs/>
          <w:color w:val="000000"/>
          <w:sz w:val="24"/>
        </w:rPr>
        <w:t>)</w:t>
      </w:r>
      <w:r w:rsidR="004633B8">
        <w:rPr>
          <w:rFonts w:cs="Arial"/>
          <w:bCs/>
          <w:color w:val="000000"/>
          <w:sz w:val="24"/>
        </w:rPr>
        <w:t>.</w:t>
      </w:r>
      <w:r w:rsidR="00EC6BF8" w:rsidRPr="00152EEA">
        <w:rPr>
          <w:rFonts w:cs="Arial"/>
          <w:bCs/>
          <w:color w:val="000000"/>
          <w:sz w:val="24"/>
        </w:rPr>
        <w:t xml:space="preserve"> (Figura 1</w:t>
      </w:r>
      <w:r w:rsidR="00FB5D96">
        <w:rPr>
          <w:rFonts w:cs="Arial"/>
          <w:bCs/>
          <w:color w:val="000000"/>
          <w:sz w:val="24"/>
        </w:rPr>
        <w:t>9</w:t>
      </w:r>
      <w:r w:rsidR="007361FA" w:rsidRPr="00152EEA">
        <w:rPr>
          <w:rFonts w:cs="Arial"/>
          <w:bCs/>
          <w:color w:val="000000"/>
          <w:sz w:val="24"/>
        </w:rPr>
        <w:t>).</w:t>
      </w:r>
    </w:p>
    <w:p w14:paraId="7E5DDD37" w14:textId="77777777" w:rsidR="00046BBD" w:rsidRDefault="00046BBD" w:rsidP="00CE62F9">
      <w:pPr>
        <w:pStyle w:val="Encabezado"/>
        <w:spacing w:before="240" w:line="276" w:lineRule="auto"/>
        <w:jc w:val="both"/>
        <w:rPr>
          <w:rFonts w:cs="Arial"/>
          <w:bCs/>
          <w:color w:val="000000"/>
          <w:sz w:val="24"/>
        </w:rPr>
      </w:pPr>
    </w:p>
    <w:p w14:paraId="24C74D47" w14:textId="60FE88DD" w:rsidR="00197DDA" w:rsidRDefault="007361FA" w:rsidP="00CE62F9">
      <w:pPr>
        <w:spacing w:before="240"/>
        <w:rPr>
          <w:rFonts w:cs="Arial"/>
          <w:bCs/>
          <w:color w:val="000000"/>
          <w:sz w:val="24"/>
        </w:rPr>
      </w:pPr>
      <w:r>
        <w:rPr>
          <w:noProof/>
          <w:lang w:val="es-CL" w:eastAsia="es-CL"/>
        </w:rPr>
        <w:drawing>
          <wp:anchor distT="0" distB="0" distL="114300" distR="114300" simplePos="0" relativeHeight="251713536" behindDoc="0" locked="0" layoutInCell="1" allowOverlap="1" wp14:anchorId="5FDCC224" wp14:editId="3310C50F">
            <wp:simplePos x="0" y="0"/>
            <wp:positionH relativeFrom="column">
              <wp:align>left</wp:align>
            </wp:positionH>
            <wp:positionV relativeFrom="paragraph">
              <wp:align>top</wp:align>
            </wp:positionV>
            <wp:extent cx="4810125" cy="2933700"/>
            <wp:effectExtent l="0" t="0" r="9525" b="0"/>
            <wp:wrapSquare wrapText="bothSides"/>
            <wp:docPr id="6" name="Chart 6">
              <a:extLst xmlns:a="http://schemas.openxmlformats.org/drawingml/2006/main">
                <a:ext uri="{FF2B5EF4-FFF2-40B4-BE49-F238E27FC236}">
                  <a16:creationId xmlns:w15="http://schemas.microsoft.com/office/word/2012/wordml"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CA3B31D-B5FF-4CA5-A2AE-5C9FAF9F5428}"/>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6" name="Chart 6">
                      <a:extLst>
                        <a:ext uri="{FF2B5EF4-FFF2-40B4-BE49-F238E27FC236}">
                          <a16:creationId xmlns:w15="http://schemas.microsoft.com/office/word/2012/wordml"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CA3B31D-B5FF-4CA5-A2AE-5C9FAF9F5428}"/>
                        </a:ext>
                      </a:extLst>
                    </pic:cNvPr>
                    <pic:cNvPicPr>
                      <a:picLocks noGrp="1" noRot="1" noChangeAspect="1" noMove="1" noResize="1" noEditPoints="1" noAdjustHandles="1" noChangeArrowheads="1" noChangeShapeType="1"/>
                    </pic:cNvPicPr>
                  </pic:nvPicPr>
                  <pic:blipFill>
                    <a:blip r:embed="rId49">
                      <a:extLst>
                        <a:ext uri="{28A0092B-C50C-407E-A947-70E740481C1C}">
                          <a14:useLocalDpi xmlns:a14="http://schemas.microsoft.com/office/drawing/2010/main" val="0"/>
                        </a:ext>
                      </a:extLst>
                    </a:blip>
                    <a:stretch>
                      <a:fillRect/>
                    </a:stretch>
                  </pic:blipFill>
                  <pic:spPr>
                    <a:xfrm>
                      <a:off x="0" y="0"/>
                      <a:ext cx="4810125" cy="2933700"/>
                    </a:xfrm>
                    <a:prstGeom prst="rect">
                      <a:avLst/>
                    </a:prstGeom>
                  </pic:spPr>
                </pic:pic>
              </a:graphicData>
            </a:graphic>
          </wp:anchor>
        </w:drawing>
      </w:r>
      <w:r>
        <w:rPr>
          <w:b/>
        </w:rPr>
        <w:br w:type="textWrapping" w:clear="all"/>
      </w:r>
      <w:r>
        <w:rPr>
          <w:rFonts w:cs="Arial"/>
          <w:b/>
          <w:bCs/>
          <w:color w:val="000000"/>
          <w:sz w:val="24"/>
        </w:rPr>
        <w:t>F</w:t>
      </w:r>
      <w:r w:rsidR="007F6A01" w:rsidRPr="007F6A01">
        <w:rPr>
          <w:rFonts w:cs="Arial"/>
          <w:b/>
          <w:bCs/>
          <w:color w:val="000000"/>
          <w:sz w:val="24"/>
        </w:rPr>
        <w:t xml:space="preserve">igura </w:t>
      </w:r>
      <w:r w:rsidR="00EC6BF8">
        <w:rPr>
          <w:rFonts w:cs="Arial"/>
          <w:b/>
          <w:bCs/>
          <w:color w:val="000000"/>
          <w:sz w:val="24"/>
        </w:rPr>
        <w:t>1</w:t>
      </w:r>
      <w:r w:rsidR="00FB5D96">
        <w:rPr>
          <w:rFonts w:cs="Arial"/>
          <w:b/>
          <w:bCs/>
          <w:color w:val="000000"/>
          <w:sz w:val="24"/>
        </w:rPr>
        <w:t>9</w:t>
      </w:r>
      <w:r w:rsidR="007F6A01" w:rsidRPr="007F6A01">
        <w:rPr>
          <w:rFonts w:cs="Arial"/>
          <w:b/>
          <w:bCs/>
          <w:color w:val="000000"/>
          <w:sz w:val="24"/>
        </w:rPr>
        <w:t>.</w:t>
      </w:r>
      <w:r w:rsidR="007F6A01">
        <w:rPr>
          <w:rFonts w:cs="Arial"/>
          <w:bCs/>
          <w:color w:val="000000"/>
          <w:sz w:val="24"/>
        </w:rPr>
        <w:t xml:space="preserve"> Disposición de Residuos Sólidos </w:t>
      </w:r>
    </w:p>
    <w:p w14:paraId="3BD64B9C" w14:textId="5F638EC2" w:rsidR="0037632E" w:rsidRDefault="00B96E3F" w:rsidP="00CE62F9">
      <w:pPr>
        <w:pStyle w:val="Encabezado"/>
        <w:spacing w:before="240" w:line="276" w:lineRule="auto"/>
        <w:jc w:val="both"/>
        <w:rPr>
          <w:rFonts w:cs="Arial"/>
          <w:bCs/>
          <w:color w:val="000000"/>
          <w:sz w:val="24"/>
        </w:rPr>
      </w:pPr>
      <w:r w:rsidRPr="004633B8">
        <w:rPr>
          <w:rFonts w:cs="Arial"/>
          <w:bCs/>
          <w:color w:val="000000"/>
          <w:sz w:val="24"/>
        </w:rPr>
        <w:t>El volumen total de resid</w:t>
      </w:r>
      <w:r w:rsidR="004633B8" w:rsidRPr="004633B8">
        <w:rPr>
          <w:rFonts w:cs="Arial"/>
          <w:bCs/>
          <w:color w:val="000000"/>
          <w:sz w:val="24"/>
        </w:rPr>
        <w:t>uos sólidos generados por las empresas encuestadas</w:t>
      </w:r>
      <w:r w:rsidRPr="004633B8">
        <w:rPr>
          <w:rFonts w:cs="Arial"/>
          <w:bCs/>
          <w:color w:val="000000"/>
          <w:sz w:val="24"/>
        </w:rPr>
        <w:t xml:space="preserve"> es de 84.811 </w:t>
      </w:r>
      <w:r w:rsidR="004633B8" w:rsidRPr="004633B8">
        <w:rPr>
          <w:rFonts w:cs="Arial"/>
          <w:bCs/>
          <w:color w:val="000000"/>
          <w:sz w:val="24"/>
        </w:rPr>
        <w:t>(</w:t>
      </w:r>
      <w:r w:rsidRPr="004633B8">
        <w:rPr>
          <w:rFonts w:cs="Arial"/>
          <w:bCs/>
          <w:color w:val="000000"/>
          <w:sz w:val="24"/>
        </w:rPr>
        <w:t>M</w:t>
      </w:r>
      <w:r w:rsidRPr="004633B8">
        <w:rPr>
          <w:rFonts w:cs="Arial"/>
          <w:bCs/>
          <w:color w:val="000000"/>
          <w:sz w:val="24"/>
          <w:vertAlign w:val="superscript"/>
        </w:rPr>
        <w:t>3</w:t>
      </w:r>
      <w:r w:rsidR="004633B8" w:rsidRPr="004633B8">
        <w:rPr>
          <w:rFonts w:cs="Arial"/>
          <w:bCs/>
          <w:color w:val="000000"/>
          <w:sz w:val="24"/>
        </w:rPr>
        <w:t xml:space="preserve">), </w:t>
      </w:r>
      <w:r w:rsidRPr="004633B8">
        <w:rPr>
          <w:rFonts w:cs="Arial"/>
          <w:bCs/>
          <w:color w:val="000000"/>
          <w:sz w:val="24"/>
        </w:rPr>
        <w:t>y</w:t>
      </w:r>
      <w:r w:rsidR="00FB5D96">
        <w:rPr>
          <w:rFonts w:cs="Arial"/>
          <w:bCs/>
          <w:color w:val="000000"/>
          <w:sz w:val="24"/>
        </w:rPr>
        <w:t xml:space="preserve"> </w:t>
      </w:r>
      <w:r w:rsidR="004633B8" w:rsidRPr="004633B8">
        <w:rPr>
          <w:rFonts w:cs="Arial"/>
          <w:bCs/>
          <w:color w:val="000000"/>
          <w:sz w:val="24"/>
        </w:rPr>
        <w:t>10.601</w:t>
      </w:r>
      <w:r w:rsidR="00FB5D96">
        <w:rPr>
          <w:rFonts w:cs="Arial"/>
          <w:bCs/>
          <w:color w:val="000000"/>
          <w:sz w:val="24"/>
        </w:rPr>
        <w:t xml:space="preserve"> </w:t>
      </w:r>
      <w:r w:rsidR="004633B8" w:rsidRPr="004633B8">
        <w:rPr>
          <w:rFonts w:cs="Arial"/>
          <w:bCs/>
          <w:color w:val="000000"/>
          <w:sz w:val="24"/>
        </w:rPr>
        <w:t>(M</w:t>
      </w:r>
      <w:r w:rsidR="004633B8" w:rsidRPr="004633B8">
        <w:rPr>
          <w:rFonts w:cs="Arial"/>
          <w:bCs/>
          <w:color w:val="000000"/>
          <w:sz w:val="24"/>
          <w:vertAlign w:val="superscript"/>
        </w:rPr>
        <w:t>3</w:t>
      </w:r>
      <w:r w:rsidR="004633B8" w:rsidRPr="004633B8">
        <w:rPr>
          <w:rFonts w:cs="Arial"/>
          <w:bCs/>
          <w:color w:val="000000"/>
          <w:sz w:val="24"/>
        </w:rPr>
        <w:t xml:space="preserve">) </w:t>
      </w:r>
      <w:r w:rsidRPr="004633B8">
        <w:rPr>
          <w:rFonts w:cs="Arial"/>
          <w:bCs/>
          <w:color w:val="000000"/>
          <w:sz w:val="24"/>
        </w:rPr>
        <w:t>en promedio</w:t>
      </w:r>
      <w:r w:rsidR="004633B8" w:rsidRPr="004633B8">
        <w:rPr>
          <w:rFonts w:cs="Arial"/>
          <w:bCs/>
          <w:color w:val="000000"/>
          <w:sz w:val="24"/>
        </w:rPr>
        <w:t xml:space="preserve"> </w:t>
      </w:r>
      <w:r w:rsidR="007C2A2A" w:rsidRPr="004633B8">
        <w:rPr>
          <w:rFonts w:cs="Arial"/>
          <w:bCs/>
          <w:color w:val="000000"/>
          <w:sz w:val="24"/>
        </w:rPr>
        <w:t xml:space="preserve">(Figura </w:t>
      </w:r>
      <w:r w:rsidR="00FB5D96">
        <w:rPr>
          <w:rFonts w:cs="Arial"/>
          <w:bCs/>
          <w:color w:val="000000"/>
          <w:sz w:val="24"/>
        </w:rPr>
        <w:t>20</w:t>
      </w:r>
      <w:r w:rsidRPr="004633B8">
        <w:rPr>
          <w:rFonts w:cs="Arial"/>
          <w:bCs/>
          <w:color w:val="000000"/>
          <w:sz w:val="24"/>
        </w:rPr>
        <w:t>).</w:t>
      </w:r>
    </w:p>
    <w:p w14:paraId="4285FBAD" w14:textId="5A6313A5" w:rsidR="00197DDA" w:rsidRDefault="00B96E3F" w:rsidP="00C63279">
      <w:pPr>
        <w:pStyle w:val="Encabezado"/>
        <w:spacing w:before="240"/>
        <w:rPr>
          <w:highlight w:val="yellow"/>
          <w:lang w:eastAsia="es-CL"/>
        </w:rPr>
      </w:pPr>
      <w:r>
        <w:rPr>
          <w:noProof/>
          <w:lang w:val="es-CL" w:eastAsia="es-CL"/>
        </w:rPr>
        <w:lastRenderedPageBreak/>
        <w:drawing>
          <wp:inline distT="0" distB="0" distL="0" distR="0" wp14:anchorId="25F58665" wp14:editId="05B516D9">
            <wp:extent cx="3713259" cy="1995778"/>
            <wp:effectExtent l="0" t="0" r="20955" b="24130"/>
            <wp:docPr id="464" name="Gráfico 464"/>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19A997C5" w14:textId="4BDC969D" w:rsidR="00E35AA3" w:rsidRDefault="00B96E3F" w:rsidP="009D6C1D">
      <w:pPr>
        <w:pStyle w:val="Encabezado"/>
        <w:rPr>
          <w:rFonts w:cs="Arial"/>
          <w:bCs/>
          <w:color w:val="000000"/>
          <w:sz w:val="24"/>
        </w:rPr>
      </w:pPr>
      <w:r>
        <w:rPr>
          <w:rFonts w:cs="Arial"/>
          <w:b/>
          <w:bCs/>
          <w:color w:val="000000"/>
          <w:sz w:val="24"/>
        </w:rPr>
        <w:t>F</w:t>
      </w:r>
      <w:r w:rsidRPr="007F6A01">
        <w:rPr>
          <w:rFonts w:cs="Arial"/>
          <w:b/>
          <w:bCs/>
          <w:color w:val="000000"/>
          <w:sz w:val="24"/>
        </w:rPr>
        <w:t xml:space="preserve">igura </w:t>
      </w:r>
      <w:r w:rsidR="00FB5D96">
        <w:rPr>
          <w:rFonts w:cs="Arial"/>
          <w:b/>
          <w:bCs/>
          <w:color w:val="000000"/>
          <w:sz w:val="24"/>
        </w:rPr>
        <w:t>20</w:t>
      </w:r>
      <w:r w:rsidRPr="007F6A01">
        <w:rPr>
          <w:rFonts w:cs="Arial"/>
          <w:b/>
          <w:bCs/>
          <w:color w:val="000000"/>
          <w:sz w:val="24"/>
        </w:rPr>
        <w:t>.</w:t>
      </w:r>
      <w:r w:rsidR="008647B6">
        <w:rPr>
          <w:rFonts w:cs="Arial"/>
          <w:b/>
          <w:bCs/>
          <w:color w:val="000000"/>
          <w:sz w:val="24"/>
        </w:rPr>
        <w:t xml:space="preserve"> </w:t>
      </w:r>
      <w:r>
        <w:rPr>
          <w:rFonts w:cs="Arial"/>
          <w:bCs/>
          <w:color w:val="000000"/>
          <w:sz w:val="24"/>
        </w:rPr>
        <w:t>Residuos Sólidos generados por las plantas de proceso</w:t>
      </w:r>
      <w:r w:rsidR="0037632E">
        <w:rPr>
          <w:rFonts w:cs="Arial"/>
          <w:bCs/>
          <w:color w:val="000000"/>
          <w:sz w:val="24"/>
        </w:rPr>
        <w:t>.</w:t>
      </w:r>
    </w:p>
    <w:p w14:paraId="448CCCD0" w14:textId="77777777" w:rsidR="00724EA7" w:rsidRDefault="00724EA7" w:rsidP="009D6C1D">
      <w:pPr>
        <w:pStyle w:val="Encabezado"/>
        <w:rPr>
          <w:rFonts w:cs="Arial"/>
          <w:bCs/>
          <w:color w:val="000000"/>
          <w:sz w:val="24"/>
        </w:rPr>
      </w:pPr>
    </w:p>
    <w:p w14:paraId="689A0E38" w14:textId="77777777" w:rsidR="00724EA7" w:rsidRDefault="00724EA7" w:rsidP="009D6C1D">
      <w:pPr>
        <w:pStyle w:val="Encabezado"/>
        <w:rPr>
          <w:rFonts w:cs="Arial"/>
          <w:bCs/>
          <w:color w:val="000000"/>
          <w:sz w:val="24"/>
        </w:rPr>
      </w:pPr>
    </w:p>
    <w:p w14:paraId="03469671" w14:textId="6D7AB26F" w:rsidR="00F368AF" w:rsidRPr="00ED26C2" w:rsidRDefault="00F368AF" w:rsidP="00343562">
      <w:pPr>
        <w:pStyle w:val="Ttulo2"/>
        <w:rPr>
          <w:b w:val="0"/>
          <w:sz w:val="32"/>
          <w:szCs w:val="32"/>
        </w:rPr>
      </w:pPr>
      <w:bookmarkStart w:id="15" w:name="_Toc471999526"/>
      <w:r w:rsidRPr="00ED26C2">
        <w:rPr>
          <w:b w:val="0"/>
          <w:sz w:val="32"/>
          <w:szCs w:val="32"/>
        </w:rPr>
        <w:t>Conchillas</w:t>
      </w:r>
      <w:bookmarkEnd w:id="15"/>
    </w:p>
    <w:p w14:paraId="712C6E78" w14:textId="77777777" w:rsidR="00F368AF" w:rsidRPr="00D34DBD" w:rsidRDefault="00F368AF" w:rsidP="00CE62F9">
      <w:pPr>
        <w:pStyle w:val="Encabezado"/>
        <w:spacing w:before="240" w:line="276" w:lineRule="auto"/>
        <w:jc w:val="both"/>
        <w:rPr>
          <w:rFonts w:cs="Arial"/>
          <w:bCs/>
          <w:color w:val="000000"/>
          <w:sz w:val="24"/>
        </w:rPr>
      </w:pPr>
      <w:r w:rsidRPr="00D34DBD">
        <w:rPr>
          <w:rFonts w:cs="Arial"/>
          <w:bCs/>
          <w:color w:val="000000"/>
          <w:sz w:val="24"/>
        </w:rPr>
        <w:t xml:space="preserve">Como se señaló anteriormente, las conchillas son el segundo mayor volumen de residuo generado por las empresas, </w:t>
      </w:r>
      <w:r>
        <w:rPr>
          <w:rFonts w:cs="Arial"/>
          <w:bCs/>
          <w:color w:val="000000"/>
          <w:sz w:val="24"/>
        </w:rPr>
        <w:t xml:space="preserve">el que está </w:t>
      </w:r>
      <w:r w:rsidRPr="00D34DBD">
        <w:rPr>
          <w:rFonts w:cs="Arial"/>
          <w:bCs/>
          <w:color w:val="000000"/>
          <w:sz w:val="24"/>
        </w:rPr>
        <w:t>directamente relacionado con la cantidad de materia prima procesada y las líneas de elaboración de las empresas.</w:t>
      </w:r>
      <w:r>
        <w:rPr>
          <w:rFonts w:cs="Arial"/>
          <w:bCs/>
          <w:color w:val="000000"/>
          <w:sz w:val="24"/>
        </w:rPr>
        <w:t xml:space="preserve"> </w:t>
      </w:r>
    </w:p>
    <w:p w14:paraId="479F09B0" w14:textId="77777777" w:rsidR="00F368AF" w:rsidRPr="00D34DBD" w:rsidRDefault="00F368AF" w:rsidP="00CE62F9">
      <w:pPr>
        <w:pStyle w:val="Encabezado"/>
        <w:spacing w:before="240" w:line="276" w:lineRule="auto"/>
        <w:jc w:val="both"/>
        <w:rPr>
          <w:rFonts w:cs="Arial"/>
          <w:bCs/>
          <w:color w:val="000000"/>
          <w:sz w:val="24"/>
        </w:rPr>
      </w:pPr>
      <w:r>
        <w:rPr>
          <w:rFonts w:cs="Arial"/>
          <w:bCs/>
          <w:color w:val="000000"/>
          <w:sz w:val="24"/>
        </w:rPr>
        <w:t xml:space="preserve">Cuando a las empresas se </w:t>
      </w:r>
      <w:proofErr w:type="spellStart"/>
      <w:r>
        <w:rPr>
          <w:rFonts w:cs="Arial"/>
          <w:bCs/>
          <w:color w:val="000000"/>
          <w:sz w:val="24"/>
        </w:rPr>
        <w:t>se</w:t>
      </w:r>
      <w:proofErr w:type="spellEnd"/>
      <w:r>
        <w:rPr>
          <w:rFonts w:cs="Arial"/>
          <w:bCs/>
          <w:color w:val="000000"/>
          <w:sz w:val="24"/>
        </w:rPr>
        <w:t xml:space="preserve"> les consulta por</w:t>
      </w:r>
      <w:r w:rsidRPr="00D34DBD">
        <w:rPr>
          <w:rFonts w:cs="Arial"/>
          <w:bCs/>
          <w:color w:val="000000"/>
          <w:sz w:val="24"/>
        </w:rPr>
        <w:t xml:space="preserve"> el destino final de las conchillas, mencionan mayor número de veces a empresas de servicios externos como Cal Austral (63%), seguido de una empresa particular no identificada, </w:t>
      </w:r>
      <w:proofErr w:type="spellStart"/>
      <w:r w:rsidRPr="00D34DBD">
        <w:rPr>
          <w:rFonts w:cs="Arial"/>
          <w:bCs/>
          <w:color w:val="000000"/>
          <w:sz w:val="24"/>
        </w:rPr>
        <w:t>Resiter</w:t>
      </w:r>
      <w:proofErr w:type="spellEnd"/>
      <w:r w:rsidRPr="00D34DBD">
        <w:rPr>
          <w:rFonts w:cs="Arial"/>
          <w:bCs/>
          <w:color w:val="000000"/>
          <w:sz w:val="24"/>
        </w:rPr>
        <w:t xml:space="preserve"> y planta de</w:t>
      </w:r>
      <w:r>
        <w:rPr>
          <w:rFonts w:cs="Arial"/>
          <w:bCs/>
          <w:color w:val="000000"/>
          <w:sz w:val="24"/>
        </w:rPr>
        <w:t xml:space="preserve"> c</w:t>
      </w:r>
      <w:r w:rsidRPr="00D34DBD">
        <w:rPr>
          <w:rFonts w:cs="Arial"/>
          <w:bCs/>
          <w:color w:val="000000"/>
          <w:sz w:val="24"/>
        </w:rPr>
        <w:t xml:space="preserve">al propia (13%)(Figura 16). Los beneficios de tener una planta de Cal propia favorece la revalorización del residuo en forma interna, disminuyendo los gastos de transporte, servicio de retiro y disposición final de las conchillas, entre otros. </w:t>
      </w:r>
    </w:p>
    <w:p w14:paraId="2635978C" w14:textId="688AD8F4" w:rsidR="00F368AF" w:rsidRDefault="00F368AF" w:rsidP="008647B6">
      <w:pPr>
        <w:pStyle w:val="Encabezado"/>
        <w:spacing w:before="240" w:line="276" w:lineRule="auto"/>
        <w:jc w:val="both"/>
        <w:rPr>
          <w:rFonts w:cs="Arial"/>
          <w:bCs/>
          <w:color w:val="000000"/>
          <w:sz w:val="24"/>
        </w:rPr>
      </w:pPr>
      <w:r w:rsidRPr="00D34DBD">
        <w:rPr>
          <w:rFonts w:cs="Arial"/>
          <w:bCs/>
          <w:color w:val="000000"/>
          <w:sz w:val="24"/>
        </w:rPr>
        <w:t>Destacar que todas las plantas revalorizan el residuo de conchillas.</w:t>
      </w:r>
    </w:p>
    <w:p w14:paraId="71039399" w14:textId="77777777" w:rsidR="00F368AF" w:rsidRDefault="00F368AF" w:rsidP="00CE62F9">
      <w:pPr>
        <w:spacing w:before="240"/>
        <w:rPr>
          <w:rFonts w:cs="Arial"/>
          <w:b/>
          <w:bCs/>
          <w:color w:val="000000"/>
          <w:sz w:val="24"/>
        </w:rPr>
      </w:pPr>
      <w:r>
        <w:rPr>
          <w:noProof/>
          <w:lang w:val="es-CL" w:eastAsia="es-CL"/>
        </w:rPr>
        <w:lastRenderedPageBreak/>
        <w:drawing>
          <wp:inline distT="0" distB="0" distL="0" distR="0" wp14:anchorId="346938CE" wp14:editId="43B50476">
            <wp:extent cx="4772025" cy="2790825"/>
            <wp:effectExtent l="0" t="0" r="9525" b="9525"/>
            <wp:docPr id="448" name="Chart 7">
              <a:extLst xmlns:a="http://schemas.openxmlformats.org/drawingml/2006/main">
                <a:ext uri="{FF2B5EF4-FFF2-40B4-BE49-F238E27FC236}">
                  <a16:creationId xmlns:w15="http://schemas.microsoft.com/office/word/2012/wordml"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A026A73-1A48-489B-B172-B8653A6962F3}"/>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7" name="Chart 7">
                      <a:extLst>
                        <a:ext uri="{FF2B5EF4-FFF2-40B4-BE49-F238E27FC236}">
                          <a16:creationId xmlns:w15="http://schemas.microsoft.com/office/word/2012/wordml"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A026A73-1A48-489B-B172-B8653A6962F3}"/>
                        </a:ext>
                      </a:extLst>
                    </pic:cNvPr>
                    <pic:cNvPicPr>
                      <a:picLocks noGrp="1" noRot="1" noChangeAspect="1" noMove="1" noResize="1" noEditPoints="1" noAdjustHandles="1" noChangeArrowheads="1" noChangeShapeType="1"/>
                    </pic:cNvPicPr>
                  </pic:nvPicPr>
                  <pic:blipFill>
                    <a:blip r:embed="rId51"/>
                    <a:stretch>
                      <a:fillRect/>
                    </a:stretch>
                  </pic:blipFill>
                  <pic:spPr>
                    <a:xfrm>
                      <a:off x="0" y="0"/>
                      <a:ext cx="4772025" cy="2790825"/>
                    </a:xfrm>
                    <a:prstGeom prst="rect">
                      <a:avLst/>
                    </a:prstGeom>
                  </pic:spPr>
                </pic:pic>
              </a:graphicData>
            </a:graphic>
          </wp:inline>
        </w:drawing>
      </w:r>
    </w:p>
    <w:p w14:paraId="31424833" w14:textId="77777777" w:rsidR="00F368AF" w:rsidRPr="00EE1DB8" w:rsidRDefault="00F368AF" w:rsidP="009D6C1D">
      <w:pPr>
        <w:rPr>
          <w:b/>
        </w:rPr>
      </w:pPr>
      <w:r>
        <w:rPr>
          <w:rFonts w:cs="Arial"/>
          <w:b/>
          <w:bCs/>
          <w:color w:val="000000"/>
          <w:sz w:val="24"/>
        </w:rPr>
        <w:t>Figura 16</w:t>
      </w:r>
      <w:r w:rsidRPr="007E275F">
        <w:rPr>
          <w:rFonts w:cs="Arial"/>
          <w:b/>
          <w:bCs/>
          <w:color w:val="000000"/>
          <w:sz w:val="24"/>
        </w:rPr>
        <w:t>.</w:t>
      </w:r>
      <w:r>
        <w:rPr>
          <w:rFonts w:cs="Arial"/>
          <w:bCs/>
          <w:color w:val="000000"/>
          <w:sz w:val="24"/>
        </w:rPr>
        <w:t xml:space="preserve"> Destino final de Conchillas.</w:t>
      </w:r>
    </w:p>
    <w:p w14:paraId="4C45E5EE" w14:textId="77777777" w:rsidR="00F368AF" w:rsidRDefault="00F368AF" w:rsidP="00CE62F9">
      <w:pPr>
        <w:pStyle w:val="Encabezado"/>
        <w:spacing w:before="240" w:line="276" w:lineRule="auto"/>
        <w:jc w:val="both"/>
        <w:rPr>
          <w:rFonts w:cs="Arial"/>
          <w:bCs/>
          <w:color w:val="000000"/>
          <w:sz w:val="24"/>
        </w:rPr>
      </w:pPr>
      <w:r>
        <w:rPr>
          <w:rFonts w:cs="Arial"/>
          <w:bCs/>
          <w:color w:val="000000"/>
          <w:sz w:val="24"/>
        </w:rPr>
        <w:t xml:space="preserve">Considerando que, las conchas de los </w:t>
      </w:r>
      <w:proofErr w:type="spellStart"/>
      <w:r>
        <w:rPr>
          <w:rFonts w:cs="Arial"/>
          <w:bCs/>
          <w:color w:val="000000"/>
          <w:sz w:val="24"/>
        </w:rPr>
        <w:t>choritos</w:t>
      </w:r>
      <w:proofErr w:type="spellEnd"/>
      <w:r>
        <w:rPr>
          <w:rFonts w:cs="Arial"/>
          <w:bCs/>
          <w:color w:val="000000"/>
          <w:sz w:val="24"/>
        </w:rPr>
        <w:t xml:space="preserve"> representan el 33,33% de su peso, se puede estimar que el volumen total de conchillas generadas por la industria mitilicultora 2015 fue de alrededor de 94.324 ton (134.749 M3, para un factor de conversión de 0,7)), por consiguiente la materia prima utilizada por Cal Austral, de 28.000 toneladas de conchillas procesadas, representa el 27% de la conchilla generada en el sector. </w:t>
      </w:r>
    </w:p>
    <w:p w14:paraId="06F76003" w14:textId="77777777" w:rsidR="00F368AF" w:rsidRDefault="00F368AF" w:rsidP="00CE62F9">
      <w:pPr>
        <w:pStyle w:val="Encabezado"/>
        <w:spacing w:before="240" w:line="276" w:lineRule="auto"/>
        <w:jc w:val="both"/>
        <w:rPr>
          <w:rFonts w:cs="Arial"/>
          <w:bCs/>
          <w:color w:val="000000"/>
          <w:sz w:val="24"/>
        </w:rPr>
      </w:pPr>
      <w:r>
        <w:rPr>
          <w:rFonts w:cs="Arial"/>
          <w:bCs/>
          <w:color w:val="000000"/>
          <w:sz w:val="24"/>
        </w:rPr>
        <w:t>Por otra parte, señalar que la muestra diagnosticada declaró haber generado en el 2015, 92.509 M3 en total. Este resultado refleja que el promedio de conchillas generadas por cada planta de proceso fue de 13.216 (M</w:t>
      </w:r>
      <w:r w:rsidRPr="00E70D3C">
        <w:rPr>
          <w:rFonts w:cs="Arial"/>
          <w:bCs/>
          <w:color w:val="000000"/>
          <w:sz w:val="24"/>
          <w:vertAlign w:val="superscript"/>
        </w:rPr>
        <w:t>3</w:t>
      </w:r>
      <w:proofErr w:type="gramStart"/>
      <w:r w:rsidRPr="00B538EB">
        <w:rPr>
          <w:rFonts w:cs="Arial"/>
          <w:bCs/>
          <w:color w:val="000000"/>
          <w:sz w:val="24"/>
        </w:rPr>
        <w:t>)</w:t>
      </w:r>
      <w:r>
        <w:rPr>
          <w:rFonts w:cs="Arial"/>
          <w:bCs/>
          <w:color w:val="000000"/>
          <w:sz w:val="24"/>
        </w:rPr>
        <w:t>(</w:t>
      </w:r>
      <w:proofErr w:type="gramEnd"/>
      <w:r>
        <w:rPr>
          <w:rFonts w:cs="Arial"/>
          <w:bCs/>
          <w:color w:val="000000"/>
          <w:sz w:val="24"/>
        </w:rPr>
        <w:t>Figura 17).</w:t>
      </w:r>
    </w:p>
    <w:p w14:paraId="77D43FCB" w14:textId="77777777" w:rsidR="00F368AF" w:rsidRDefault="00F368AF" w:rsidP="008647B6">
      <w:pPr>
        <w:pStyle w:val="Encabezado"/>
        <w:spacing w:before="240"/>
        <w:rPr>
          <w:rFonts w:cs="Arial"/>
          <w:bCs/>
          <w:color w:val="000000"/>
          <w:sz w:val="24"/>
        </w:rPr>
      </w:pPr>
      <w:r>
        <w:rPr>
          <w:noProof/>
          <w:lang w:val="es-CL" w:eastAsia="es-CL"/>
        </w:rPr>
        <w:drawing>
          <wp:inline distT="0" distB="0" distL="0" distR="0" wp14:anchorId="1279039A" wp14:editId="478BF187">
            <wp:extent cx="3673502" cy="1733384"/>
            <wp:effectExtent l="0" t="0" r="22225" b="19685"/>
            <wp:docPr id="449" name="Gráfico 449"/>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14:paraId="6B1EB21A" w14:textId="24A04AFB" w:rsidR="00F368AF" w:rsidRDefault="00F368AF" w:rsidP="009D6C1D">
      <w:pPr>
        <w:pStyle w:val="Encabezado"/>
      </w:pPr>
      <w:r>
        <w:rPr>
          <w:rFonts w:cs="Arial"/>
          <w:b/>
          <w:bCs/>
          <w:color w:val="000000"/>
          <w:sz w:val="24"/>
        </w:rPr>
        <w:t>Figura 17</w:t>
      </w:r>
      <w:r w:rsidRPr="007E275F">
        <w:rPr>
          <w:rFonts w:cs="Arial"/>
          <w:b/>
          <w:bCs/>
          <w:color w:val="000000"/>
          <w:sz w:val="24"/>
        </w:rPr>
        <w:t>.</w:t>
      </w:r>
      <w:r>
        <w:rPr>
          <w:rFonts w:cs="Arial"/>
          <w:bCs/>
          <w:color w:val="000000"/>
          <w:sz w:val="24"/>
        </w:rPr>
        <w:t xml:space="preserve"> Volumen de conchilla (M</w:t>
      </w:r>
      <w:r w:rsidRPr="00E70D3C">
        <w:rPr>
          <w:rFonts w:cs="Arial"/>
          <w:bCs/>
          <w:color w:val="000000"/>
          <w:sz w:val="24"/>
          <w:vertAlign w:val="superscript"/>
        </w:rPr>
        <w:t>3</w:t>
      </w:r>
      <w:r w:rsidRPr="00B538EB">
        <w:rPr>
          <w:rFonts w:cs="Arial"/>
          <w:bCs/>
          <w:color w:val="000000"/>
          <w:sz w:val="24"/>
        </w:rPr>
        <w:t>)</w:t>
      </w:r>
      <w:r>
        <w:rPr>
          <w:rFonts w:cs="Arial"/>
          <w:bCs/>
          <w:color w:val="000000"/>
          <w:sz w:val="24"/>
        </w:rPr>
        <w:t>.</w:t>
      </w:r>
    </w:p>
    <w:p w14:paraId="679F5A48" w14:textId="77777777" w:rsidR="0026448D" w:rsidRDefault="0026448D" w:rsidP="00CE62F9">
      <w:pPr>
        <w:pStyle w:val="Encabezado"/>
        <w:spacing w:before="240"/>
      </w:pPr>
    </w:p>
    <w:p w14:paraId="2701856E" w14:textId="19112444" w:rsidR="001848D6" w:rsidRPr="00ED26C2" w:rsidRDefault="00160A84" w:rsidP="00343562">
      <w:pPr>
        <w:pStyle w:val="Ttulo2"/>
        <w:rPr>
          <w:b w:val="0"/>
          <w:sz w:val="32"/>
          <w:szCs w:val="32"/>
        </w:rPr>
      </w:pPr>
      <w:bookmarkStart w:id="16" w:name="_Toc471999527"/>
      <w:r w:rsidRPr="00ED26C2">
        <w:rPr>
          <w:b w:val="0"/>
          <w:sz w:val="32"/>
          <w:szCs w:val="32"/>
        </w:rPr>
        <w:lastRenderedPageBreak/>
        <w:t>Residuos Peligrosos</w:t>
      </w:r>
      <w:bookmarkEnd w:id="16"/>
    </w:p>
    <w:p w14:paraId="13D5343B" w14:textId="61611EAF" w:rsidR="00404256" w:rsidRPr="00152EEA" w:rsidRDefault="00D0102E" w:rsidP="00CE62F9">
      <w:pPr>
        <w:pStyle w:val="Encabezado"/>
        <w:spacing w:before="240" w:line="276" w:lineRule="auto"/>
        <w:jc w:val="both"/>
        <w:rPr>
          <w:rFonts w:cs="Arial"/>
          <w:bCs/>
          <w:color w:val="000000"/>
          <w:sz w:val="24"/>
        </w:rPr>
      </w:pPr>
      <w:r w:rsidRPr="00152EEA">
        <w:rPr>
          <w:rFonts w:cs="Arial"/>
          <w:bCs/>
          <w:color w:val="000000"/>
          <w:sz w:val="24"/>
        </w:rPr>
        <w:t>El D.S. Nº 148/20</w:t>
      </w:r>
      <w:r w:rsidR="00F14872" w:rsidRPr="00152EEA">
        <w:rPr>
          <w:rFonts w:cs="Arial"/>
          <w:bCs/>
          <w:color w:val="000000"/>
          <w:sz w:val="24"/>
        </w:rPr>
        <w:t>03, del Ministerio de Salud,</w:t>
      </w:r>
      <w:r w:rsidRPr="00152EEA">
        <w:rPr>
          <w:rFonts w:cs="Arial"/>
          <w:bCs/>
          <w:color w:val="000000"/>
          <w:sz w:val="24"/>
        </w:rPr>
        <w:t xml:space="preserve"> </w:t>
      </w:r>
      <w:r w:rsidR="007976EF" w:rsidRPr="00152EEA">
        <w:rPr>
          <w:rFonts w:cs="Arial"/>
          <w:bCs/>
          <w:color w:val="000000"/>
          <w:sz w:val="24"/>
        </w:rPr>
        <w:t>“E</w:t>
      </w:r>
      <w:r w:rsidRPr="00152EEA">
        <w:rPr>
          <w:rFonts w:cs="Arial"/>
          <w:bCs/>
          <w:color w:val="000000"/>
          <w:sz w:val="24"/>
        </w:rPr>
        <w:t>stablece Reglamento Sanitario sobre Manejo de Residuos Peligrosos</w:t>
      </w:r>
      <w:r w:rsidR="007976EF" w:rsidRPr="00152EEA">
        <w:rPr>
          <w:rFonts w:cs="Arial"/>
          <w:bCs/>
          <w:color w:val="000000"/>
          <w:sz w:val="24"/>
        </w:rPr>
        <w:t>”,</w:t>
      </w:r>
      <w:r w:rsidR="00801671" w:rsidRPr="00152EEA">
        <w:rPr>
          <w:rFonts w:cs="Arial"/>
          <w:bCs/>
          <w:color w:val="000000"/>
          <w:sz w:val="24"/>
        </w:rPr>
        <w:t xml:space="preserve"> señala que </w:t>
      </w:r>
      <w:r w:rsidR="007976EF" w:rsidRPr="00152EEA">
        <w:rPr>
          <w:rFonts w:cs="Arial"/>
          <w:bCs/>
          <w:color w:val="000000"/>
          <w:sz w:val="24"/>
        </w:rPr>
        <w:t>residuo</w:t>
      </w:r>
      <w:r w:rsidR="00F14872" w:rsidRPr="00152EEA">
        <w:rPr>
          <w:rFonts w:cs="Arial"/>
          <w:bCs/>
          <w:color w:val="000000"/>
          <w:sz w:val="24"/>
        </w:rPr>
        <w:t>s</w:t>
      </w:r>
      <w:r w:rsidR="007976EF" w:rsidRPr="00152EEA">
        <w:rPr>
          <w:rFonts w:cs="Arial"/>
          <w:bCs/>
          <w:color w:val="000000"/>
          <w:sz w:val="24"/>
        </w:rPr>
        <w:t xml:space="preserve"> peligroso</w:t>
      </w:r>
      <w:r w:rsidR="00F14872" w:rsidRPr="00152EEA">
        <w:rPr>
          <w:rFonts w:cs="Arial"/>
          <w:bCs/>
          <w:color w:val="000000"/>
          <w:sz w:val="24"/>
        </w:rPr>
        <w:t>s</w:t>
      </w:r>
      <w:r w:rsidR="007976EF" w:rsidRPr="00152EEA">
        <w:rPr>
          <w:rFonts w:cs="Arial"/>
          <w:bCs/>
          <w:color w:val="000000"/>
          <w:sz w:val="24"/>
        </w:rPr>
        <w:t xml:space="preserve"> </w:t>
      </w:r>
      <w:r w:rsidR="00801671" w:rsidRPr="00152EEA">
        <w:rPr>
          <w:rFonts w:cs="Arial"/>
          <w:bCs/>
          <w:color w:val="000000"/>
          <w:sz w:val="24"/>
        </w:rPr>
        <w:t>son aquellos que</w:t>
      </w:r>
      <w:r w:rsidR="007976EF" w:rsidRPr="00152EEA">
        <w:rPr>
          <w:rFonts w:cs="Arial"/>
          <w:bCs/>
          <w:color w:val="000000"/>
          <w:sz w:val="24"/>
        </w:rPr>
        <w:t xml:space="preserve"> presenta</w:t>
      </w:r>
      <w:r w:rsidR="00801671" w:rsidRPr="00152EEA">
        <w:rPr>
          <w:rFonts w:cs="Arial"/>
          <w:bCs/>
          <w:color w:val="000000"/>
          <w:sz w:val="24"/>
        </w:rPr>
        <w:t>n</w:t>
      </w:r>
      <w:r w:rsidR="007976EF" w:rsidRPr="00152EEA">
        <w:rPr>
          <w:rFonts w:cs="Arial"/>
          <w:bCs/>
          <w:color w:val="000000"/>
          <w:sz w:val="24"/>
        </w:rPr>
        <w:t xml:space="preserve"> riesgo para la salud pública y/o efectos adversos al medio ambiente, ya se</w:t>
      </w:r>
      <w:r w:rsidR="00F14872" w:rsidRPr="00152EEA">
        <w:rPr>
          <w:rFonts w:cs="Arial"/>
          <w:bCs/>
          <w:color w:val="000000"/>
          <w:sz w:val="24"/>
        </w:rPr>
        <w:t>a</w:t>
      </w:r>
      <w:r w:rsidR="007976EF" w:rsidRPr="00152EEA">
        <w:rPr>
          <w:rFonts w:cs="Arial"/>
          <w:bCs/>
          <w:color w:val="000000"/>
          <w:sz w:val="24"/>
        </w:rPr>
        <w:t xml:space="preserve"> directamente o previsto como consecuencia de presentar algunas de las características de toxicidades aguda, crónica y extrínseca; inflamabilidad, reactividad y </w:t>
      </w:r>
      <w:proofErr w:type="spellStart"/>
      <w:r w:rsidR="007976EF" w:rsidRPr="00152EEA">
        <w:rPr>
          <w:rFonts w:cs="Arial"/>
          <w:bCs/>
          <w:color w:val="000000"/>
          <w:sz w:val="24"/>
        </w:rPr>
        <w:t>corrosividad</w:t>
      </w:r>
      <w:proofErr w:type="spellEnd"/>
      <w:r w:rsidR="007976EF" w:rsidRPr="00152EEA">
        <w:rPr>
          <w:rFonts w:cs="Arial"/>
          <w:bCs/>
          <w:color w:val="000000"/>
          <w:sz w:val="24"/>
        </w:rPr>
        <w:t>. Bastará la presencia de una de estas características en un residuo para que sea calificado como residuo peligroso.</w:t>
      </w:r>
    </w:p>
    <w:p w14:paraId="020441A8" w14:textId="4B384153" w:rsidR="00234340" w:rsidRPr="00E65482" w:rsidRDefault="00F14872" w:rsidP="00CE62F9">
      <w:pPr>
        <w:pStyle w:val="Encabezado"/>
        <w:spacing w:before="240" w:line="276" w:lineRule="auto"/>
        <w:jc w:val="both"/>
        <w:rPr>
          <w:rFonts w:cs="Arial"/>
          <w:bCs/>
          <w:color w:val="000000"/>
          <w:sz w:val="24"/>
          <w:highlight w:val="magenta"/>
        </w:rPr>
      </w:pPr>
      <w:r w:rsidRPr="004633B8">
        <w:rPr>
          <w:rFonts w:cs="Arial"/>
          <w:bCs/>
          <w:color w:val="000000"/>
          <w:sz w:val="24"/>
        </w:rPr>
        <w:t>Las empresas identificaron l</w:t>
      </w:r>
      <w:r w:rsidR="001A4E98" w:rsidRPr="004633B8">
        <w:rPr>
          <w:rFonts w:cs="Arial"/>
          <w:bCs/>
          <w:color w:val="000000"/>
          <w:sz w:val="24"/>
        </w:rPr>
        <w:t>os</w:t>
      </w:r>
      <w:r w:rsidR="006E32F8" w:rsidRPr="004633B8">
        <w:rPr>
          <w:rFonts w:cs="Arial"/>
          <w:bCs/>
          <w:color w:val="000000"/>
          <w:sz w:val="24"/>
        </w:rPr>
        <w:t xml:space="preserve"> componentes </w:t>
      </w:r>
      <w:r w:rsidR="001A4E98" w:rsidRPr="004633B8">
        <w:rPr>
          <w:rFonts w:cs="Arial"/>
          <w:bCs/>
          <w:color w:val="000000"/>
          <w:sz w:val="24"/>
        </w:rPr>
        <w:t xml:space="preserve">de </w:t>
      </w:r>
      <w:r w:rsidRPr="004633B8">
        <w:rPr>
          <w:rFonts w:cs="Arial"/>
          <w:bCs/>
          <w:color w:val="000000"/>
          <w:sz w:val="24"/>
        </w:rPr>
        <w:t>sus</w:t>
      </w:r>
      <w:r w:rsidR="006E32F8" w:rsidRPr="004633B8">
        <w:rPr>
          <w:rFonts w:cs="Arial"/>
          <w:bCs/>
          <w:color w:val="000000"/>
          <w:sz w:val="24"/>
        </w:rPr>
        <w:t xml:space="preserve"> </w:t>
      </w:r>
      <w:r w:rsidR="0074263A" w:rsidRPr="004633B8">
        <w:rPr>
          <w:rFonts w:cs="Arial"/>
          <w:bCs/>
          <w:color w:val="000000"/>
          <w:sz w:val="24"/>
        </w:rPr>
        <w:t>residuos peligrosos. El residuo identificado y mencionado mayor número de veces por las empresas son</w:t>
      </w:r>
      <w:r w:rsidRPr="004633B8">
        <w:rPr>
          <w:rFonts w:cs="Arial"/>
          <w:bCs/>
          <w:color w:val="000000"/>
          <w:sz w:val="24"/>
        </w:rPr>
        <w:t xml:space="preserve"> </w:t>
      </w:r>
      <w:r w:rsidR="00801671" w:rsidRPr="004633B8">
        <w:rPr>
          <w:rFonts w:cs="Arial"/>
          <w:bCs/>
          <w:color w:val="000000"/>
          <w:sz w:val="24"/>
        </w:rPr>
        <w:t>aceites</w:t>
      </w:r>
      <w:r w:rsidRPr="004633B8">
        <w:rPr>
          <w:rFonts w:cs="Arial"/>
          <w:bCs/>
          <w:color w:val="000000"/>
          <w:sz w:val="24"/>
        </w:rPr>
        <w:t xml:space="preserve"> (75</w:t>
      </w:r>
      <w:r w:rsidR="00801671" w:rsidRPr="004633B8">
        <w:rPr>
          <w:rFonts w:cs="Arial"/>
          <w:bCs/>
          <w:color w:val="000000"/>
          <w:sz w:val="24"/>
        </w:rPr>
        <w:t>%</w:t>
      </w:r>
      <w:r w:rsidRPr="004633B8">
        <w:rPr>
          <w:rFonts w:cs="Arial"/>
          <w:bCs/>
          <w:color w:val="000000"/>
          <w:sz w:val="24"/>
        </w:rPr>
        <w:t xml:space="preserve">), </w:t>
      </w:r>
      <w:r w:rsidR="006E32F8" w:rsidRPr="004633B8">
        <w:rPr>
          <w:rFonts w:cs="Arial"/>
          <w:bCs/>
          <w:color w:val="000000"/>
          <w:sz w:val="24"/>
        </w:rPr>
        <w:t>seguido</w:t>
      </w:r>
      <w:r w:rsidRPr="004633B8">
        <w:rPr>
          <w:rFonts w:cs="Arial"/>
          <w:bCs/>
          <w:color w:val="000000"/>
          <w:sz w:val="24"/>
        </w:rPr>
        <w:t xml:space="preserve"> de</w:t>
      </w:r>
      <w:r w:rsidR="006E32F8" w:rsidRPr="004633B8">
        <w:rPr>
          <w:rFonts w:cs="Arial"/>
          <w:bCs/>
          <w:color w:val="000000"/>
          <w:sz w:val="24"/>
        </w:rPr>
        <w:t xml:space="preserve"> tubos fluorescentes</w:t>
      </w:r>
      <w:r w:rsidRPr="004633B8">
        <w:rPr>
          <w:rFonts w:cs="Arial"/>
          <w:bCs/>
          <w:color w:val="000000"/>
          <w:sz w:val="24"/>
        </w:rPr>
        <w:t xml:space="preserve">  y baterías (50%), a continuación paños, </w:t>
      </w:r>
      <w:r w:rsidR="0074263A" w:rsidRPr="004633B8">
        <w:rPr>
          <w:rFonts w:cs="Arial"/>
          <w:bCs/>
          <w:color w:val="000000"/>
          <w:sz w:val="24"/>
        </w:rPr>
        <w:t xml:space="preserve">pilas, </w:t>
      </w:r>
      <w:r w:rsidRPr="004633B8">
        <w:rPr>
          <w:rFonts w:cs="Arial"/>
          <w:bCs/>
          <w:color w:val="000000"/>
          <w:sz w:val="24"/>
        </w:rPr>
        <w:t xml:space="preserve">envases de pintura y diluyente (38%), </w:t>
      </w:r>
      <w:r w:rsidR="00801671" w:rsidRPr="004633B8">
        <w:rPr>
          <w:rFonts w:cs="Arial"/>
          <w:bCs/>
          <w:color w:val="000000"/>
          <w:sz w:val="24"/>
        </w:rPr>
        <w:t xml:space="preserve">finalmente </w:t>
      </w:r>
      <w:r w:rsidR="00234340" w:rsidRPr="004633B8">
        <w:rPr>
          <w:rFonts w:cs="Arial"/>
          <w:bCs/>
          <w:color w:val="000000"/>
          <w:sz w:val="24"/>
        </w:rPr>
        <w:t xml:space="preserve">los filtros y bombonas de refrigerantes </w:t>
      </w:r>
      <w:r w:rsidRPr="004633B8">
        <w:rPr>
          <w:rFonts w:cs="Arial"/>
          <w:bCs/>
          <w:color w:val="000000"/>
          <w:sz w:val="24"/>
        </w:rPr>
        <w:t>(25%)</w:t>
      </w:r>
      <w:r w:rsidR="0026448D" w:rsidRPr="004633B8">
        <w:rPr>
          <w:rFonts w:cs="Arial"/>
          <w:bCs/>
          <w:color w:val="000000"/>
          <w:sz w:val="24"/>
        </w:rPr>
        <w:t xml:space="preserve"> (Figura 2</w:t>
      </w:r>
      <w:r w:rsidR="00FB5D96">
        <w:rPr>
          <w:rFonts w:cs="Arial"/>
          <w:bCs/>
          <w:color w:val="000000"/>
          <w:sz w:val="24"/>
        </w:rPr>
        <w:t>1</w:t>
      </w:r>
      <w:r w:rsidR="00234340" w:rsidRPr="004633B8">
        <w:rPr>
          <w:rFonts w:cs="Arial"/>
          <w:bCs/>
          <w:color w:val="000000"/>
          <w:sz w:val="24"/>
        </w:rPr>
        <w:t>).</w:t>
      </w:r>
    </w:p>
    <w:p w14:paraId="52946C2D" w14:textId="093225EF" w:rsidR="00FB5D96" w:rsidRDefault="006E32F8" w:rsidP="009D6C1D">
      <w:pPr>
        <w:pStyle w:val="Encabezado"/>
        <w:spacing w:before="240"/>
        <w:jc w:val="both"/>
        <w:rPr>
          <w:rFonts w:cs="Arial"/>
          <w:bCs/>
          <w:color w:val="000000"/>
          <w:sz w:val="24"/>
        </w:rPr>
      </w:pPr>
      <w:r w:rsidRPr="001848D6">
        <w:rPr>
          <w:noProof/>
          <w:sz w:val="36"/>
          <w:lang w:val="es-CL" w:eastAsia="es-CL"/>
        </w:rPr>
        <w:drawing>
          <wp:inline distT="0" distB="0" distL="0" distR="0" wp14:anchorId="0F135705" wp14:editId="75E4C352">
            <wp:extent cx="5335326" cy="2970711"/>
            <wp:effectExtent l="0" t="0" r="0" b="0"/>
            <wp:docPr id="51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335278" cy="2970684"/>
                    </a:xfrm>
                    <a:prstGeom prst="rect">
                      <a:avLst/>
                    </a:prstGeom>
                    <a:noFill/>
                    <a:ln>
                      <a:noFill/>
                    </a:ln>
                    <a:effectLst/>
                    <a:extLst/>
                  </pic:spPr>
                </pic:pic>
              </a:graphicData>
            </a:graphic>
          </wp:inline>
        </w:drawing>
      </w:r>
      <w:r w:rsidR="00234340">
        <w:rPr>
          <w:rFonts w:cs="Arial"/>
          <w:b/>
          <w:bCs/>
          <w:color w:val="000000"/>
          <w:sz w:val="24"/>
        </w:rPr>
        <w:t>F</w:t>
      </w:r>
      <w:r w:rsidR="00234340" w:rsidRPr="007F6A01">
        <w:rPr>
          <w:rFonts w:cs="Arial"/>
          <w:b/>
          <w:bCs/>
          <w:color w:val="000000"/>
          <w:sz w:val="24"/>
        </w:rPr>
        <w:t xml:space="preserve">igura </w:t>
      </w:r>
      <w:r w:rsidR="0026448D">
        <w:rPr>
          <w:rFonts w:cs="Arial"/>
          <w:b/>
          <w:bCs/>
          <w:color w:val="000000"/>
          <w:sz w:val="24"/>
        </w:rPr>
        <w:t>2</w:t>
      </w:r>
      <w:r w:rsidR="00FB5D96">
        <w:rPr>
          <w:rFonts w:cs="Arial"/>
          <w:b/>
          <w:bCs/>
          <w:color w:val="000000"/>
          <w:sz w:val="24"/>
        </w:rPr>
        <w:t>1</w:t>
      </w:r>
      <w:r w:rsidR="00234340" w:rsidRPr="007F6A01">
        <w:rPr>
          <w:rFonts w:cs="Arial"/>
          <w:b/>
          <w:bCs/>
          <w:color w:val="000000"/>
          <w:sz w:val="24"/>
        </w:rPr>
        <w:t>.</w:t>
      </w:r>
      <w:r w:rsidR="00234340">
        <w:rPr>
          <w:rFonts w:cs="Arial"/>
          <w:bCs/>
          <w:color w:val="000000"/>
          <w:sz w:val="24"/>
        </w:rPr>
        <w:t xml:space="preserve"> </w:t>
      </w:r>
      <w:r w:rsidR="00063FC9">
        <w:rPr>
          <w:rFonts w:cs="Arial"/>
          <w:bCs/>
          <w:color w:val="000000"/>
          <w:sz w:val="24"/>
        </w:rPr>
        <w:t xml:space="preserve">Identificación de </w:t>
      </w:r>
      <w:r w:rsidR="0074263A">
        <w:rPr>
          <w:rFonts w:cs="Arial"/>
          <w:bCs/>
          <w:color w:val="000000"/>
          <w:sz w:val="24"/>
        </w:rPr>
        <w:t xml:space="preserve">componentes de </w:t>
      </w:r>
      <w:r w:rsidR="00063FC9">
        <w:rPr>
          <w:rFonts w:cs="Arial"/>
          <w:bCs/>
          <w:color w:val="000000"/>
          <w:sz w:val="24"/>
        </w:rPr>
        <w:t>residuos peligrosos.</w:t>
      </w:r>
    </w:p>
    <w:p w14:paraId="33794E20" w14:textId="25A1F86B" w:rsidR="00B63E0E" w:rsidRDefault="0074263A" w:rsidP="00CE62F9">
      <w:pPr>
        <w:pStyle w:val="Encabezado"/>
        <w:spacing w:before="240" w:line="276" w:lineRule="auto"/>
        <w:jc w:val="both"/>
        <w:rPr>
          <w:rFonts w:cs="Arial"/>
          <w:bCs/>
          <w:color w:val="000000"/>
          <w:sz w:val="24"/>
          <w:highlight w:val="yellow"/>
        </w:rPr>
      </w:pPr>
      <w:r w:rsidRPr="00152EEA">
        <w:rPr>
          <w:rFonts w:cs="Arial"/>
          <w:bCs/>
          <w:color w:val="000000"/>
          <w:sz w:val="24"/>
        </w:rPr>
        <w:t>Las empresas informan utilizar diferentes servicios externos para el retiro y/o destin</w:t>
      </w:r>
      <w:r w:rsidR="000C77F3" w:rsidRPr="00152EEA">
        <w:rPr>
          <w:rFonts w:cs="Arial"/>
          <w:bCs/>
          <w:color w:val="000000"/>
          <w:sz w:val="24"/>
        </w:rPr>
        <w:t>o final de</w:t>
      </w:r>
      <w:r w:rsidR="00200E13" w:rsidRPr="00152EEA">
        <w:rPr>
          <w:rFonts w:cs="Arial"/>
          <w:bCs/>
          <w:color w:val="000000"/>
          <w:sz w:val="24"/>
        </w:rPr>
        <w:t xml:space="preserve"> residuos </w:t>
      </w:r>
      <w:r w:rsidR="006461FE" w:rsidRPr="00152EEA">
        <w:rPr>
          <w:rFonts w:cs="Arial"/>
          <w:bCs/>
          <w:color w:val="000000"/>
          <w:sz w:val="24"/>
        </w:rPr>
        <w:t>peligrosos</w:t>
      </w:r>
      <w:r w:rsidR="00454912" w:rsidRPr="00152EEA">
        <w:rPr>
          <w:rFonts w:cs="Arial"/>
          <w:bCs/>
          <w:color w:val="000000"/>
          <w:sz w:val="24"/>
        </w:rPr>
        <w:t>. L</w:t>
      </w:r>
      <w:r w:rsidRPr="00152EEA">
        <w:rPr>
          <w:rFonts w:cs="Arial"/>
          <w:bCs/>
          <w:color w:val="000000"/>
          <w:sz w:val="24"/>
        </w:rPr>
        <w:t xml:space="preserve">os </w:t>
      </w:r>
      <w:r w:rsidR="00454912" w:rsidRPr="00152EEA">
        <w:rPr>
          <w:rFonts w:cs="Arial"/>
          <w:bCs/>
          <w:color w:val="000000"/>
          <w:sz w:val="24"/>
        </w:rPr>
        <w:t xml:space="preserve">servicios mencionados mayor </w:t>
      </w:r>
      <w:r w:rsidR="000C77F3" w:rsidRPr="00152EEA">
        <w:rPr>
          <w:rFonts w:cs="Arial"/>
          <w:bCs/>
          <w:color w:val="000000"/>
          <w:sz w:val="24"/>
        </w:rPr>
        <w:t xml:space="preserve">cantidad </w:t>
      </w:r>
      <w:r w:rsidR="00454912" w:rsidRPr="00152EEA">
        <w:rPr>
          <w:rFonts w:cs="Arial"/>
          <w:bCs/>
          <w:color w:val="000000"/>
          <w:sz w:val="24"/>
        </w:rPr>
        <w:t xml:space="preserve">de veces e identificados por las empresas </w:t>
      </w:r>
      <w:r w:rsidRPr="00152EEA">
        <w:rPr>
          <w:rFonts w:cs="Arial"/>
          <w:bCs/>
          <w:color w:val="000000"/>
          <w:sz w:val="24"/>
        </w:rPr>
        <w:t xml:space="preserve">son </w:t>
      </w:r>
      <w:proofErr w:type="spellStart"/>
      <w:r w:rsidRPr="00152EEA">
        <w:rPr>
          <w:rFonts w:cs="Arial"/>
          <w:bCs/>
          <w:color w:val="000000"/>
          <w:sz w:val="24"/>
        </w:rPr>
        <w:t>Hidronor</w:t>
      </w:r>
      <w:proofErr w:type="spellEnd"/>
      <w:r w:rsidR="000C77F3" w:rsidRPr="00152EEA">
        <w:rPr>
          <w:rFonts w:cs="Arial"/>
          <w:bCs/>
          <w:color w:val="000000"/>
          <w:sz w:val="24"/>
        </w:rPr>
        <w:t xml:space="preserve"> Chile S.A.</w:t>
      </w:r>
      <w:r w:rsidRPr="00152EEA">
        <w:rPr>
          <w:rFonts w:cs="Arial"/>
          <w:bCs/>
          <w:color w:val="000000"/>
          <w:sz w:val="24"/>
        </w:rPr>
        <w:t xml:space="preserve"> y </w:t>
      </w:r>
      <w:proofErr w:type="spellStart"/>
      <w:r w:rsidRPr="00152EEA">
        <w:rPr>
          <w:rFonts w:cs="Arial"/>
          <w:bCs/>
          <w:color w:val="000000"/>
          <w:sz w:val="24"/>
        </w:rPr>
        <w:t>Ecobio</w:t>
      </w:r>
      <w:proofErr w:type="spellEnd"/>
      <w:r w:rsidRPr="00152EEA">
        <w:rPr>
          <w:rFonts w:cs="Arial"/>
          <w:bCs/>
          <w:color w:val="000000"/>
          <w:sz w:val="24"/>
        </w:rPr>
        <w:t xml:space="preserve"> </w:t>
      </w:r>
      <w:r w:rsidR="00454912" w:rsidRPr="00152EEA">
        <w:rPr>
          <w:rFonts w:cs="Arial"/>
          <w:bCs/>
          <w:color w:val="000000"/>
          <w:sz w:val="24"/>
        </w:rPr>
        <w:t xml:space="preserve">(36%), </w:t>
      </w:r>
      <w:r w:rsidR="00B63E0E" w:rsidRPr="00152EEA">
        <w:rPr>
          <w:rFonts w:cs="Arial"/>
          <w:bCs/>
          <w:color w:val="000000"/>
          <w:sz w:val="24"/>
        </w:rPr>
        <w:t xml:space="preserve">seguido de </w:t>
      </w:r>
      <w:proofErr w:type="spellStart"/>
      <w:r w:rsidR="00B63E0E" w:rsidRPr="00152EEA">
        <w:rPr>
          <w:rFonts w:cs="Arial"/>
          <w:bCs/>
          <w:color w:val="000000"/>
          <w:sz w:val="24"/>
        </w:rPr>
        <w:t>Copiulemu</w:t>
      </w:r>
      <w:proofErr w:type="spellEnd"/>
      <w:r w:rsidR="00B63E0E" w:rsidRPr="00152EEA">
        <w:rPr>
          <w:rFonts w:cs="Arial"/>
          <w:bCs/>
          <w:color w:val="000000"/>
          <w:sz w:val="24"/>
        </w:rPr>
        <w:t xml:space="preserve"> </w:t>
      </w:r>
      <w:r w:rsidR="00454912" w:rsidRPr="00152EEA">
        <w:rPr>
          <w:rFonts w:cs="Arial"/>
          <w:bCs/>
          <w:color w:val="000000"/>
          <w:sz w:val="24"/>
        </w:rPr>
        <w:t>(7%). A continuación, mencionan a servicios de transporte</w:t>
      </w:r>
      <w:r w:rsidR="000C77F3" w:rsidRPr="00152EEA">
        <w:rPr>
          <w:rFonts w:cs="Arial"/>
          <w:bCs/>
          <w:color w:val="000000"/>
          <w:sz w:val="24"/>
        </w:rPr>
        <w:t>s</w:t>
      </w:r>
      <w:r w:rsidR="00454912" w:rsidRPr="00152EEA">
        <w:rPr>
          <w:rFonts w:cs="Arial"/>
          <w:bCs/>
          <w:color w:val="000000"/>
          <w:sz w:val="24"/>
        </w:rPr>
        <w:t xml:space="preserve"> de residuos peligrosos </w:t>
      </w:r>
      <w:r w:rsidR="000C77F3" w:rsidRPr="00152EEA">
        <w:rPr>
          <w:rFonts w:cs="Arial"/>
          <w:bCs/>
          <w:color w:val="000000"/>
          <w:sz w:val="24"/>
        </w:rPr>
        <w:t xml:space="preserve">autorizados como Sociedad de Servicios Ambientales </w:t>
      </w:r>
      <w:proofErr w:type="spellStart"/>
      <w:r w:rsidR="000C77F3" w:rsidRPr="00152EEA">
        <w:rPr>
          <w:rFonts w:cs="Arial"/>
          <w:bCs/>
          <w:color w:val="000000"/>
          <w:sz w:val="24"/>
        </w:rPr>
        <w:t>Resoil</w:t>
      </w:r>
      <w:proofErr w:type="spellEnd"/>
      <w:r w:rsidR="000C77F3" w:rsidRPr="00152EEA">
        <w:rPr>
          <w:rFonts w:cs="Arial"/>
          <w:bCs/>
          <w:color w:val="000000"/>
          <w:sz w:val="24"/>
        </w:rPr>
        <w:t xml:space="preserve"> Chile Ltda. </w:t>
      </w:r>
      <w:proofErr w:type="gramStart"/>
      <w:r w:rsidR="00B63E0E" w:rsidRPr="00152EEA">
        <w:rPr>
          <w:rFonts w:cs="Arial"/>
          <w:bCs/>
          <w:color w:val="000000"/>
          <w:sz w:val="24"/>
        </w:rPr>
        <w:t>y</w:t>
      </w:r>
      <w:proofErr w:type="gramEnd"/>
      <w:r w:rsidR="00B63E0E" w:rsidRPr="00152EEA">
        <w:rPr>
          <w:rFonts w:cs="Arial"/>
          <w:bCs/>
          <w:color w:val="000000"/>
          <w:sz w:val="24"/>
        </w:rPr>
        <w:t xml:space="preserve"> Vía Limpia </w:t>
      </w:r>
      <w:r w:rsidR="00D12485">
        <w:rPr>
          <w:rFonts w:cs="Arial"/>
          <w:bCs/>
          <w:color w:val="000000"/>
          <w:sz w:val="24"/>
        </w:rPr>
        <w:t xml:space="preserve"> </w:t>
      </w:r>
      <w:proofErr w:type="spellStart"/>
      <w:r w:rsidR="00D12485">
        <w:rPr>
          <w:rFonts w:cs="Arial"/>
          <w:bCs/>
          <w:color w:val="000000"/>
          <w:sz w:val="24"/>
        </w:rPr>
        <w:t>SpA</w:t>
      </w:r>
      <w:proofErr w:type="spellEnd"/>
      <w:r w:rsidR="000C77F3" w:rsidRPr="00152EEA">
        <w:rPr>
          <w:rFonts w:cs="Arial"/>
          <w:bCs/>
          <w:color w:val="000000"/>
          <w:sz w:val="24"/>
        </w:rPr>
        <w:t xml:space="preserve"> (7%)</w:t>
      </w:r>
      <w:r w:rsidR="00B63E0E" w:rsidRPr="00B63E0E">
        <w:rPr>
          <w:rFonts w:cs="Arial"/>
          <w:bCs/>
          <w:color w:val="000000"/>
          <w:sz w:val="24"/>
        </w:rPr>
        <w:t xml:space="preserve"> </w:t>
      </w:r>
      <w:r w:rsidR="00901F7E" w:rsidRPr="00D12485">
        <w:rPr>
          <w:rFonts w:cs="Arial"/>
          <w:bCs/>
          <w:color w:val="000000"/>
          <w:sz w:val="24"/>
        </w:rPr>
        <w:t>(</w:t>
      </w:r>
      <w:r w:rsidR="007C2A2A" w:rsidRPr="00D12485">
        <w:rPr>
          <w:rFonts w:cs="Arial"/>
          <w:bCs/>
          <w:color w:val="000000"/>
          <w:sz w:val="24"/>
        </w:rPr>
        <w:t>Figura 2</w:t>
      </w:r>
      <w:r w:rsidR="00FB5D96" w:rsidRPr="00D12485">
        <w:rPr>
          <w:rFonts w:cs="Arial"/>
          <w:bCs/>
          <w:color w:val="000000"/>
          <w:sz w:val="24"/>
        </w:rPr>
        <w:t>2</w:t>
      </w:r>
      <w:r w:rsidR="00901F7E" w:rsidRPr="00D12485">
        <w:rPr>
          <w:rFonts w:cs="Arial"/>
          <w:bCs/>
          <w:color w:val="000000"/>
          <w:sz w:val="24"/>
        </w:rPr>
        <w:t>)</w:t>
      </w:r>
      <w:r w:rsidR="00D12485">
        <w:rPr>
          <w:rFonts w:cs="Arial"/>
          <w:bCs/>
          <w:color w:val="000000"/>
          <w:sz w:val="24"/>
        </w:rPr>
        <w:t>.</w:t>
      </w:r>
    </w:p>
    <w:p w14:paraId="036915EC" w14:textId="2C7FF321" w:rsidR="00200E13" w:rsidRDefault="00200E13" w:rsidP="00CE62F9">
      <w:pPr>
        <w:pStyle w:val="Encabezado"/>
        <w:spacing w:before="240"/>
        <w:jc w:val="both"/>
        <w:rPr>
          <w:rFonts w:cs="Arial"/>
          <w:bCs/>
          <w:color w:val="000000"/>
          <w:sz w:val="24"/>
        </w:rPr>
      </w:pPr>
    </w:p>
    <w:p w14:paraId="7F8EFE47" w14:textId="77777777" w:rsidR="006461FE" w:rsidRDefault="006461FE" w:rsidP="00CE62F9">
      <w:pPr>
        <w:pStyle w:val="Encabezado"/>
        <w:spacing w:before="240"/>
        <w:jc w:val="both"/>
        <w:rPr>
          <w:rFonts w:cs="Arial"/>
          <w:bCs/>
          <w:color w:val="000000"/>
          <w:sz w:val="24"/>
        </w:rPr>
      </w:pPr>
    </w:p>
    <w:p w14:paraId="172631A0" w14:textId="77777777" w:rsidR="00B63E0E" w:rsidRDefault="006461FE" w:rsidP="00CE62F9">
      <w:pPr>
        <w:spacing w:before="240" w:after="0"/>
        <w:rPr>
          <w:rFonts w:cs="Arial"/>
          <w:b/>
          <w:bCs/>
          <w:color w:val="000000"/>
          <w:sz w:val="24"/>
        </w:rPr>
      </w:pPr>
      <w:r>
        <w:rPr>
          <w:noProof/>
          <w:lang w:val="es-CL" w:eastAsia="es-CL"/>
        </w:rPr>
        <w:drawing>
          <wp:inline distT="0" distB="0" distL="0" distR="0" wp14:anchorId="13DA0744" wp14:editId="2E55861C">
            <wp:extent cx="4772025" cy="3076575"/>
            <wp:effectExtent l="0" t="0" r="9525" b="9525"/>
            <wp:docPr id="8" name="Chart 8">
              <a:extLst xmlns:a="http://schemas.openxmlformats.org/drawingml/2006/main">
                <a:ext uri="{FF2B5EF4-FFF2-40B4-BE49-F238E27FC236}">
                  <a16:creationId xmlns:w15="http://schemas.microsoft.com/office/word/2012/wordml"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BD6B155-CB4C-470E-AFA4-066C9DEBD9EC}"/>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8" name="Chart 8">
                      <a:extLst>
                        <a:ext uri="{FF2B5EF4-FFF2-40B4-BE49-F238E27FC236}">
                          <a16:creationId xmlns:w15="http://schemas.microsoft.com/office/word/2012/wordml"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BD6B155-CB4C-470E-AFA4-066C9DEBD9EC}"/>
                        </a:ext>
                      </a:extLst>
                    </pic:cNvPr>
                    <pic:cNvPicPr>
                      <a:picLocks noGrp="1" noRot="1" noChangeAspect="1" noMove="1" noResize="1" noEditPoints="1" noAdjustHandles="1" noChangeArrowheads="1" noChangeShapeType="1"/>
                    </pic:cNvPicPr>
                  </pic:nvPicPr>
                  <pic:blipFill>
                    <a:blip r:embed="rId54"/>
                    <a:stretch>
                      <a:fillRect/>
                    </a:stretch>
                  </pic:blipFill>
                  <pic:spPr>
                    <a:xfrm>
                      <a:off x="0" y="0"/>
                      <a:ext cx="4772025" cy="3076575"/>
                    </a:xfrm>
                    <a:prstGeom prst="rect">
                      <a:avLst/>
                    </a:prstGeom>
                  </pic:spPr>
                </pic:pic>
              </a:graphicData>
            </a:graphic>
          </wp:inline>
        </w:drawing>
      </w:r>
    </w:p>
    <w:p w14:paraId="2036493D" w14:textId="2096EDD5" w:rsidR="001A4E98" w:rsidRDefault="00B63E0E" w:rsidP="009D6C1D">
      <w:pPr>
        <w:spacing w:after="0"/>
        <w:rPr>
          <w:rFonts w:cs="Arial"/>
          <w:bCs/>
          <w:color w:val="000000"/>
          <w:sz w:val="24"/>
        </w:rPr>
      </w:pPr>
      <w:r>
        <w:rPr>
          <w:rFonts w:cs="Arial"/>
          <w:b/>
          <w:bCs/>
          <w:color w:val="000000"/>
          <w:sz w:val="24"/>
        </w:rPr>
        <w:t>F</w:t>
      </w:r>
      <w:r w:rsidRPr="007F6A01">
        <w:rPr>
          <w:rFonts w:cs="Arial"/>
          <w:b/>
          <w:bCs/>
          <w:color w:val="000000"/>
          <w:sz w:val="24"/>
        </w:rPr>
        <w:t xml:space="preserve">igura </w:t>
      </w:r>
      <w:r w:rsidR="007C2A2A">
        <w:rPr>
          <w:rFonts w:cs="Arial"/>
          <w:b/>
          <w:bCs/>
          <w:color w:val="000000"/>
          <w:sz w:val="24"/>
        </w:rPr>
        <w:t>2</w:t>
      </w:r>
      <w:r w:rsidR="00FB5D96">
        <w:rPr>
          <w:rFonts w:cs="Arial"/>
          <w:b/>
          <w:bCs/>
          <w:color w:val="000000"/>
          <w:sz w:val="24"/>
        </w:rPr>
        <w:t>2</w:t>
      </w:r>
      <w:r w:rsidRPr="007F6A01">
        <w:rPr>
          <w:rFonts w:cs="Arial"/>
          <w:b/>
          <w:bCs/>
          <w:color w:val="000000"/>
          <w:sz w:val="24"/>
        </w:rPr>
        <w:t>.</w:t>
      </w:r>
      <w:r>
        <w:rPr>
          <w:rFonts w:cs="Arial"/>
          <w:bCs/>
          <w:color w:val="000000"/>
          <w:sz w:val="24"/>
        </w:rPr>
        <w:t xml:space="preserve"> </w:t>
      </w:r>
      <w:r w:rsidR="00322592">
        <w:rPr>
          <w:rFonts w:cs="Arial"/>
          <w:bCs/>
          <w:color w:val="000000"/>
          <w:sz w:val="24"/>
        </w:rPr>
        <w:t>Servicios externos de transporte y destino final de residuos peligrosos</w:t>
      </w:r>
      <w:r>
        <w:rPr>
          <w:rFonts w:cs="Arial"/>
          <w:bCs/>
          <w:color w:val="000000"/>
          <w:sz w:val="24"/>
        </w:rPr>
        <w:t>.</w:t>
      </w:r>
    </w:p>
    <w:p w14:paraId="14DAB4D1" w14:textId="345C3D0E" w:rsidR="00322592" w:rsidRPr="004633B8" w:rsidRDefault="00082B2B" w:rsidP="00CE62F9">
      <w:pPr>
        <w:pStyle w:val="Encabezado"/>
        <w:spacing w:before="240" w:line="276" w:lineRule="auto"/>
        <w:jc w:val="both"/>
        <w:rPr>
          <w:rFonts w:cs="Arial"/>
          <w:bCs/>
          <w:color w:val="000000"/>
          <w:sz w:val="24"/>
        </w:rPr>
      </w:pPr>
      <w:r w:rsidRPr="00152EEA">
        <w:rPr>
          <w:rFonts w:cs="Arial"/>
          <w:bCs/>
          <w:color w:val="000000"/>
          <w:sz w:val="24"/>
        </w:rPr>
        <w:t xml:space="preserve">El volumen total de residuos peligrosos generados </w:t>
      </w:r>
      <w:r w:rsidR="00A0309B" w:rsidRPr="00152EEA">
        <w:rPr>
          <w:rFonts w:cs="Arial"/>
          <w:bCs/>
          <w:color w:val="000000"/>
          <w:sz w:val="24"/>
        </w:rPr>
        <w:t>por la</w:t>
      </w:r>
      <w:r w:rsidR="00322592" w:rsidRPr="00152EEA">
        <w:rPr>
          <w:rFonts w:cs="Arial"/>
          <w:bCs/>
          <w:color w:val="000000"/>
          <w:sz w:val="24"/>
        </w:rPr>
        <w:t xml:space="preserve">s empresas </w:t>
      </w:r>
      <w:r w:rsidRPr="00152EEA">
        <w:rPr>
          <w:rFonts w:cs="Arial"/>
          <w:bCs/>
          <w:color w:val="000000"/>
          <w:sz w:val="24"/>
        </w:rPr>
        <w:t xml:space="preserve">es 30.698 (Kg) y en promedio </w:t>
      </w:r>
      <w:r w:rsidR="00901F7E">
        <w:rPr>
          <w:rFonts w:cs="Arial"/>
          <w:bCs/>
          <w:color w:val="000000"/>
          <w:sz w:val="24"/>
        </w:rPr>
        <w:t xml:space="preserve">cada planta de proceso genera alrededor de </w:t>
      </w:r>
      <w:r w:rsidRPr="00152EEA">
        <w:rPr>
          <w:rFonts w:cs="Arial"/>
          <w:bCs/>
          <w:color w:val="000000"/>
          <w:sz w:val="24"/>
        </w:rPr>
        <w:t>3.411 (Kg</w:t>
      </w:r>
      <w:r w:rsidRPr="004633B8">
        <w:rPr>
          <w:rFonts w:cs="Arial"/>
          <w:bCs/>
          <w:color w:val="000000"/>
          <w:sz w:val="24"/>
        </w:rPr>
        <w:t>)</w:t>
      </w:r>
      <w:r w:rsidR="007C2A2A" w:rsidRPr="004633B8">
        <w:rPr>
          <w:rFonts w:cs="Arial"/>
          <w:bCs/>
          <w:color w:val="000000"/>
          <w:sz w:val="24"/>
        </w:rPr>
        <w:t xml:space="preserve"> (Figura 2</w:t>
      </w:r>
      <w:r w:rsidR="00FB5D96">
        <w:rPr>
          <w:rFonts w:cs="Arial"/>
          <w:bCs/>
          <w:color w:val="000000"/>
          <w:sz w:val="24"/>
        </w:rPr>
        <w:t>3</w:t>
      </w:r>
      <w:r w:rsidRPr="004633B8">
        <w:rPr>
          <w:rFonts w:cs="Arial"/>
          <w:bCs/>
          <w:color w:val="000000"/>
          <w:sz w:val="24"/>
        </w:rPr>
        <w:t>).</w:t>
      </w:r>
    </w:p>
    <w:p w14:paraId="458D40A7" w14:textId="4409D07D" w:rsidR="00082B2B" w:rsidRDefault="00082B2B" w:rsidP="00CE62F9">
      <w:pPr>
        <w:pStyle w:val="Encabezado"/>
        <w:spacing w:before="240"/>
        <w:rPr>
          <w:rFonts w:cs="Arial"/>
          <w:bCs/>
          <w:color w:val="000000"/>
          <w:sz w:val="24"/>
        </w:rPr>
      </w:pPr>
      <w:r>
        <w:rPr>
          <w:noProof/>
          <w:lang w:val="es-CL" w:eastAsia="es-CL"/>
        </w:rPr>
        <w:drawing>
          <wp:inline distT="0" distB="0" distL="0" distR="0" wp14:anchorId="47903163" wp14:editId="55A1FE8E">
            <wp:extent cx="3753016" cy="1987826"/>
            <wp:effectExtent l="0" t="0" r="19050" b="1270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5B6E0043" w14:textId="42956FE5" w:rsidR="00082B2B" w:rsidRDefault="00082B2B" w:rsidP="009D6C1D">
      <w:pPr>
        <w:pStyle w:val="Encabezado"/>
        <w:rPr>
          <w:rFonts w:cs="Arial"/>
          <w:bCs/>
          <w:color w:val="000000"/>
          <w:sz w:val="24"/>
        </w:rPr>
      </w:pPr>
      <w:r>
        <w:rPr>
          <w:rFonts w:cs="Arial"/>
          <w:b/>
          <w:bCs/>
          <w:color w:val="000000"/>
          <w:sz w:val="24"/>
        </w:rPr>
        <w:t>F</w:t>
      </w:r>
      <w:r w:rsidRPr="007F6A01">
        <w:rPr>
          <w:rFonts w:cs="Arial"/>
          <w:b/>
          <w:bCs/>
          <w:color w:val="000000"/>
          <w:sz w:val="24"/>
        </w:rPr>
        <w:t xml:space="preserve">igura </w:t>
      </w:r>
      <w:r w:rsidR="007C2A2A">
        <w:rPr>
          <w:rFonts w:cs="Arial"/>
          <w:b/>
          <w:bCs/>
          <w:color w:val="000000"/>
          <w:sz w:val="24"/>
        </w:rPr>
        <w:t>2</w:t>
      </w:r>
      <w:r w:rsidR="00FB5D96">
        <w:rPr>
          <w:rFonts w:cs="Arial"/>
          <w:b/>
          <w:bCs/>
          <w:color w:val="000000"/>
          <w:sz w:val="24"/>
        </w:rPr>
        <w:t>3</w:t>
      </w:r>
      <w:r w:rsidRPr="007F6A01">
        <w:rPr>
          <w:rFonts w:cs="Arial"/>
          <w:b/>
          <w:bCs/>
          <w:color w:val="000000"/>
          <w:sz w:val="24"/>
        </w:rPr>
        <w:t>.</w:t>
      </w:r>
      <w:r w:rsidR="00D83E95">
        <w:rPr>
          <w:rFonts w:cs="Arial"/>
          <w:b/>
          <w:bCs/>
          <w:color w:val="000000"/>
          <w:sz w:val="24"/>
        </w:rPr>
        <w:t xml:space="preserve"> </w:t>
      </w:r>
      <w:r w:rsidR="004633B8">
        <w:rPr>
          <w:rFonts w:cs="Arial"/>
          <w:bCs/>
          <w:color w:val="000000"/>
          <w:sz w:val="24"/>
        </w:rPr>
        <w:t>Volumen</w:t>
      </w:r>
      <w:r w:rsidR="00322592" w:rsidRPr="00322592">
        <w:rPr>
          <w:rFonts w:cs="Arial"/>
          <w:bCs/>
          <w:color w:val="000000"/>
          <w:sz w:val="24"/>
        </w:rPr>
        <w:t xml:space="preserve"> de</w:t>
      </w:r>
      <w:r w:rsidR="00322592">
        <w:rPr>
          <w:rFonts w:cs="Arial"/>
          <w:b/>
          <w:bCs/>
          <w:color w:val="000000"/>
          <w:sz w:val="24"/>
        </w:rPr>
        <w:t xml:space="preserve"> </w:t>
      </w:r>
      <w:r w:rsidR="004633B8" w:rsidRPr="004633B8">
        <w:rPr>
          <w:rFonts w:cs="Arial"/>
          <w:bCs/>
          <w:color w:val="000000"/>
          <w:sz w:val="24"/>
        </w:rPr>
        <w:t>r</w:t>
      </w:r>
      <w:r>
        <w:rPr>
          <w:rFonts w:cs="Arial"/>
          <w:bCs/>
          <w:color w:val="000000"/>
          <w:sz w:val="24"/>
        </w:rPr>
        <w:t>esiduos Peligrosos</w:t>
      </w:r>
      <w:r w:rsidR="00322592">
        <w:rPr>
          <w:rFonts w:cs="Arial"/>
          <w:bCs/>
          <w:color w:val="000000"/>
          <w:sz w:val="24"/>
        </w:rPr>
        <w:t xml:space="preserve"> (Kg).</w:t>
      </w:r>
      <w:r>
        <w:rPr>
          <w:rFonts w:cs="Arial"/>
          <w:bCs/>
          <w:color w:val="000000"/>
          <w:sz w:val="24"/>
        </w:rPr>
        <w:t xml:space="preserve"> </w:t>
      </w:r>
    </w:p>
    <w:p w14:paraId="0CD45A7F" w14:textId="77777777" w:rsidR="00D12485" w:rsidRDefault="00D12485" w:rsidP="00CE62F9">
      <w:pPr>
        <w:pStyle w:val="Encabezado"/>
        <w:spacing w:before="240"/>
        <w:jc w:val="both"/>
        <w:rPr>
          <w:lang w:val="es-CL" w:eastAsia="es-CL"/>
        </w:rPr>
      </w:pPr>
    </w:p>
    <w:p w14:paraId="49A05F13" w14:textId="77777777" w:rsidR="00D12485" w:rsidRDefault="00D12485" w:rsidP="00CE62F9">
      <w:pPr>
        <w:pStyle w:val="Encabezado"/>
        <w:spacing w:before="240"/>
        <w:jc w:val="both"/>
        <w:rPr>
          <w:lang w:val="es-CL" w:eastAsia="es-CL"/>
        </w:rPr>
      </w:pPr>
    </w:p>
    <w:p w14:paraId="79205F32" w14:textId="77777777" w:rsidR="00724EA7" w:rsidRDefault="00724EA7" w:rsidP="00CE62F9">
      <w:pPr>
        <w:pStyle w:val="Encabezado"/>
        <w:spacing w:before="240"/>
        <w:jc w:val="both"/>
        <w:rPr>
          <w:lang w:val="es-CL" w:eastAsia="es-CL"/>
        </w:rPr>
      </w:pPr>
    </w:p>
    <w:p w14:paraId="4F450B7B" w14:textId="71CD1302" w:rsidR="00A261F2" w:rsidRPr="00ED26C2" w:rsidRDefault="00CE7C87" w:rsidP="00343562">
      <w:pPr>
        <w:pStyle w:val="Ttulo2"/>
        <w:rPr>
          <w:b w:val="0"/>
          <w:sz w:val="32"/>
          <w:szCs w:val="32"/>
        </w:rPr>
      </w:pPr>
      <w:bookmarkStart w:id="17" w:name="_Toc471999528"/>
      <w:r w:rsidRPr="00ED26C2">
        <w:rPr>
          <w:b w:val="0"/>
          <w:sz w:val="32"/>
          <w:szCs w:val="32"/>
        </w:rPr>
        <w:lastRenderedPageBreak/>
        <w:t>E</w:t>
      </w:r>
      <w:r w:rsidR="00A261F2" w:rsidRPr="00ED26C2">
        <w:rPr>
          <w:b w:val="0"/>
          <w:sz w:val="32"/>
          <w:szCs w:val="32"/>
        </w:rPr>
        <w:t xml:space="preserve">nergía y </w:t>
      </w:r>
      <w:r w:rsidRPr="00ED26C2">
        <w:rPr>
          <w:b w:val="0"/>
          <w:sz w:val="32"/>
          <w:szCs w:val="32"/>
        </w:rPr>
        <w:t>E</w:t>
      </w:r>
      <w:r w:rsidR="00A261F2" w:rsidRPr="00ED26C2">
        <w:rPr>
          <w:b w:val="0"/>
          <w:sz w:val="32"/>
          <w:szCs w:val="32"/>
        </w:rPr>
        <w:t xml:space="preserve">ficiencia </w:t>
      </w:r>
      <w:r w:rsidRPr="00ED26C2">
        <w:rPr>
          <w:b w:val="0"/>
          <w:sz w:val="32"/>
          <w:szCs w:val="32"/>
        </w:rPr>
        <w:t>E</w:t>
      </w:r>
      <w:r w:rsidR="00A261F2" w:rsidRPr="00ED26C2">
        <w:rPr>
          <w:b w:val="0"/>
          <w:sz w:val="32"/>
          <w:szCs w:val="32"/>
        </w:rPr>
        <w:t>nergética</w:t>
      </w:r>
      <w:bookmarkEnd w:id="17"/>
    </w:p>
    <w:p w14:paraId="0BC98746" w14:textId="4A2AF80C" w:rsidR="00D12485" w:rsidRPr="00ED26C2" w:rsidRDefault="00CE7C87" w:rsidP="00CE62F9">
      <w:pPr>
        <w:pStyle w:val="Encabezado"/>
        <w:tabs>
          <w:tab w:val="clear" w:pos="4252"/>
          <w:tab w:val="center" w:pos="567"/>
        </w:tabs>
        <w:spacing w:before="240" w:line="276" w:lineRule="auto"/>
        <w:jc w:val="both"/>
        <w:rPr>
          <w:b/>
          <w:sz w:val="24"/>
          <w:szCs w:val="24"/>
          <w:lang w:val="es-CL" w:eastAsia="es-CL"/>
        </w:rPr>
      </w:pPr>
      <w:r w:rsidRPr="00ED26C2">
        <w:rPr>
          <w:b/>
          <w:sz w:val="24"/>
          <w:szCs w:val="24"/>
          <w:lang w:val="es-CL" w:eastAsia="es-CL"/>
        </w:rPr>
        <w:t>E</w:t>
      </w:r>
      <w:r w:rsidR="00685F07" w:rsidRPr="00ED26C2">
        <w:rPr>
          <w:b/>
          <w:sz w:val="24"/>
          <w:szCs w:val="24"/>
          <w:lang w:val="es-CL" w:eastAsia="es-CL"/>
        </w:rPr>
        <w:t xml:space="preserve">nergía </w:t>
      </w:r>
    </w:p>
    <w:p w14:paraId="5E2F49D2" w14:textId="4D574AAA" w:rsidR="00322592" w:rsidRDefault="006C2B53" w:rsidP="00CE62F9">
      <w:pPr>
        <w:pStyle w:val="Encabezado"/>
        <w:tabs>
          <w:tab w:val="clear" w:pos="4252"/>
          <w:tab w:val="center" w:pos="567"/>
        </w:tabs>
        <w:spacing w:before="240" w:line="276" w:lineRule="auto"/>
        <w:jc w:val="both"/>
        <w:rPr>
          <w:rFonts w:cs="Arial"/>
          <w:bCs/>
          <w:color w:val="000000"/>
          <w:sz w:val="24"/>
        </w:rPr>
      </w:pPr>
      <w:r>
        <w:rPr>
          <w:rFonts w:cs="Arial"/>
          <w:bCs/>
          <w:color w:val="000000"/>
          <w:sz w:val="24"/>
        </w:rPr>
        <w:t>L</w:t>
      </w:r>
      <w:r w:rsidR="00AF79CB" w:rsidRPr="00AF79CB">
        <w:rPr>
          <w:rFonts w:cs="Arial"/>
          <w:bCs/>
          <w:color w:val="000000"/>
          <w:sz w:val="24"/>
        </w:rPr>
        <w:t>a energía se define como la capacidad</w:t>
      </w:r>
      <w:r w:rsidR="00AF79CB" w:rsidRPr="00AF79CB">
        <w:t xml:space="preserve"> </w:t>
      </w:r>
      <w:r w:rsidR="00AF79CB" w:rsidRPr="00AF79CB">
        <w:rPr>
          <w:rFonts w:cs="Arial"/>
          <w:bCs/>
          <w:color w:val="000000"/>
          <w:sz w:val="24"/>
        </w:rPr>
        <w:t>que tiene la materia de producir trabajo en f</w:t>
      </w:r>
      <w:r w:rsidR="00322592">
        <w:rPr>
          <w:rFonts w:cs="Arial"/>
          <w:bCs/>
          <w:color w:val="000000"/>
          <w:sz w:val="24"/>
        </w:rPr>
        <w:t>orma de movimiento, luz, calor,</w:t>
      </w:r>
      <w:r w:rsidR="00AF79CB">
        <w:rPr>
          <w:rFonts w:cs="Arial"/>
          <w:bCs/>
          <w:color w:val="000000"/>
          <w:sz w:val="24"/>
        </w:rPr>
        <w:t xml:space="preserve"> es decir la capacidad de </w:t>
      </w:r>
      <w:r w:rsidR="00AF79CB" w:rsidRPr="00AF79CB">
        <w:rPr>
          <w:rFonts w:cs="Arial"/>
          <w:bCs/>
          <w:color w:val="000000"/>
          <w:sz w:val="24"/>
        </w:rPr>
        <w:t xml:space="preserve">poner en movimiento una máquina. </w:t>
      </w:r>
    </w:p>
    <w:p w14:paraId="006B223D" w14:textId="3BF4EDF5" w:rsidR="00AF79CB" w:rsidRDefault="00322592" w:rsidP="00CE62F9">
      <w:pPr>
        <w:pStyle w:val="Encabezado"/>
        <w:tabs>
          <w:tab w:val="clear" w:pos="4252"/>
          <w:tab w:val="center" w:pos="0"/>
          <w:tab w:val="left" w:pos="567"/>
        </w:tabs>
        <w:spacing w:before="240" w:line="276" w:lineRule="auto"/>
        <w:jc w:val="both"/>
        <w:rPr>
          <w:rFonts w:cs="Arial"/>
          <w:bCs/>
          <w:color w:val="000000"/>
          <w:sz w:val="24"/>
        </w:rPr>
      </w:pPr>
      <w:r w:rsidRPr="00A51279">
        <w:rPr>
          <w:rFonts w:cs="Arial"/>
          <w:bCs/>
          <w:color w:val="000000"/>
          <w:sz w:val="24"/>
        </w:rPr>
        <w:t xml:space="preserve">El análisis </w:t>
      </w:r>
      <w:r w:rsidR="00AF79CB" w:rsidRPr="00A51279">
        <w:rPr>
          <w:rFonts w:cs="Arial"/>
          <w:bCs/>
          <w:color w:val="000000"/>
          <w:sz w:val="24"/>
        </w:rPr>
        <w:t>de</w:t>
      </w:r>
      <w:r w:rsidR="004633B8" w:rsidRPr="00A51279">
        <w:rPr>
          <w:rFonts w:cs="Arial"/>
          <w:bCs/>
          <w:color w:val="000000"/>
          <w:sz w:val="24"/>
        </w:rPr>
        <w:t xml:space="preserve"> la energía necesaria por tonelada de producto final</w:t>
      </w:r>
      <w:r w:rsidR="004C1AFB" w:rsidRPr="00A51279">
        <w:rPr>
          <w:rFonts w:cs="Arial"/>
          <w:bCs/>
          <w:color w:val="000000"/>
          <w:sz w:val="24"/>
        </w:rPr>
        <w:t xml:space="preserve">, </w:t>
      </w:r>
      <w:r w:rsidR="00AF79CB" w:rsidRPr="00A51279">
        <w:rPr>
          <w:rFonts w:cs="Arial"/>
          <w:bCs/>
          <w:color w:val="000000"/>
          <w:sz w:val="24"/>
        </w:rPr>
        <w:t xml:space="preserve"> </w:t>
      </w:r>
      <w:r w:rsidRPr="00A51279">
        <w:rPr>
          <w:rFonts w:cs="Arial"/>
          <w:bCs/>
          <w:color w:val="000000"/>
          <w:sz w:val="24"/>
        </w:rPr>
        <w:t>evide</w:t>
      </w:r>
      <w:r w:rsidR="004633B8" w:rsidRPr="00A51279">
        <w:rPr>
          <w:rFonts w:cs="Arial"/>
          <w:bCs/>
          <w:color w:val="000000"/>
          <w:sz w:val="24"/>
        </w:rPr>
        <w:t>ncia que el gas utiliza</w:t>
      </w:r>
      <w:r w:rsidRPr="00A51279">
        <w:rPr>
          <w:rFonts w:cs="Arial"/>
          <w:bCs/>
          <w:color w:val="000000"/>
          <w:sz w:val="24"/>
        </w:rPr>
        <w:t xml:space="preserve"> </w:t>
      </w:r>
      <w:r w:rsidR="004C1AFB" w:rsidRPr="00A51279">
        <w:rPr>
          <w:rFonts w:cs="Arial"/>
          <w:bCs/>
          <w:color w:val="000000"/>
          <w:sz w:val="24"/>
        </w:rPr>
        <w:t>1.029 (MJ/Ton)</w:t>
      </w:r>
      <w:r w:rsidR="008456EB" w:rsidRPr="00A51279">
        <w:rPr>
          <w:rFonts w:cs="Arial"/>
          <w:bCs/>
          <w:color w:val="000000"/>
          <w:sz w:val="24"/>
        </w:rPr>
        <w:t xml:space="preserve"> para producir</w:t>
      </w:r>
      <w:r w:rsidRPr="00A51279">
        <w:rPr>
          <w:rFonts w:cs="Arial"/>
          <w:bCs/>
          <w:color w:val="000000"/>
          <w:sz w:val="24"/>
        </w:rPr>
        <w:t xml:space="preserve"> una tonelada de producto final, </w:t>
      </w:r>
      <w:r w:rsidR="008456EB" w:rsidRPr="00A51279">
        <w:rPr>
          <w:rFonts w:cs="Arial"/>
          <w:bCs/>
          <w:color w:val="000000"/>
          <w:sz w:val="24"/>
        </w:rPr>
        <w:t xml:space="preserve">seguido de </w:t>
      </w:r>
      <w:r w:rsidR="004C1AFB" w:rsidRPr="00A51279">
        <w:rPr>
          <w:rFonts w:cs="Arial"/>
          <w:bCs/>
          <w:color w:val="000000"/>
          <w:sz w:val="24"/>
        </w:rPr>
        <w:t xml:space="preserve">3.067 (MJ/Ton) de electricidad </w:t>
      </w:r>
      <w:r w:rsidR="008456EB" w:rsidRPr="00A51279">
        <w:rPr>
          <w:rFonts w:cs="Arial"/>
          <w:bCs/>
          <w:color w:val="000000"/>
          <w:sz w:val="24"/>
        </w:rPr>
        <w:t xml:space="preserve"> </w:t>
      </w:r>
      <w:r w:rsidR="004C1AFB" w:rsidRPr="00A51279">
        <w:rPr>
          <w:rFonts w:cs="Arial"/>
          <w:bCs/>
          <w:color w:val="000000"/>
          <w:sz w:val="24"/>
        </w:rPr>
        <w:t xml:space="preserve">y 4.250 de diesel (MJ/Ton), finalmente </w:t>
      </w:r>
      <w:r w:rsidR="001F030E" w:rsidRPr="00A51279">
        <w:rPr>
          <w:rFonts w:cs="Arial"/>
          <w:bCs/>
          <w:color w:val="000000"/>
          <w:sz w:val="24"/>
        </w:rPr>
        <w:t>13.300 (MJ/Ton) de</w:t>
      </w:r>
      <w:r w:rsidR="00BF3111" w:rsidRPr="00A51279">
        <w:rPr>
          <w:rFonts w:cs="Arial"/>
          <w:bCs/>
          <w:color w:val="000000"/>
          <w:sz w:val="24"/>
        </w:rPr>
        <w:t xml:space="preserve"> leña</w:t>
      </w:r>
      <w:r w:rsidR="00272FBA" w:rsidRPr="00A51279">
        <w:rPr>
          <w:rFonts w:cs="Arial"/>
          <w:bCs/>
          <w:color w:val="000000"/>
          <w:sz w:val="24"/>
        </w:rPr>
        <w:t>. P</w:t>
      </w:r>
      <w:r w:rsidR="004C1AFB" w:rsidRPr="00A51279">
        <w:rPr>
          <w:rFonts w:cs="Arial"/>
          <w:bCs/>
          <w:color w:val="000000"/>
          <w:sz w:val="24"/>
        </w:rPr>
        <w:t>or lo tanto</w:t>
      </w:r>
      <w:r w:rsidR="001F030E" w:rsidRPr="00A51279">
        <w:rPr>
          <w:rFonts w:cs="Arial"/>
          <w:bCs/>
          <w:color w:val="000000"/>
          <w:sz w:val="24"/>
        </w:rPr>
        <w:t xml:space="preserve"> </w:t>
      </w:r>
      <w:r w:rsidR="004C1AFB" w:rsidRPr="00A51279">
        <w:rPr>
          <w:rFonts w:cs="Arial"/>
          <w:bCs/>
          <w:color w:val="000000"/>
          <w:sz w:val="24"/>
        </w:rPr>
        <w:t xml:space="preserve">el gas es el combustible que </w:t>
      </w:r>
      <w:r w:rsidR="001F030E" w:rsidRPr="00A51279">
        <w:rPr>
          <w:rFonts w:cs="Arial"/>
          <w:bCs/>
          <w:color w:val="000000"/>
          <w:sz w:val="24"/>
        </w:rPr>
        <w:t>requiere menor cantidad de energía para elaborar una tonelada de producto final</w:t>
      </w:r>
      <w:r w:rsidR="00BF3111" w:rsidRPr="00A51279">
        <w:rPr>
          <w:rFonts w:cs="Arial"/>
          <w:bCs/>
          <w:color w:val="000000"/>
          <w:sz w:val="24"/>
        </w:rPr>
        <w:t xml:space="preserve"> </w:t>
      </w:r>
      <w:r w:rsidR="00FB5D96" w:rsidRPr="00A51279">
        <w:rPr>
          <w:rFonts w:cs="Arial"/>
          <w:bCs/>
          <w:color w:val="000000"/>
          <w:sz w:val="24"/>
        </w:rPr>
        <w:t>(Figura 24</w:t>
      </w:r>
      <w:r w:rsidR="00A51279" w:rsidRPr="00A51279">
        <w:rPr>
          <w:rFonts w:cs="Arial"/>
          <w:bCs/>
          <w:color w:val="000000"/>
          <w:sz w:val="24"/>
        </w:rPr>
        <w:t>),</w:t>
      </w:r>
      <w:r w:rsidR="00DB734E">
        <w:rPr>
          <w:rFonts w:cs="Arial"/>
          <w:bCs/>
          <w:color w:val="000000"/>
          <w:sz w:val="24"/>
        </w:rPr>
        <w:t xml:space="preserve"> es decir es el combustible con mejor eficiencia energética,</w:t>
      </w:r>
      <w:r w:rsidR="00A51279" w:rsidRPr="00A51279">
        <w:rPr>
          <w:rFonts w:cs="Arial"/>
          <w:bCs/>
          <w:color w:val="000000"/>
          <w:sz w:val="24"/>
        </w:rPr>
        <w:t xml:space="preserve"> sin embargo como se mencionó</w:t>
      </w:r>
      <w:r w:rsidR="00A51279">
        <w:rPr>
          <w:rFonts w:cs="Arial"/>
          <w:bCs/>
          <w:color w:val="000000"/>
          <w:sz w:val="24"/>
        </w:rPr>
        <w:t xml:space="preserve"> anteriormente </w:t>
      </w:r>
      <w:r w:rsidR="00DB734E">
        <w:rPr>
          <w:rFonts w:cs="Arial"/>
          <w:bCs/>
          <w:color w:val="000000"/>
          <w:sz w:val="24"/>
        </w:rPr>
        <w:t xml:space="preserve">en el análisis de consumo de combustibles, </w:t>
      </w:r>
      <w:r w:rsidR="00A51279">
        <w:rPr>
          <w:rFonts w:cs="Arial"/>
          <w:bCs/>
          <w:color w:val="000000"/>
          <w:sz w:val="24"/>
        </w:rPr>
        <w:t>el diesel es el combustible más utilizado actualmente por las empresas diagnosticadas.</w:t>
      </w:r>
    </w:p>
    <w:p w14:paraId="79C5F0EE" w14:textId="792A666A" w:rsidR="00AF79CB" w:rsidRDefault="001F65E8" w:rsidP="00CE62F9">
      <w:pPr>
        <w:pStyle w:val="Encabezado"/>
        <w:spacing w:before="240"/>
        <w:jc w:val="both"/>
        <w:rPr>
          <w:rFonts w:cs="Arial"/>
          <w:bCs/>
          <w:color w:val="000000"/>
          <w:sz w:val="24"/>
        </w:rPr>
      </w:pPr>
      <w:r>
        <w:rPr>
          <w:noProof/>
          <w:lang w:val="es-CL" w:eastAsia="es-CL"/>
        </w:rPr>
        <w:drawing>
          <wp:inline distT="0" distB="0" distL="0" distR="0" wp14:anchorId="6AA7E52B" wp14:editId="4AA58F31">
            <wp:extent cx="4572000" cy="2743200"/>
            <wp:effectExtent l="0" t="0" r="19050" b="1905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2BD1ECC8" w14:textId="230DC49C" w:rsidR="00BD4224" w:rsidRDefault="00BD4224" w:rsidP="009D6C1D">
      <w:pPr>
        <w:pStyle w:val="Encabezado"/>
        <w:rPr>
          <w:rFonts w:cs="Arial"/>
          <w:bCs/>
          <w:color w:val="000000"/>
          <w:sz w:val="24"/>
        </w:rPr>
      </w:pPr>
      <w:r>
        <w:rPr>
          <w:rFonts w:cs="Arial"/>
          <w:b/>
          <w:bCs/>
          <w:color w:val="000000"/>
          <w:sz w:val="24"/>
        </w:rPr>
        <w:t>F</w:t>
      </w:r>
      <w:r w:rsidRPr="007F6A01">
        <w:rPr>
          <w:rFonts w:cs="Arial"/>
          <w:b/>
          <w:bCs/>
          <w:color w:val="000000"/>
          <w:sz w:val="24"/>
        </w:rPr>
        <w:t xml:space="preserve">igura </w:t>
      </w:r>
      <w:r w:rsidR="00FB5D96">
        <w:rPr>
          <w:rFonts w:cs="Arial"/>
          <w:b/>
          <w:bCs/>
          <w:color w:val="000000"/>
          <w:sz w:val="24"/>
        </w:rPr>
        <w:t>24</w:t>
      </w:r>
      <w:r w:rsidRPr="007F6A01">
        <w:rPr>
          <w:rFonts w:cs="Arial"/>
          <w:b/>
          <w:bCs/>
          <w:color w:val="000000"/>
          <w:sz w:val="24"/>
        </w:rPr>
        <w:t>.</w:t>
      </w:r>
      <w:r>
        <w:rPr>
          <w:rFonts w:cs="Arial"/>
          <w:b/>
          <w:bCs/>
          <w:color w:val="000000"/>
          <w:sz w:val="24"/>
        </w:rPr>
        <w:t xml:space="preserve"> </w:t>
      </w:r>
      <w:r w:rsidRPr="00BD4224">
        <w:rPr>
          <w:rFonts w:cs="Arial"/>
          <w:bCs/>
          <w:color w:val="000000"/>
          <w:sz w:val="24"/>
        </w:rPr>
        <w:t>Energía utilizada para elaborar una tonelada de producto final</w:t>
      </w:r>
      <w:r w:rsidR="00685F07">
        <w:rPr>
          <w:rFonts w:cs="Arial"/>
          <w:bCs/>
          <w:color w:val="000000"/>
          <w:sz w:val="24"/>
        </w:rPr>
        <w:t>.</w:t>
      </w:r>
    </w:p>
    <w:p w14:paraId="31513D30" w14:textId="77777777" w:rsidR="00DF0C65" w:rsidRDefault="00DF0C65" w:rsidP="00CE62F9">
      <w:pPr>
        <w:pStyle w:val="Encabezado"/>
        <w:tabs>
          <w:tab w:val="clear" w:pos="4252"/>
          <w:tab w:val="center" w:pos="709"/>
        </w:tabs>
        <w:spacing w:before="240" w:line="276" w:lineRule="auto"/>
        <w:jc w:val="both"/>
        <w:rPr>
          <w:szCs w:val="24"/>
          <w:lang w:val="es-CL" w:eastAsia="es-CL"/>
        </w:rPr>
      </w:pPr>
    </w:p>
    <w:p w14:paraId="14A53195" w14:textId="77777777" w:rsidR="00DF0C65" w:rsidRDefault="00DF0C65" w:rsidP="00CE62F9">
      <w:pPr>
        <w:pStyle w:val="Encabezado"/>
        <w:tabs>
          <w:tab w:val="clear" w:pos="4252"/>
          <w:tab w:val="center" w:pos="709"/>
        </w:tabs>
        <w:spacing w:before="240" w:line="276" w:lineRule="auto"/>
        <w:jc w:val="both"/>
        <w:rPr>
          <w:szCs w:val="24"/>
          <w:lang w:val="es-CL" w:eastAsia="es-CL"/>
        </w:rPr>
      </w:pPr>
    </w:p>
    <w:p w14:paraId="42A6E5D6" w14:textId="77777777" w:rsidR="00ED26C2" w:rsidRDefault="00ED26C2" w:rsidP="00CE62F9">
      <w:pPr>
        <w:pStyle w:val="Encabezado"/>
        <w:tabs>
          <w:tab w:val="clear" w:pos="4252"/>
          <w:tab w:val="center" w:pos="709"/>
        </w:tabs>
        <w:spacing w:before="240" w:line="276" w:lineRule="auto"/>
        <w:jc w:val="both"/>
        <w:rPr>
          <w:szCs w:val="24"/>
          <w:lang w:val="es-CL" w:eastAsia="es-CL"/>
        </w:rPr>
      </w:pPr>
    </w:p>
    <w:p w14:paraId="3E599BAF" w14:textId="77777777" w:rsidR="00DB734E" w:rsidRDefault="00DB734E" w:rsidP="00CE62F9">
      <w:pPr>
        <w:pStyle w:val="Encabezado"/>
        <w:tabs>
          <w:tab w:val="clear" w:pos="4252"/>
          <w:tab w:val="center" w:pos="709"/>
        </w:tabs>
        <w:spacing w:before="240" w:line="276" w:lineRule="auto"/>
        <w:jc w:val="both"/>
        <w:rPr>
          <w:szCs w:val="24"/>
          <w:lang w:val="es-CL" w:eastAsia="es-CL"/>
        </w:rPr>
      </w:pPr>
    </w:p>
    <w:p w14:paraId="17CC0D00" w14:textId="77777777" w:rsidR="00ED26C2" w:rsidRDefault="00ED26C2" w:rsidP="00CE62F9">
      <w:pPr>
        <w:pStyle w:val="Encabezado"/>
        <w:tabs>
          <w:tab w:val="clear" w:pos="4252"/>
          <w:tab w:val="center" w:pos="709"/>
        </w:tabs>
        <w:spacing w:before="240" w:line="276" w:lineRule="auto"/>
        <w:jc w:val="both"/>
        <w:rPr>
          <w:b/>
          <w:sz w:val="24"/>
          <w:szCs w:val="24"/>
          <w:lang w:val="es-CL" w:eastAsia="es-CL"/>
        </w:rPr>
      </w:pPr>
    </w:p>
    <w:p w14:paraId="1C11B18E" w14:textId="77777777" w:rsidR="00272FBA" w:rsidRPr="00ED26C2" w:rsidRDefault="00685F07" w:rsidP="00CE62F9">
      <w:pPr>
        <w:pStyle w:val="Encabezado"/>
        <w:tabs>
          <w:tab w:val="clear" w:pos="4252"/>
          <w:tab w:val="center" w:pos="709"/>
        </w:tabs>
        <w:spacing w:before="240" w:line="276" w:lineRule="auto"/>
        <w:jc w:val="both"/>
        <w:rPr>
          <w:b/>
          <w:sz w:val="24"/>
          <w:szCs w:val="24"/>
          <w:lang w:val="es-CL" w:eastAsia="es-CL"/>
        </w:rPr>
      </w:pPr>
      <w:r w:rsidRPr="00ED26C2">
        <w:rPr>
          <w:b/>
          <w:sz w:val="24"/>
          <w:szCs w:val="24"/>
          <w:lang w:val="es-CL" w:eastAsia="es-CL"/>
        </w:rPr>
        <w:t>Eficiencia energética</w:t>
      </w:r>
    </w:p>
    <w:p w14:paraId="5750CF44" w14:textId="1EA58AAE" w:rsidR="00A261F2" w:rsidRPr="00152EEA" w:rsidRDefault="00272FBA" w:rsidP="00CE62F9">
      <w:pPr>
        <w:pStyle w:val="Encabezado"/>
        <w:tabs>
          <w:tab w:val="clear" w:pos="4252"/>
          <w:tab w:val="center" w:pos="709"/>
        </w:tabs>
        <w:spacing w:before="240" w:line="276" w:lineRule="auto"/>
        <w:jc w:val="both"/>
      </w:pPr>
      <w:r>
        <w:rPr>
          <w:rFonts w:cs="Arial"/>
          <w:bCs/>
          <w:color w:val="000000"/>
          <w:sz w:val="24"/>
        </w:rPr>
        <w:t>L</w:t>
      </w:r>
      <w:r w:rsidR="00A261F2" w:rsidRPr="00152EEA">
        <w:rPr>
          <w:rFonts w:cs="Arial"/>
          <w:bCs/>
          <w:color w:val="000000"/>
          <w:sz w:val="24"/>
        </w:rPr>
        <w:t xml:space="preserve">a eficiencia energética (EE) </w:t>
      </w:r>
      <w:r w:rsidR="0077304D" w:rsidRPr="00152EEA">
        <w:rPr>
          <w:rFonts w:cs="Arial"/>
          <w:bCs/>
          <w:color w:val="000000"/>
          <w:sz w:val="24"/>
        </w:rPr>
        <w:t>es una</w:t>
      </w:r>
      <w:r w:rsidR="00A261F2" w:rsidRPr="00152EEA">
        <w:rPr>
          <w:rFonts w:cs="Arial"/>
          <w:bCs/>
          <w:color w:val="000000"/>
          <w:sz w:val="24"/>
        </w:rPr>
        <w:t xml:space="preserve"> práctica que tiene como objet</w:t>
      </w:r>
      <w:r w:rsidR="0077304D" w:rsidRPr="00152EEA">
        <w:rPr>
          <w:rFonts w:cs="Arial"/>
          <w:bCs/>
          <w:color w:val="000000"/>
          <w:sz w:val="24"/>
        </w:rPr>
        <w:t>o reducir el consumo de energía</w:t>
      </w:r>
      <w:r w:rsidR="006B1A85" w:rsidRPr="00152EEA">
        <w:rPr>
          <w:rFonts w:cs="Arial"/>
          <w:bCs/>
          <w:color w:val="000000"/>
          <w:sz w:val="24"/>
        </w:rPr>
        <w:t xml:space="preserve"> para </w:t>
      </w:r>
      <w:r w:rsidR="00A261F2" w:rsidRPr="00152EEA">
        <w:rPr>
          <w:rFonts w:cs="Arial"/>
          <w:bCs/>
          <w:color w:val="000000"/>
          <w:sz w:val="24"/>
        </w:rPr>
        <w:t>opt</w:t>
      </w:r>
      <w:r w:rsidR="006B1A85" w:rsidRPr="00152EEA">
        <w:rPr>
          <w:rFonts w:cs="Arial"/>
          <w:bCs/>
          <w:color w:val="000000"/>
          <w:sz w:val="24"/>
        </w:rPr>
        <w:t xml:space="preserve">imizar los procesos productivos, </w:t>
      </w:r>
      <w:r w:rsidR="00A261F2" w:rsidRPr="00152EEA">
        <w:rPr>
          <w:rFonts w:cs="Arial"/>
          <w:bCs/>
          <w:color w:val="000000"/>
          <w:sz w:val="24"/>
        </w:rPr>
        <w:t xml:space="preserve">utilizando lo mismo o menos para </w:t>
      </w:r>
      <w:r w:rsidR="006B1A85" w:rsidRPr="00152EEA">
        <w:rPr>
          <w:rFonts w:cs="Arial"/>
          <w:bCs/>
          <w:color w:val="000000"/>
          <w:sz w:val="24"/>
        </w:rPr>
        <w:t>la producción de</w:t>
      </w:r>
      <w:r w:rsidR="00A261F2" w:rsidRPr="00152EEA">
        <w:rPr>
          <w:rFonts w:cs="Arial"/>
          <w:bCs/>
          <w:color w:val="000000"/>
          <w:sz w:val="24"/>
        </w:rPr>
        <w:t xml:space="preserve"> más bienes y servicios.</w:t>
      </w:r>
      <w:r w:rsidR="00A261F2" w:rsidRPr="00152EEA">
        <w:t xml:space="preserve"> </w:t>
      </w:r>
    </w:p>
    <w:p w14:paraId="704A8177" w14:textId="3465878D" w:rsidR="00A261F2" w:rsidRPr="00152EEA" w:rsidRDefault="00A261F2" w:rsidP="00CE62F9">
      <w:pPr>
        <w:pStyle w:val="Encabezado"/>
        <w:spacing w:before="240" w:line="276" w:lineRule="auto"/>
        <w:jc w:val="both"/>
        <w:rPr>
          <w:rFonts w:cs="Arial"/>
          <w:bCs/>
          <w:color w:val="000000"/>
          <w:sz w:val="24"/>
        </w:rPr>
      </w:pPr>
      <w:r w:rsidRPr="00152EEA">
        <w:rPr>
          <w:rFonts w:cs="Arial"/>
          <w:bCs/>
          <w:color w:val="000000"/>
          <w:sz w:val="24"/>
        </w:rPr>
        <w:t>El uso eficiente de energía</w:t>
      </w:r>
      <w:r w:rsidR="00B863D0" w:rsidRPr="00152EEA">
        <w:rPr>
          <w:rFonts w:cs="Arial"/>
          <w:bCs/>
          <w:color w:val="000000"/>
          <w:sz w:val="24"/>
        </w:rPr>
        <w:t xml:space="preserve"> implica </w:t>
      </w:r>
      <w:r w:rsidRPr="00152EEA">
        <w:rPr>
          <w:rFonts w:cs="Arial"/>
          <w:bCs/>
          <w:color w:val="000000"/>
          <w:sz w:val="24"/>
        </w:rPr>
        <w:t>reducir la cantidad de energía eléctrica y de combustibles que utilizamos, pero conservando la calidad y el acceso a bienes y servicios. Usualmente dicha reducción en el consumo de energía se asocia a un cambio tecnológico, ya sea por la creación de nuevas tecnologías que incrementen el rendimiento de los artefactos o por nuevos diseños de máquinas y espacios habitables,</w:t>
      </w:r>
      <w:r w:rsidR="006B1A85" w:rsidRPr="00152EEA">
        <w:rPr>
          <w:rFonts w:cs="Arial"/>
          <w:bCs/>
          <w:color w:val="000000"/>
          <w:sz w:val="24"/>
        </w:rPr>
        <w:t xml:space="preserve"> disminuyendo la pérdida </w:t>
      </w:r>
      <w:r w:rsidRPr="00152EEA">
        <w:rPr>
          <w:rFonts w:cs="Arial"/>
          <w:bCs/>
          <w:color w:val="000000"/>
          <w:sz w:val="24"/>
        </w:rPr>
        <w:t xml:space="preserve">de energía por calor. No obstante, no siempre es así, ya que la reducción en el consumo de energía puede estar vinculada a una mejor gestión o cambios en los hábitos y actitudes. </w:t>
      </w:r>
    </w:p>
    <w:p w14:paraId="5D319FA7" w14:textId="19C3B720" w:rsidR="00A261F2" w:rsidRPr="00152EEA" w:rsidRDefault="00DB60BB" w:rsidP="00CE62F9">
      <w:pPr>
        <w:pStyle w:val="Encabezado"/>
        <w:spacing w:before="240" w:line="276" w:lineRule="auto"/>
        <w:jc w:val="both"/>
        <w:rPr>
          <w:rFonts w:cs="Arial"/>
          <w:bCs/>
          <w:color w:val="000000"/>
          <w:sz w:val="24"/>
        </w:rPr>
      </w:pPr>
      <w:r>
        <w:rPr>
          <w:rFonts w:cs="Arial"/>
          <w:bCs/>
          <w:color w:val="000000"/>
          <w:sz w:val="24"/>
        </w:rPr>
        <w:t>La e</w:t>
      </w:r>
      <w:r w:rsidR="00A261F2" w:rsidRPr="00152EEA">
        <w:rPr>
          <w:rFonts w:cs="Arial"/>
          <w:bCs/>
          <w:color w:val="000000"/>
          <w:sz w:val="24"/>
        </w:rPr>
        <w:t xml:space="preserve">ficiencia energética </w:t>
      </w:r>
      <w:r w:rsidR="00D858A8" w:rsidRPr="00152EEA">
        <w:rPr>
          <w:rFonts w:cs="Arial"/>
          <w:bCs/>
          <w:color w:val="000000"/>
          <w:sz w:val="24"/>
        </w:rPr>
        <w:t xml:space="preserve">no se debe confundir </w:t>
      </w:r>
      <w:r w:rsidR="00A261F2" w:rsidRPr="00152EEA">
        <w:rPr>
          <w:rFonts w:cs="Arial"/>
          <w:bCs/>
          <w:color w:val="000000"/>
          <w:sz w:val="24"/>
        </w:rPr>
        <w:t xml:space="preserve">con la </w:t>
      </w:r>
      <w:r>
        <w:rPr>
          <w:rFonts w:cs="Arial"/>
          <w:bCs/>
          <w:color w:val="000000"/>
          <w:sz w:val="24"/>
        </w:rPr>
        <w:t>e</w:t>
      </w:r>
      <w:r w:rsidRPr="00152EEA">
        <w:rPr>
          <w:rFonts w:cs="Arial"/>
          <w:bCs/>
          <w:color w:val="000000"/>
          <w:sz w:val="24"/>
        </w:rPr>
        <w:t xml:space="preserve">nergía </w:t>
      </w:r>
      <w:r>
        <w:rPr>
          <w:rFonts w:cs="Arial"/>
          <w:bCs/>
          <w:color w:val="000000"/>
          <w:sz w:val="24"/>
        </w:rPr>
        <w:t>r</w:t>
      </w:r>
      <w:r w:rsidRPr="00152EEA">
        <w:rPr>
          <w:rFonts w:cs="Arial"/>
          <w:bCs/>
          <w:color w:val="000000"/>
          <w:sz w:val="24"/>
        </w:rPr>
        <w:t xml:space="preserve">enovable </w:t>
      </w:r>
      <w:r w:rsidR="00A261F2" w:rsidRPr="00152EEA">
        <w:rPr>
          <w:rFonts w:cs="Arial"/>
          <w:bCs/>
          <w:color w:val="000000"/>
          <w:sz w:val="24"/>
        </w:rPr>
        <w:t xml:space="preserve">(ER), </w:t>
      </w:r>
      <w:r w:rsidR="006B1A85" w:rsidRPr="00152EEA">
        <w:rPr>
          <w:rFonts w:cs="Arial"/>
          <w:bCs/>
          <w:color w:val="000000"/>
          <w:sz w:val="24"/>
        </w:rPr>
        <w:t>ya que</w:t>
      </w:r>
      <w:r w:rsidR="00A261F2" w:rsidRPr="00152EEA">
        <w:rPr>
          <w:rFonts w:cs="Arial"/>
          <w:bCs/>
          <w:color w:val="000000"/>
          <w:sz w:val="24"/>
        </w:rPr>
        <w:t xml:space="preserve"> es un tipo de fuente de energía, mientras que la eficiencia energética es un análisis de todo el sistema, que podrá presentar como medidas de reducción de consumo de energ</w:t>
      </w:r>
      <w:r w:rsidR="00D858A8" w:rsidRPr="00152EEA">
        <w:rPr>
          <w:rFonts w:cs="Arial"/>
          <w:bCs/>
          <w:color w:val="000000"/>
          <w:sz w:val="24"/>
        </w:rPr>
        <w:t xml:space="preserve">ía, </w:t>
      </w:r>
      <w:r w:rsidR="006B1A85" w:rsidRPr="00152EEA">
        <w:rPr>
          <w:rFonts w:cs="Arial"/>
          <w:bCs/>
          <w:color w:val="000000"/>
          <w:sz w:val="24"/>
        </w:rPr>
        <w:t>uso de energía renovable</w:t>
      </w:r>
      <w:r w:rsidR="00A261F2" w:rsidRPr="00152EEA">
        <w:rPr>
          <w:rFonts w:cs="Arial"/>
          <w:bCs/>
          <w:color w:val="000000"/>
          <w:sz w:val="24"/>
        </w:rPr>
        <w:t>.</w:t>
      </w:r>
      <w:r w:rsidR="004243BD" w:rsidRPr="00152EEA">
        <w:rPr>
          <w:rFonts w:cs="Arial"/>
          <w:bCs/>
          <w:color w:val="000000"/>
          <w:sz w:val="24"/>
        </w:rPr>
        <w:t xml:space="preserve"> </w:t>
      </w:r>
      <w:r w:rsidR="00B863D0" w:rsidRPr="00152EEA">
        <w:rPr>
          <w:rFonts w:cs="Arial"/>
          <w:bCs/>
          <w:color w:val="000000"/>
          <w:sz w:val="24"/>
        </w:rPr>
        <w:t>Los principales beneficios de la eficiencia energética están relacionados con ahorro de dinero,</w:t>
      </w:r>
      <w:r w:rsidR="00B863D0" w:rsidRPr="00152EEA">
        <w:t xml:space="preserve"> </w:t>
      </w:r>
      <w:r w:rsidR="00B863D0" w:rsidRPr="00152EEA">
        <w:rPr>
          <w:rFonts w:cs="Arial"/>
          <w:bCs/>
          <w:color w:val="000000"/>
          <w:sz w:val="24"/>
        </w:rPr>
        <w:t>promover sostenibilidad económica, política y ambiental.</w:t>
      </w:r>
    </w:p>
    <w:p w14:paraId="3A2A975D" w14:textId="08B2507B" w:rsidR="00B34693" w:rsidRPr="00071804" w:rsidRDefault="00DB60BB" w:rsidP="00CE62F9">
      <w:pPr>
        <w:pStyle w:val="Encabezado"/>
        <w:spacing w:before="240" w:line="276" w:lineRule="auto"/>
        <w:jc w:val="both"/>
        <w:rPr>
          <w:rFonts w:cs="Arial"/>
          <w:bCs/>
          <w:color w:val="000000"/>
          <w:sz w:val="24"/>
        </w:rPr>
      </w:pPr>
      <w:r>
        <w:rPr>
          <w:rFonts w:cs="Arial"/>
          <w:bCs/>
          <w:color w:val="000000"/>
          <w:sz w:val="24"/>
        </w:rPr>
        <w:t>Por consiguiente s</w:t>
      </w:r>
      <w:r w:rsidR="00B26684" w:rsidRPr="00152EEA">
        <w:rPr>
          <w:rFonts w:cs="Arial"/>
          <w:bCs/>
          <w:color w:val="000000"/>
          <w:sz w:val="24"/>
        </w:rPr>
        <w:t>e</w:t>
      </w:r>
      <w:r w:rsidR="00B34693" w:rsidRPr="00152EEA">
        <w:rPr>
          <w:rFonts w:cs="Arial"/>
          <w:bCs/>
          <w:color w:val="000000"/>
          <w:sz w:val="24"/>
        </w:rPr>
        <w:t xml:space="preserve"> identifica </w:t>
      </w:r>
      <w:r w:rsidR="00B26684" w:rsidRPr="00152EEA">
        <w:rPr>
          <w:rFonts w:cs="Arial"/>
          <w:bCs/>
          <w:color w:val="000000"/>
          <w:sz w:val="24"/>
        </w:rPr>
        <w:t xml:space="preserve">que las empresas </w:t>
      </w:r>
      <w:r>
        <w:rPr>
          <w:rFonts w:cs="Arial"/>
          <w:bCs/>
          <w:color w:val="000000"/>
          <w:sz w:val="24"/>
        </w:rPr>
        <w:t xml:space="preserve">tienen </w:t>
      </w:r>
      <w:r w:rsidR="00B34693" w:rsidRPr="00152EEA">
        <w:rPr>
          <w:rFonts w:cs="Arial"/>
          <w:bCs/>
          <w:color w:val="000000"/>
          <w:sz w:val="24"/>
        </w:rPr>
        <w:t>bajo nivel de innovación en acciones d</w:t>
      </w:r>
      <w:r w:rsidR="004243BD" w:rsidRPr="00152EEA">
        <w:rPr>
          <w:rFonts w:cs="Arial"/>
          <w:bCs/>
          <w:color w:val="000000"/>
          <w:sz w:val="24"/>
        </w:rPr>
        <w:t>e eficiencia energética, el</w:t>
      </w:r>
      <w:r w:rsidR="00B34693" w:rsidRPr="00152EEA">
        <w:rPr>
          <w:rFonts w:cs="Arial"/>
          <w:bCs/>
          <w:color w:val="000000"/>
          <w:sz w:val="24"/>
        </w:rPr>
        <w:t xml:space="preserve"> </w:t>
      </w:r>
      <w:r w:rsidR="004243BD" w:rsidRPr="00152EEA">
        <w:rPr>
          <w:rFonts w:cs="Arial"/>
          <w:bCs/>
          <w:color w:val="000000"/>
          <w:sz w:val="24"/>
        </w:rPr>
        <w:t>33% de los entrevistados informa</w:t>
      </w:r>
      <w:r w:rsidR="00B34693" w:rsidRPr="00152EEA">
        <w:rPr>
          <w:rFonts w:cs="Arial"/>
          <w:bCs/>
          <w:color w:val="000000"/>
          <w:sz w:val="24"/>
        </w:rPr>
        <w:t xml:space="preserve"> haberlo realizado disminuyendo con ello los consumo</w:t>
      </w:r>
      <w:r w:rsidR="00313B13" w:rsidRPr="00152EEA">
        <w:rPr>
          <w:rFonts w:cs="Arial"/>
          <w:bCs/>
          <w:color w:val="000000"/>
          <w:sz w:val="24"/>
        </w:rPr>
        <w:t>s</w:t>
      </w:r>
      <w:r w:rsidR="00B34693" w:rsidRPr="00152EEA">
        <w:rPr>
          <w:rFonts w:cs="Arial"/>
          <w:bCs/>
          <w:color w:val="000000"/>
          <w:sz w:val="24"/>
        </w:rPr>
        <w:t xml:space="preserve"> de electricidad</w:t>
      </w:r>
      <w:r w:rsidR="00685F07" w:rsidRPr="00152EEA">
        <w:rPr>
          <w:rFonts w:cs="Arial"/>
          <w:bCs/>
          <w:color w:val="000000"/>
          <w:sz w:val="24"/>
        </w:rPr>
        <w:t xml:space="preserve"> (3 empresas)</w:t>
      </w:r>
      <w:r w:rsidR="00B34693" w:rsidRPr="00152EEA">
        <w:rPr>
          <w:rFonts w:cs="Arial"/>
          <w:bCs/>
          <w:color w:val="000000"/>
          <w:sz w:val="24"/>
        </w:rPr>
        <w:t>. La principal innovación se relaciona con el uso de sistemas de iluminación de bajo consumo</w:t>
      </w:r>
      <w:r w:rsidR="00313B13" w:rsidRPr="00152EEA">
        <w:rPr>
          <w:rFonts w:cs="Arial"/>
          <w:bCs/>
          <w:color w:val="000000"/>
          <w:sz w:val="24"/>
        </w:rPr>
        <w:t xml:space="preserve"> como las luces </w:t>
      </w:r>
      <w:proofErr w:type="spellStart"/>
      <w:r w:rsidR="00313B13" w:rsidRPr="00152EEA">
        <w:rPr>
          <w:rFonts w:cs="Arial"/>
          <w:bCs/>
          <w:color w:val="000000"/>
          <w:sz w:val="24"/>
        </w:rPr>
        <w:t>led</w:t>
      </w:r>
      <w:proofErr w:type="spellEnd"/>
      <w:r w:rsidR="00313B13" w:rsidRPr="00152EEA">
        <w:rPr>
          <w:rFonts w:cs="Arial"/>
          <w:bCs/>
          <w:color w:val="000000"/>
          <w:sz w:val="24"/>
        </w:rPr>
        <w:t>,</w:t>
      </w:r>
      <w:r w:rsidR="00685F07" w:rsidRPr="00152EEA">
        <w:rPr>
          <w:rFonts w:cs="Arial"/>
          <w:bCs/>
          <w:color w:val="000000"/>
          <w:sz w:val="24"/>
        </w:rPr>
        <w:t xml:space="preserve"> 78% de la muestra</w:t>
      </w:r>
      <w:r w:rsidR="00EE3424" w:rsidRPr="00152EEA">
        <w:rPr>
          <w:rFonts w:cs="Arial"/>
          <w:bCs/>
          <w:color w:val="000000"/>
          <w:sz w:val="24"/>
        </w:rPr>
        <w:t>.</w:t>
      </w:r>
      <w:r w:rsidR="0045338B">
        <w:rPr>
          <w:rFonts w:cs="Arial"/>
          <w:bCs/>
          <w:color w:val="000000"/>
          <w:sz w:val="24"/>
        </w:rPr>
        <w:t xml:space="preserve"> </w:t>
      </w:r>
      <w:r w:rsidR="0045338B" w:rsidRPr="004633B8">
        <w:rPr>
          <w:rFonts w:cs="Arial"/>
          <w:bCs/>
          <w:color w:val="000000"/>
          <w:sz w:val="24"/>
        </w:rPr>
        <w:t>(Figura 2</w:t>
      </w:r>
      <w:r w:rsidR="00FB5D96">
        <w:rPr>
          <w:rFonts w:cs="Arial"/>
          <w:bCs/>
          <w:color w:val="000000"/>
          <w:sz w:val="24"/>
        </w:rPr>
        <w:t>5</w:t>
      </w:r>
      <w:r w:rsidR="0045338B" w:rsidRPr="004633B8">
        <w:rPr>
          <w:rFonts w:cs="Arial"/>
          <w:bCs/>
          <w:color w:val="000000"/>
          <w:sz w:val="24"/>
        </w:rPr>
        <w:t>).</w:t>
      </w:r>
    </w:p>
    <w:p w14:paraId="313FFB37" w14:textId="50F216F5" w:rsidR="00B34693" w:rsidRDefault="00DB60BB" w:rsidP="00CE62F9">
      <w:pPr>
        <w:pStyle w:val="Encabezado"/>
        <w:spacing w:before="240"/>
        <w:jc w:val="both"/>
        <w:rPr>
          <w:rFonts w:cs="Arial"/>
          <w:bCs/>
          <w:color w:val="000000"/>
          <w:sz w:val="24"/>
        </w:rPr>
      </w:pPr>
      <w:r>
        <w:rPr>
          <w:rFonts w:cs="Arial"/>
          <w:bCs/>
          <w:color w:val="000000"/>
          <w:sz w:val="24"/>
        </w:rPr>
        <w:t>Se d</w:t>
      </w:r>
      <w:r w:rsidR="000E1B31" w:rsidRPr="00152EEA">
        <w:rPr>
          <w:rFonts w:cs="Arial"/>
          <w:bCs/>
          <w:color w:val="000000"/>
          <w:sz w:val="24"/>
        </w:rPr>
        <w:t>estaca que</w:t>
      </w:r>
      <w:r w:rsidR="00B34693" w:rsidRPr="00152EEA">
        <w:rPr>
          <w:rFonts w:cs="Arial"/>
          <w:bCs/>
          <w:color w:val="000000"/>
          <w:sz w:val="24"/>
        </w:rPr>
        <w:t xml:space="preserve"> una empresa</w:t>
      </w:r>
      <w:r w:rsidR="000E1B31" w:rsidRPr="00152EEA">
        <w:rPr>
          <w:rFonts w:cs="Arial"/>
          <w:bCs/>
          <w:color w:val="000000"/>
          <w:sz w:val="24"/>
        </w:rPr>
        <w:t xml:space="preserve"> (11%),</w:t>
      </w:r>
      <w:r w:rsidR="00071804" w:rsidRPr="00152EEA">
        <w:rPr>
          <w:rFonts w:cs="Arial"/>
          <w:bCs/>
          <w:color w:val="000000"/>
          <w:sz w:val="24"/>
        </w:rPr>
        <w:t xml:space="preserve"> utiliza</w:t>
      </w:r>
      <w:r w:rsidR="008913F8" w:rsidRPr="00152EEA">
        <w:rPr>
          <w:rFonts w:cs="Arial"/>
          <w:bCs/>
          <w:color w:val="000000"/>
          <w:sz w:val="24"/>
        </w:rPr>
        <w:t xml:space="preserve"> </w:t>
      </w:r>
      <w:r w:rsidR="000E1B31" w:rsidRPr="00152EEA">
        <w:rPr>
          <w:rFonts w:cs="Arial"/>
          <w:bCs/>
          <w:color w:val="000000"/>
          <w:sz w:val="24"/>
        </w:rPr>
        <w:t xml:space="preserve">un panel solar como alternativa de </w:t>
      </w:r>
      <w:r w:rsidR="008913F8" w:rsidRPr="00152EEA">
        <w:rPr>
          <w:rFonts w:cs="Arial"/>
          <w:bCs/>
          <w:color w:val="000000"/>
          <w:sz w:val="24"/>
        </w:rPr>
        <w:t>energía no</w:t>
      </w:r>
      <w:r w:rsidR="000E1B31" w:rsidRPr="00152EEA">
        <w:rPr>
          <w:rFonts w:cs="Arial"/>
          <w:bCs/>
          <w:color w:val="000000"/>
          <w:sz w:val="24"/>
        </w:rPr>
        <w:t xml:space="preserve"> </w:t>
      </w:r>
      <w:r w:rsidR="000E1B31" w:rsidRPr="004633B8">
        <w:rPr>
          <w:rFonts w:cs="Arial"/>
          <w:bCs/>
          <w:color w:val="000000"/>
          <w:sz w:val="24"/>
        </w:rPr>
        <w:t xml:space="preserve">convencional. La energía que produce es empleada </w:t>
      </w:r>
      <w:r w:rsidR="008913F8" w:rsidRPr="004633B8">
        <w:rPr>
          <w:rFonts w:cs="Arial"/>
          <w:bCs/>
          <w:color w:val="000000"/>
          <w:sz w:val="24"/>
        </w:rPr>
        <w:t>para luminarias</w:t>
      </w:r>
      <w:r w:rsidR="0045338B" w:rsidRPr="004633B8">
        <w:rPr>
          <w:rFonts w:cs="Arial"/>
          <w:bCs/>
          <w:color w:val="000000"/>
          <w:sz w:val="24"/>
        </w:rPr>
        <w:t xml:space="preserve"> (Figura 2</w:t>
      </w:r>
      <w:r w:rsidR="00FB5D96">
        <w:rPr>
          <w:rFonts w:cs="Arial"/>
          <w:bCs/>
          <w:color w:val="000000"/>
          <w:sz w:val="24"/>
        </w:rPr>
        <w:t>5</w:t>
      </w:r>
      <w:r w:rsidR="0045338B" w:rsidRPr="004633B8">
        <w:rPr>
          <w:rFonts w:cs="Arial"/>
          <w:bCs/>
          <w:color w:val="000000"/>
          <w:sz w:val="24"/>
        </w:rPr>
        <w:t>).</w:t>
      </w:r>
      <w:r w:rsidR="00B34693" w:rsidRPr="00071804">
        <w:rPr>
          <w:rFonts w:cs="Arial"/>
          <w:bCs/>
          <w:color w:val="000000"/>
          <w:sz w:val="24"/>
        </w:rPr>
        <w:t xml:space="preserve"> </w:t>
      </w:r>
    </w:p>
    <w:p w14:paraId="7E953DAD" w14:textId="77777777" w:rsidR="00B34693" w:rsidRDefault="00B34693" w:rsidP="00CE62F9">
      <w:pPr>
        <w:pStyle w:val="Encabezado"/>
        <w:spacing w:before="240"/>
        <w:jc w:val="both"/>
        <w:rPr>
          <w:rFonts w:cs="Arial"/>
          <w:bCs/>
          <w:color w:val="000000"/>
          <w:sz w:val="24"/>
        </w:rPr>
      </w:pPr>
    </w:p>
    <w:p w14:paraId="5171BB18" w14:textId="77777777" w:rsidR="00B34693" w:rsidRPr="007A53AB" w:rsidRDefault="00B34693" w:rsidP="00381B35">
      <w:pPr>
        <w:pStyle w:val="Encabezado"/>
        <w:spacing w:before="240"/>
        <w:rPr>
          <w:highlight w:val="yellow"/>
          <w:lang w:eastAsia="es-CL"/>
        </w:rPr>
      </w:pPr>
      <w:r>
        <w:rPr>
          <w:noProof/>
          <w:lang w:val="es-CL" w:eastAsia="es-CL"/>
        </w:rPr>
        <w:lastRenderedPageBreak/>
        <w:drawing>
          <wp:inline distT="0" distB="0" distL="0" distR="0" wp14:anchorId="2190DAD6" wp14:editId="282A9512">
            <wp:extent cx="4692769" cy="2656936"/>
            <wp:effectExtent l="0" t="0" r="12700" b="1016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14:paraId="132374F8" w14:textId="72679B94" w:rsidR="00B34693" w:rsidRDefault="009371DE" w:rsidP="009D6C1D">
      <w:pPr>
        <w:pStyle w:val="Encabezado"/>
        <w:jc w:val="both"/>
        <w:rPr>
          <w:rFonts w:cs="Arial"/>
          <w:bCs/>
          <w:color w:val="000000"/>
          <w:sz w:val="24"/>
        </w:rPr>
      </w:pPr>
      <w:r w:rsidRPr="0045338B">
        <w:rPr>
          <w:rFonts w:cs="Arial"/>
          <w:b/>
          <w:bCs/>
          <w:color w:val="000000"/>
          <w:sz w:val="24"/>
        </w:rPr>
        <w:t xml:space="preserve">Figura </w:t>
      </w:r>
      <w:r w:rsidR="00FB5D96">
        <w:rPr>
          <w:rFonts w:cs="Arial"/>
          <w:b/>
          <w:bCs/>
          <w:color w:val="000000"/>
          <w:sz w:val="24"/>
        </w:rPr>
        <w:t>25</w:t>
      </w:r>
      <w:r w:rsidR="00313B13">
        <w:rPr>
          <w:rFonts w:cs="Arial"/>
          <w:bCs/>
          <w:color w:val="000000"/>
          <w:sz w:val="24"/>
        </w:rPr>
        <w:t xml:space="preserve">. </w:t>
      </w:r>
      <w:r w:rsidR="00B34693" w:rsidRPr="000E1B31">
        <w:rPr>
          <w:rFonts w:cs="Arial"/>
          <w:bCs/>
          <w:color w:val="000000"/>
          <w:sz w:val="24"/>
        </w:rPr>
        <w:t xml:space="preserve">Gestión </w:t>
      </w:r>
      <w:r w:rsidR="00EC65F1">
        <w:rPr>
          <w:rFonts w:cs="Arial"/>
          <w:bCs/>
          <w:color w:val="000000"/>
          <w:sz w:val="24"/>
        </w:rPr>
        <w:t>en</w:t>
      </w:r>
      <w:r w:rsidR="00EC65F1" w:rsidRPr="000E1B31">
        <w:rPr>
          <w:rFonts w:cs="Arial"/>
          <w:bCs/>
          <w:color w:val="000000"/>
          <w:sz w:val="24"/>
        </w:rPr>
        <w:t xml:space="preserve"> </w:t>
      </w:r>
      <w:r w:rsidR="00B34693" w:rsidRPr="000E1B31">
        <w:rPr>
          <w:rFonts w:cs="Arial"/>
          <w:bCs/>
          <w:color w:val="000000"/>
          <w:sz w:val="24"/>
        </w:rPr>
        <w:t>Eficiencia Energética</w:t>
      </w:r>
      <w:r w:rsidR="004633B8">
        <w:rPr>
          <w:rFonts w:cs="Arial"/>
          <w:bCs/>
          <w:color w:val="000000"/>
          <w:sz w:val="24"/>
        </w:rPr>
        <w:t xml:space="preserve"> (%).</w:t>
      </w:r>
    </w:p>
    <w:p w14:paraId="37E41DC6" w14:textId="77777777" w:rsidR="000E1B31" w:rsidRDefault="000E1B31" w:rsidP="00CE62F9">
      <w:pPr>
        <w:pStyle w:val="Encabezado"/>
        <w:spacing w:before="240"/>
        <w:jc w:val="both"/>
      </w:pPr>
    </w:p>
    <w:p w14:paraId="38AFF2C7" w14:textId="3E1A2A1B" w:rsidR="00082B2B" w:rsidRPr="00ED26C2" w:rsidRDefault="006C5618" w:rsidP="00343562">
      <w:pPr>
        <w:pStyle w:val="Ttulo2"/>
        <w:rPr>
          <w:b w:val="0"/>
          <w:sz w:val="32"/>
          <w:szCs w:val="32"/>
        </w:rPr>
      </w:pPr>
      <w:bookmarkStart w:id="18" w:name="_Toc471999529"/>
      <w:r w:rsidRPr="00ED26C2">
        <w:rPr>
          <w:b w:val="0"/>
          <w:sz w:val="32"/>
          <w:szCs w:val="32"/>
        </w:rPr>
        <w:t>Valorización de Residuos</w:t>
      </w:r>
      <w:bookmarkEnd w:id="18"/>
    </w:p>
    <w:p w14:paraId="0D78AEDF" w14:textId="455702A1" w:rsidR="006054FE" w:rsidRPr="00152EEA" w:rsidRDefault="006054FE" w:rsidP="00CE62F9">
      <w:pPr>
        <w:pStyle w:val="Encabezado"/>
        <w:spacing w:before="240" w:line="276" w:lineRule="auto"/>
        <w:jc w:val="both"/>
        <w:rPr>
          <w:rFonts w:cs="Arial"/>
          <w:bCs/>
          <w:color w:val="000000"/>
          <w:sz w:val="24"/>
        </w:rPr>
      </w:pPr>
      <w:r w:rsidRPr="00152EEA">
        <w:rPr>
          <w:rFonts w:cs="Arial"/>
          <w:bCs/>
          <w:color w:val="000000"/>
          <w:sz w:val="24"/>
        </w:rPr>
        <w:t>La Ley N° 20.920/2016</w:t>
      </w:r>
      <w:r w:rsidR="000E1B31" w:rsidRPr="00152EEA">
        <w:rPr>
          <w:rFonts w:cs="Arial"/>
          <w:bCs/>
          <w:color w:val="000000"/>
          <w:sz w:val="24"/>
        </w:rPr>
        <w:t>,</w:t>
      </w:r>
      <w:r w:rsidRPr="00152EEA">
        <w:rPr>
          <w:rFonts w:cs="Arial"/>
          <w:bCs/>
          <w:color w:val="000000"/>
          <w:sz w:val="24"/>
        </w:rPr>
        <w:t xml:space="preserve"> “Establece marco para la gestión de residuos de la responsabilidad del pr</w:t>
      </w:r>
      <w:r w:rsidR="00313B13" w:rsidRPr="00152EEA">
        <w:rPr>
          <w:rFonts w:cs="Arial"/>
          <w:bCs/>
          <w:color w:val="000000"/>
          <w:sz w:val="24"/>
        </w:rPr>
        <w:t>oductor y fomento al reciclaje” y d</w:t>
      </w:r>
      <w:r w:rsidRPr="00152EEA">
        <w:rPr>
          <w:rFonts w:cs="Arial"/>
          <w:bCs/>
          <w:color w:val="000000"/>
          <w:sz w:val="24"/>
        </w:rPr>
        <w:t>efine Valorización como el conjunto de acciones cuyo objetivo es recuperar un residuo, uno o varios de los materiales que lo componen y/o el poder calorífico de los mismos. La valorización comprende la preparación para la reutilización, el reciclaje y la valorización energética.</w:t>
      </w:r>
    </w:p>
    <w:p w14:paraId="61B8A34A" w14:textId="0BC87029" w:rsidR="007D63F8" w:rsidRDefault="00FE39F0" w:rsidP="00CE62F9">
      <w:pPr>
        <w:pStyle w:val="Encabezado"/>
        <w:spacing w:before="240" w:line="276" w:lineRule="auto"/>
        <w:jc w:val="both"/>
        <w:rPr>
          <w:rFonts w:cs="Arial"/>
          <w:bCs/>
          <w:color w:val="000000"/>
          <w:sz w:val="24"/>
        </w:rPr>
      </w:pPr>
      <w:r w:rsidRPr="00152EEA">
        <w:rPr>
          <w:rFonts w:cs="Arial"/>
          <w:bCs/>
          <w:color w:val="000000"/>
          <w:sz w:val="24"/>
        </w:rPr>
        <w:t>Al consultar a las empresas sobre la valorización de residuos, se evidenció que sólo dos empresas (22%) reutilizan</w:t>
      </w:r>
      <w:r w:rsidR="007D63F8" w:rsidRPr="00152EEA">
        <w:rPr>
          <w:rFonts w:cs="Arial"/>
          <w:bCs/>
          <w:color w:val="000000"/>
          <w:sz w:val="24"/>
        </w:rPr>
        <w:t xml:space="preserve"> en forma interna sus residuos y el 89</w:t>
      </w:r>
      <w:r w:rsidR="00313B13" w:rsidRPr="00152EEA">
        <w:rPr>
          <w:rFonts w:cs="Arial"/>
          <w:bCs/>
          <w:color w:val="000000"/>
          <w:sz w:val="24"/>
        </w:rPr>
        <w:t>% (8 empresas</w:t>
      </w:r>
      <w:r w:rsidR="007D63F8" w:rsidRPr="00152EEA">
        <w:rPr>
          <w:rFonts w:cs="Arial"/>
          <w:bCs/>
          <w:color w:val="000000"/>
          <w:sz w:val="24"/>
        </w:rPr>
        <w:t>) valorizan sus residuos externamente</w:t>
      </w:r>
      <w:r>
        <w:rPr>
          <w:rFonts w:cs="Arial"/>
          <w:bCs/>
          <w:color w:val="000000"/>
          <w:sz w:val="24"/>
        </w:rPr>
        <w:t xml:space="preserve"> </w:t>
      </w:r>
      <w:r w:rsidR="00AC7682">
        <w:rPr>
          <w:rFonts w:cs="Arial"/>
          <w:bCs/>
          <w:color w:val="000000"/>
          <w:sz w:val="24"/>
        </w:rPr>
        <w:t>(</w:t>
      </w:r>
      <w:r w:rsidR="004633B8" w:rsidRPr="004633B8">
        <w:rPr>
          <w:rFonts w:cs="Arial"/>
          <w:bCs/>
          <w:color w:val="000000"/>
          <w:sz w:val="24"/>
        </w:rPr>
        <w:t>Figura</w:t>
      </w:r>
      <w:r w:rsidR="00FB5D96">
        <w:rPr>
          <w:rFonts w:cs="Arial"/>
          <w:bCs/>
          <w:color w:val="000000"/>
          <w:sz w:val="24"/>
        </w:rPr>
        <w:t xml:space="preserve"> 26</w:t>
      </w:r>
      <w:r w:rsidR="00AC7682" w:rsidRPr="004633B8">
        <w:rPr>
          <w:rFonts w:cs="Arial"/>
          <w:bCs/>
          <w:color w:val="000000"/>
          <w:sz w:val="24"/>
        </w:rPr>
        <w:t>).</w:t>
      </w:r>
    </w:p>
    <w:p w14:paraId="600EE1CA" w14:textId="56DA4111" w:rsidR="00016A0E" w:rsidRPr="00016A0E" w:rsidRDefault="000E1B31" w:rsidP="00CE62F9">
      <w:pPr>
        <w:pStyle w:val="Encabezado"/>
        <w:spacing w:before="240" w:line="276" w:lineRule="auto"/>
        <w:jc w:val="both"/>
        <w:rPr>
          <w:rFonts w:cs="Arial"/>
          <w:bCs/>
          <w:color w:val="000000"/>
          <w:sz w:val="24"/>
          <w:highlight w:val="magenta"/>
        </w:rPr>
      </w:pPr>
      <w:r w:rsidRPr="00152EEA">
        <w:rPr>
          <w:rFonts w:cs="Arial"/>
          <w:bCs/>
          <w:color w:val="000000"/>
          <w:sz w:val="24"/>
        </w:rPr>
        <w:t>El 33% de las empresas indica que existen propuestas para valorizar otros residuos a diferencia del 67 % de plantas que</w:t>
      </w:r>
      <w:r w:rsidR="00AC7682" w:rsidRPr="00152EEA">
        <w:rPr>
          <w:rFonts w:cs="Arial"/>
          <w:bCs/>
          <w:color w:val="000000"/>
          <w:sz w:val="24"/>
        </w:rPr>
        <w:t xml:space="preserve"> señalan que no existen propuestas</w:t>
      </w:r>
      <w:r w:rsidR="004633B8">
        <w:rPr>
          <w:rFonts w:cs="Arial"/>
          <w:bCs/>
          <w:color w:val="000000"/>
          <w:sz w:val="24"/>
        </w:rPr>
        <w:t xml:space="preserve"> (</w:t>
      </w:r>
      <w:r w:rsidR="004633B8" w:rsidRPr="004633B8">
        <w:rPr>
          <w:rFonts w:cs="Arial"/>
          <w:bCs/>
          <w:color w:val="000000"/>
          <w:sz w:val="24"/>
        </w:rPr>
        <w:t>Figura</w:t>
      </w:r>
      <w:r w:rsidR="00FB5D96">
        <w:rPr>
          <w:rFonts w:cs="Arial"/>
          <w:bCs/>
          <w:color w:val="000000"/>
          <w:sz w:val="24"/>
        </w:rPr>
        <w:t xml:space="preserve"> 26</w:t>
      </w:r>
      <w:r w:rsidR="004633B8">
        <w:rPr>
          <w:rFonts w:cs="Arial"/>
          <w:bCs/>
          <w:color w:val="000000"/>
          <w:sz w:val="24"/>
        </w:rPr>
        <w:t xml:space="preserve">). </w:t>
      </w:r>
      <w:r w:rsidR="00AC7682" w:rsidRPr="00152EEA">
        <w:rPr>
          <w:rFonts w:cs="Arial"/>
          <w:bCs/>
          <w:color w:val="000000"/>
          <w:sz w:val="24"/>
        </w:rPr>
        <w:t>Cabe</w:t>
      </w:r>
      <w:r w:rsidR="00AC7682">
        <w:rPr>
          <w:rFonts w:cs="Arial"/>
          <w:bCs/>
          <w:color w:val="000000"/>
          <w:sz w:val="24"/>
        </w:rPr>
        <w:t xml:space="preserve"> </w:t>
      </w:r>
      <w:r w:rsidR="00AC7682" w:rsidRPr="00152EEA">
        <w:rPr>
          <w:rFonts w:cs="Arial"/>
          <w:bCs/>
          <w:color w:val="000000"/>
          <w:sz w:val="24"/>
        </w:rPr>
        <w:t>mencionar que los encuestados</w:t>
      </w:r>
      <w:r w:rsidR="00EC65F1">
        <w:rPr>
          <w:rFonts w:cs="Arial"/>
          <w:bCs/>
          <w:color w:val="000000"/>
          <w:sz w:val="24"/>
        </w:rPr>
        <w:t xml:space="preserve"> afirmaron</w:t>
      </w:r>
      <w:r w:rsidR="00AC7682" w:rsidRPr="00152EEA">
        <w:rPr>
          <w:rFonts w:cs="Arial"/>
          <w:bCs/>
          <w:color w:val="000000"/>
          <w:sz w:val="24"/>
        </w:rPr>
        <w:t xml:space="preserve"> que e</w:t>
      </w:r>
      <w:r w:rsidR="005914BC" w:rsidRPr="00152EEA">
        <w:rPr>
          <w:rFonts w:cs="Arial"/>
          <w:bCs/>
          <w:color w:val="000000"/>
          <w:sz w:val="24"/>
        </w:rPr>
        <w:t xml:space="preserve">s necesario trabajar </w:t>
      </w:r>
      <w:r w:rsidR="00151887" w:rsidRPr="00152EEA">
        <w:rPr>
          <w:rFonts w:cs="Arial"/>
          <w:bCs/>
          <w:color w:val="000000"/>
          <w:sz w:val="24"/>
        </w:rPr>
        <w:t xml:space="preserve">en la valorización de </w:t>
      </w:r>
      <w:r w:rsidR="00095E27" w:rsidRPr="00152EEA">
        <w:rPr>
          <w:rFonts w:cs="Arial"/>
          <w:bCs/>
          <w:color w:val="000000"/>
          <w:sz w:val="24"/>
        </w:rPr>
        <w:t xml:space="preserve">otros residuos como </w:t>
      </w:r>
      <w:r w:rsidR="00151887" w:rsidRPr="00152EEA">
        <w:rPr>
          <w:rFonts w:cs="Arial"/>
          <w:bCs/>
          <w:color w:val="000000"/>
          <w:sz w:val="24"/>
        </w:rPr>
        <w:t>desechos de carne, bisos y líquidos de cocción</w:t>
      </w:r>
      <w:r w:rsidR="00AC7682" w:rsidRPr="00152EEA">
        <w:rPr>
          <w:rFonts w:cs="Arial"/>
          <w:bCs/>
          <w:color w:val="000000"/>
          <w:sz w:val="24"/>
        </w:rPr>
        <w:t xml:space="preserve">. </w:t>
      </w:r>
    </w:p>
    <w:p w14:paraId="14AAC758" w14:textId="4A368D00" w:rsidR="00151887" w:rsidRPr="006054FE" w:rsidRDefault="00095E27" w:rsidP="00CE62F9">
      <w:pPr>
        <w:pStyle w:val="Encabezado"/>
        <w:spacing w:before="240" w:line="276" w:lineRule="auto"/>
        <w:jc w:val="both"/>
        <w:rPr>
          <w:rFonts w:cs="Arial"/>
          <w:bCs/>
          <w:color w:val="000000"/>
          <w:sz w:val="24"/>
        </w:rPr>
      </w:pPr>
      <w:r w:rsidRPr="00152EEA">
        <w:rPr>
          <w:rFonts w:cs="Arial"/>
          <w:bCs/>
          <w:color w:val="000000"/>
          <w:sz w:val="24"/>
        </w:rPr>
        <w:t>Una planta</w:t>
      </w:r>
      <w:r w:rsidR="00016A0E" w:rsidRPr="00152EEA">
        <w:rPr>
          <w:rFonts w:cs="Arial"/>
          <w:bCs/>
          <w:color w:val="000000"/>
          <w:sz w:val="24"/>
        </w:rPr>
        <w:t xml:space="preserve"> en las observaciones de la encuesta</w:t>
      </w:r>
      <w:r w:rsidR="00266A38" w:rsidRPr="00152EEA">
        <w:rPr>
          <w:rFonts w:cs="Arial"/>
          <w:bCs/>
          <w:color w:val="000000"/>
          <w:sz w:val="24"/>
        </w:rPr>
        <w:t xml:space="preserve"> </w:t>
      </w:r>
      <w:r w:rsidR="00D62C62" w:rsidRPr="00152EEA">
        <w:rPr>
          <w:rFonts w:cs="Arial"/>
          <w:bCs/>
          <w:color w:val="000000"/>
          <w:sz w:val="24"/>
        </w:rPr>
        <w:t>indic</w:t>
      </w:r>
      <w:r w:rsidR="00016A0E" w:rsidRPr="00152EEA">
        <w:rPr>
          <w:rFonts w:cs="Arial"/>
          <w:bCs/>
          <w:color w:val="000000"/>
          <w:sz w:val="24"/>
        </w:rPr>
        <w:t>ó</w:t>
      </w:r>
      <w:r w:rsidR="00AA617B" w:rsidRPr="00152EEA">
        <w:rPr>
          <w:rFonts w:cs="Arial"/>
          <w:bCs/>
          <w:color w:val="000000"/>
          <w:sz w:val="24"/>
        </w:rPr>
        <w:t xml:space="preserve"> </w:t>
      </w:r>
      <w:r w:rsidR="00016A0E" w:rsidRPr="00152EEA">
        <w:rPr>
          <w:rFonts w:cs="Arial"/>
          <w:bCs/>
          <w:color w:val="000000"/>
          <w:sz w:val="24"/>
        </w:rPr>
        <w:t xml:space="preserve">que </w:t>
      </w:r>
      <w:r w:rsidR="00AA617B" w:rsidRPr="00152EEA">
        <w:rPr>
          <w:rFonts w:cs="Arial"/>
          <w:bCs/>
          <w:color w:val="000000"/>
          <w:sz w:val="24"/>
        </w:rPr>
        <w:t xml:space="preserve">los </w:t>
      </w:r>
      <w:r w:rsidR="00D62C62" w:rsidRPr="00152EEA">
        <w:rPr>
          <w:rFonts w:cs="Arial"/>
          <w:bCs/>
          <w:color w:val="000000"/>
          <w:sz w:val="24"/>
        </w:rPr>
        <w:t xml:space="preserve">decomisos </w:t>
      </w:r>
      <w:r w:rsidRPr="00152EEA">
        <w:rPr>
          <w:rFonts w:cs="Arial"/>
          <w:bCs/>
          <w:color w:val="000000"/>
          <w:sz w:val="24"/>
        </w:rPr>
        <w:t>del</w:t>
      </w:r>
      <w:r w:rsidR="00D62C62" w:rsidRPr="00152EEA">
        <w:rPr>
          <w:rFonts w:cs="Arial"/>
          <w:bCs/>
          <w:color w:val="000000"/>
          <w:sz w:val="24"/>
        </w:rPr>
        <w:t xml:space="preserve"> proceso</w:t>
      </w:r>
      <w:r w:rsidRPr="00152EEA">
        <w:rPr>
          <w:rFonts w:cs="Arial"/>
          <w:bCs/>
          <w:color w:val="000000"/>
          <w:sz w:val="24"/>
        </w:rPr>
        <w:t xml:space="preserve"> </w:t>
      </w:r>
      <w:r w:rsidR="00EC65F1">
        <w:rPr>
          <w:rFonts w:cs="Arial"/>
          <w:bCs/>
          <w:color w:val="000000"/>
          <w:sz w:val="24"/>
        </w:rPr>
        <w:t xml:space="preserve">son </w:t>
      </w:r>
      <w:r w:rsidR="00D62C62" w:rsidRPr="00152EEA">
        <w:rPr>
          <w:rFonts w:cs="Arial"/>
          <w:bCs/>
          <w:color w:val="000000"/>
          <w:sz w:val="24"/>
        </w:rPr>
        <w:t>vendido</w:t>
      </w:r>
      <w:r w:rsidR="00266A38" w:rsidRPr="00152EEA">
        <w:rPr>
          <w:rFonts w:cs="Arial"/>
          <w:bCs/>
          <w:color w:val="000000"/>
          <w:sz w:val="24"/>
        </w:rPr>
        <w:t>s</w:t>
      </w:r>
      <w:r w:rsidR="00016A0E" w:rsidRPr="00152EEA">
        <w:rPr>
          <w:rFonts w:cs="Arial"/>
          <w:bCs/>
          <w:color w:val="000000"/>
          <w:sz w:val="24"/>
        </w:rPr>
        <w:t>,</w:t>
      </w:r>
      <w:r w:rsidR="00D62C62" w:rsidRPr="00152EEA">
        <w:rPr>
          <w:rFonts w:cs="Arial"/>
          <w:bCs/>
          <w:color w:val="000000"/>
          <w:sz w:val="24"/>
        </w:rPr>
        <w:t xml:space="preserve"> </w:t>
      </w:r>
      <w:r w:rsidR="00016A0E" w:rsidRPr="00152EEA">
        <w:rPr>
          <w:rFonts w:cs="Arial"/>
          <w:bCs/>
          <w:color w:val="000000"/>
          <w:sz w:val="24"/>
        </w:rPr>
        <w:t xml:space="preserve">en ocasiones </w:t>
      </w:r>
      <w:r w:rsidR="00D62C62" w:rsidRPr="00152EEA">
        <w:rPr>
          <w:rFonts w:cs="Arial"/>
          <w:bCs/>
          <w:color w:val="000000"/>
          <w:sz w:val="24"/>
        </w:rPr>
        <w:t>a empresas</w:t>
      </w:r>
      <w:r w:rsidR="00AA617B" w:rsidRPr="00152EEA">
        <w:rPr>
          <w:rFonts w:cs="Arial"/>
          <w:bCs/>
          <w:color w:val="000000"/>
          <w:sz w:val="24"/>
        </w:rPr>
        <w:t xml:space="preserve"> </w:t>
      </w:r>
      <w:r w:rsidR="00D62C62" w:rsidRPr="00152EEA">
        <w:rPr>
          <w:rFonts w:cs="Arial"/>
          <w:bCs/>
          <w:color w:val="000000"/>
          <w:sz w:val="24"/>
        </w:rPr>
        <w:t>elaboradoras de alimentos para mascotas c</w:t>
      </w:r>
      <w:r w:rsidR="00016A0E" w:rsidRPr="00152EEA">
        <w:rPr>
          <w:rFonts w:cs="Arial"/>
          <w:bCs/>
          <w:color w:val="000000"/>
          <w:sz w:val="24"/>
        </w:rPr>
        <w:t xml:space="preserve">omo alternativa </w:t>
      </w:r>
      <w:r w:rsidR="00EC65F1">
        <w:rPr>
          <w:rFonts w:cs="Arial"/>
          <w:bCs/>
          <w:color w:val="000000"/>
          <w:sz w:val="24"/>
        </w:rPr>
        <w:t xml:space="preserve">y pruebas </w:t>
      </w:r>
      <w:r w:rsidR="00016A0E" w:rsidRPr="00152EEA">
        <w:rPr>
          <w:rFonts w:cs="Arial"/>
          <w:bCs/>
          <w:color w:val="000000"/>
          <w:sz w:val="24"/>
        </w:rPr>
        <w:t>de valorización.</w:t>
      </w:r>
    </w:p>
    <w:bookmarkEnd w:id="1"/>
    <w:p w14:paraId="666B3A73" w14:textId="77777777" w:rsidR="00190ADE" w:rsidRPr="007A53AB" w:rsidRDefault="00190ADE" w:rsidP="00CE62F9">
      <w:pPr>
        <w:pStyle w:val="Encabezado"/>
        <w:spacing w:before="240"/>
        <w:rPr>
          <w:highlight w:val="yellow"/>
          <w:lang w:eastAsia="es-CL"/>
        </w:rPr>
      </w:pPr>
      <w:r w:rsidRPr="007A53AB">
        <w:rPr>
          <w:noProof/>
          <w:lang w:val="es-CL" w:eastAsia="es-CL"/>
        </w:rPr>
        <w:lastRenderedPageBreak/>
        <w:drawing>
          <wp:inline distT="0" distB="0" distL="0" distR="0" wp14:anchorId="4ABBF5D3" wp14:editId="43E053D3">
            <wp:extent cx="4508390" cy="2202511"/>
            <wp:effectExtent l="0" t="0" r="26035" b="26670"/>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14:paraId="12C735D9" w14:textId="63890F03" w:rsidR="007D63F8" w:rsidRDefault="00190ADE" w:rsidP="009D6C1D">
      <w:pPr>
        <w:pStyle w:val="Encabezado"/>
        <w:jc w:val="both"/>
        <w:rPr>
          <w:rFonts w:cs="Arial"/>
          <w:bCs/>
          <w:color w:val="000000"/>
          <w:sz w:val="24"/>
        </w:rPr>
      </w:pPr>
      <w:r w:rsidRPr="007F6A01">
        <w:rPr>
          <w:rFonts w:cs="Arial"/>
          <w:b/>
          <w:bCs/>
          <w:color w:val="000000"/>
          <w:sz w:val="24"/>
        </w:rPr>
        <w:t xml:space="preserve">Figura </w:t>
      </w:r>
      <w:r w:rsidR="007C2A2A">
        <w:rPr>
          <w:rFonts w:cs="Arial"/>
          <w:b/>
          <w:bCs/>
          <w:color w:val="000000"/>
          <w:sz w:val="24"/>
        </w:rPr>
        <w:t>2</w:t>
      </w:r>
      <w:r w:rsidR="00FB5D96">
        <w:rPr>
          <w:rFonts w:cs="Arial"/>
          <w:b/>
          <w:bCs/>
          <w:color w:val="000000"/>
          <w:sz w:val="24"/>
        </w:rPr>
        <w:t>6</w:t>
      </w:r>
      <w:r w:rsidRPr="007F6A01">
        <w:rPr>
          <w:rFonts w:cs="Arial"/>
          <w:b/>
          <w:bCs/>
          <w:color w:val="000000"/>
          <w:sz w:val="24"/>
        </w:rPr>
        <w:t>.</w:t>
      </w:r>
      <w:r>
        <w:rPr>
          <w:rFonts w:cs="Arial"/>
          <w:bCs/>
          <w:color w:val="000000"/>
          <w:sz w:val="24"/>
        </w:rPr>
        <w:t xml:space="preserve"> </w:t>
      </w:r>
      <w:r w:rsidR="00730462" w:rsidRPr="00B9749D">
        <w:rPr>
          <w:rFonts w:cs="Arial"/>
          <w:bCs/>
          <w:color w:val="000000"/>
          <w:sz w:val="24"/>
        </w:rPr>
        <w:t>Valorización de residuos</w:t>
      </w:r>
      <w:r w:rsidR="00FB5D96">
        <w:rPr>
          <w:rFonts w:cs="Arial"/>
          <w:bCs/>
          <w:color w:val="000000"/>
          <w:sz w:val="24"/>
        </w:rPr>
        <w:t xml:space="preserve"> (%).</w:t>
      </w:r>
    </w:p>
    <w:p w14:paraId="4EF1CD21" w14:textId="77777777" w:rsidR="00AA617B" w:rsidRDefault="00AA617B" w:rsidP="00CE62F9">
      <w:pPr>
        <w:pStyle w:val="Encabezado"/>
        <w:spacing w:before="240"/>
        <w:rPr>
          <w:lang w:eastAsia="es-CL"/>
        </w:rPr>
      </w:pPr>
    </w:p>
    <w:p w14:paraId="575E7B43" w14:textId="6051AC38" w:rsidR="00190ADE" w:rsidRPr="00ED26C2" w:rsidRDefault="00190ADE" w:rsidP="00343562">
      <w:pPr>
        <w:pStyle w:val="Ttulo2"/>
        <w:rPr>
          <w:b w:val="0"/>
          <w:sz w:val="32"/>
          <w:szCs w:val="32"/>
        </w:rPr>
      </w:pPr>
      <w:bookmarkStart w:id="19" w:name="_Toc471999530"/>
      <w:r w:rsidRPr="00ED26C2">
        <w:rPr>
          <w:b w:val="0"/>
          <w:sz w:val="32"/>
          <w:szCs w:val="32"/>
        </w:rPr>
        <w:t xml:space="preserve">Gestión de </w:t>
      </w:r>
      <w:r w:rsidR="00CE7C87" w:rsidRPr="00ED26C2">
        <w:rPr>
          <w:b w:val="0"/>
          <w:sz w:val="32"/>
          <w:szCs w:val="32"/>
        </w:rPr>
        <w:t>E</w:t>
      </w:r>
      <w:r w:rsidRPr="00ED26C2">
        <w:rPr>
          <w:b w:val="0"/>
          <w:sz w:val="32"/>
          <w:szCs w:val="32"/>
        </w:rPr>
        <w:t xml:space="preserve">misiones </w:t>
      </w:r>
      <w:r w:rsidR="00CE7C87" w:rsidRPr="00ED26C2">
        <w:rPr>
          <w:b w:val="0"/>
          <w:sz w:val="32"/>
          <w:szCs w:val="32"/>
        </w:rPr>
        <w:t>A</w:t>
      </w:r>
      <w:r w:rsidRPr="00ED26C2">
        <w:rPr>
          <w:b w:val="0"/>
          <w:sz w:val="32"/>
          <w:szCs w:val="32"/>
        </w:rPr>
        <w:t>tmosféricas</w:t>
      </w:r>
      <w:bookmarkEnd w:id="19"/>
    </w:p>
    <w:p w14:paraId="071173BB" w14:textId="1568CEDE" w:rsidR="00A8571C" w:rsidRDefault="00A8571C" w:rsidP="00CE62F9">
      <w:pPr>
        <w:pStyle w:val="Encabezado"/>
        <w:spacing w:before="240" w:line="276" w:lineRule="auto"/>
        <w:jc w:val="both"/>
        <w:rPr>
          <w:rFonts w:cs="Arial"/>
          <w:bCs/>
          <w:color w:val="000000"/>
          <w:sz w:val="24"/>
        </w:rPr>
      </w:pPr>
      <w:r w:rsidRPr="00152EEA">
        <w:rPr>
          <w:rFonts w:cs="Arial"/>
          <w:bCs/>
          <w:color w:val="000000"/>
          <w:sz w:val="24"/>
        </w:rPr>
        <w:t>El Ministerio de Salud de Chile considera imperativo y primordial realizar el diagn</w:t>
      </w:r>
      <w:r w:rsidR="00E51DAF">
        <w:rPr>
          <w:rFonts w:cs="Arial"/>
          <w:bCs/>
          <w:color w:val="000000"/>
          <w:sz w:val="24"/>
        </w:rPr>
        <w:t>ó</w:t>
      </w:r>
      <w:r w:rsidRPr="00152EEA">
        <w:rPr>
          <w:rFonts w:cs="Arial"/>
          <w:bCs/>
          <w:color w:val="000000"/>
          <w:sz w:val="24"/>
        </w:rPr>
        <w:t>stico de los contaminantes emitidos a la atmósfera por las fuentes fijas, cuyo objetivo es contar con antecedentes confiables que le permitan adoptar las medidas más adecuadas y eficaces para controlar riesgos a la salud de las personas.</w:t>
      </w:r>
    </w:p>
    <w:p w14:paraId="1D3F2CD5" w14:textId="4D2D52E3" w:rsidR="00FF2E4F" w:rsidRPr="00152EEA" w:rsidRDefault="00A8571C" w:rsidP="00CE62F9">
      <w:pPr>
        <w:pStyle w:val="Encabezado"/>
        <w:spacing w:before="240" w:line="276" w:lineRule="auto"/>
        <w:jc w:val="both"/>
        <w:rPr>
          <w:rFonts w:cs="Arial"/>
          <w:bCs/>
          <w:color w:val="000000"/>
          <w:sz w:val="24"/>
        </w:rPr>
      </w:pPr>
      <w:r w:rsidRPr="00152EEA">
        <w:rPr>
          <w:rFonts w:cs="Arial"/>
          <w:bCs/>
          <w:color w:val="000000"/>
          <w:sz w:val="24"/>
        </w:rPr>
        <w:t>El D.S N° 138/2005, que “Establece Obligación de Declarar Emisiones”, indica que t</w:t>
      </w:r>
      <w:r w:rsidR="005B5344" w:rsidRPr="00152EEA">
        <w:rPr>
          <w:rFonts w:cs="Arial"/>
          <w:bCs/>
          <w:color w:val="000000"/>
          <w:sz w:val="24"/>
        </w:rPr>
        <w:t>odos los titulares de fuentes fijas de emisión de contaminantes</w:t>
      </w:r>
      <w:r w:rsidRPr="00152EEA">
        <w:rPr>
          <w:rFonts w:cs="Arial"/>
          <w:bCs/>
          <w:color w:val="000000"/>
          <w:sz w:val="24"/>
        </w:rPr>
        <w:t xml:space="preserve"> </w:t>
      </w:r>
      <w:r w:rsidR="005B5344" w:rsidRPr="00152EEA">
        <w:rPr>
          <w:rFonts w:cs="Arial"/>
          <w:bCs/>
          <w:color w:val="000000"/>
          <w:sz w:val="24"/>
        </w:rPr>
        <w:t xml:space="preserve">atmosféricos </w:t>
      </w:r>
      <w:r w:rsidRPr="00152EEA">
        <w:rPr>
          <w:rFonts w:cs="Arial"/>
          <w:bCs/>
          <w:color w:val="000000"/>
          <w:sz w:val="24"/>
        </w:rPr>
        <w:t>d</w:t>
      </w:r>
      <w:r w:rsidR="005B5344" w:rsidRPr="00152EEA">
        <w:rPr>
          <w:rFonts w:cs="Arial"/>
          <w:bCs/>
          <w:color w:val="000000"/>
          <w:sz w:val="24"/>
        </w:rPr>
        <w:t>eberán entregar a la</w:t>
      </w:r>
      <w:r w:rsidRPr="00152EEA">
        <w:rPr>
          <w:rFonts w:cs="Arial"/>
          <w:bCs/>
          <w:color w:val="000000"/>
          <w:sz w:val="24"/>
        </w:rPr>
        <w:t xml:space="preserve"> </w:t>
      </w:r>
      <w:r w:rsidR="005B5344" w:rsidRPr="00152EEA">
        <w:rPr>
          <w:rFonts w:cs="Arial"/>
          <w:bCs/>
          <w:color w:val="000000"/>
          <w:sz w:val="24"/>
        </w:rPr>
        <w:t>Secretarí</w:t>
      </w:r>
      <w:r w:rsidR="00C22919" w:rsidRPr="00152EEA">
        <w:rPr>
          <w:rFonts w:cs="Arial"/>
          <w:bCs/>
          <w:color w:val="000000"/>
          <w:sz w:val="24"/>
        </w:rPr>
        <w:t xml:space="preserve">a Regional Ministerial de Salud, </w:t>
      </w:r>
      <w:r w:rsidR="005B5344" w:rsidRPr="00152EEA">
        <w:rPr>
          <w:rFonts w:cs="Arial"/>
          <w:bCs/>
          <w:color w:val="000000"/>
          <w:sz w:val="24"/>
        </w:rPr>
        <w:t>los antecedentes necesarios para estimar las emisiones</w:t>
      </w:r>
      <w:r w:rsidRPr="00152EEA">
        <w:rPr>
          <w:rFonts w:cs="Arial"/>
          <w:bCs/>
          <w:color w:val="000000"/>
          <w:sz w:val="24"/>
        </w:rPr>
        <w:t xml:space="preserve"> </w:t>
      </w:r>
      <w:r w:rsidR="005B5344" w:rsidRPr="00152EEA">
        <w:rPr>
          <w:rFonts w:cs="Arial"/>
          <w:bCs/>
          <w:color w:val="000000"/>
          <w:sz w:val="24"/>
        </w:rPr>
        <w:t>provenientes de cada una d</w:t>
      </w:r>
      <w:r w:rsidRPr="00152EEA">
        <w:rPr>
          <w:rFonts w:cs="Arial"/>
          <w:bCs/>
          <w:color w:val="000000"/>
          <w:sz w:val="24"/>
        </w:rPr>
        <w:t>e sus fuentes</w:t>
      </w:r>
      <w:r w:rsidR="00C22919" w:rsidRPr="00152EEA">
        <w:rPr>
          <w:rFonts w:cs="Arial"/>
          <w:bCs/>
          <w:color w:val="000000"/>
          <w:sz w:val="24"/>
        </w:rPr>
        <w:t>.</w:t>
      </w:r>
      <w:r w:rsidRPr="00152EEA">
        <w:rPr>
          <w:rFonts w:cs="Arial"/>
          <w:bCs/>
          <w:color w:val="000000"/>
          <w:sz w:val="24"/>
        </w:rPr>
        <w:t xml:space="preserve"> </w:t>
      </w:r>
    </w:p>
    <w:p w14:paraId="63338176" w14:textId="77887943" w:rsidR="00116403" w:rsidRPr="00152EEA" w:rsidRDefault="0070015E" w:rsidP="00CE62F9">
      <w:pPr>
        <w:pStyle w:val="Encabezado"/>
        <w:spacing w:before="240" w:line="276" w:lineRule="auto"/>
        <w:jc w:val="both"/>
        <w:rPr>
          <w:rFonts w:cs="Arial"/>
          <w:bCs/>
          <w:color w:val="000000"/>
          <w:sz w:val="24"/>
        </w:rPr>
      </w:pPr>
      <w:r w:rsidRPr="00152EEA">
        <w:rPr>
          <w:rFonts w:cs="Arial"/>
          <w:bCs/>
          <w:color w:val="000000"/>
          <w:sz w:val="24"/>
        </w:rPr>
        <w:t xml:space="preserve">Los </w:t>
      </w:r>
      <w:r w:rsidR="00116403" w:rsidRPr="00152EEA">
        <w:rPr>
          <w:rFonts w:cs="Arial"/>
          <w:bCs/>
          <w:color w:val="000000"/>
          <w:sz w:val="24"/>
        </w:rPr>
        <w:t>gases efecto invernadero (GEI), son responsables del cambio climático, el cual es atribuido directa o indirectamente a la actividad humana que altera la composición de la atmósfera mundial y que se suma a la variabilidad natural del clima observada durante períodos de tiempo comparables.</w:t>
      </w:r>
    </w:p>
    <w:p w14:paraId="49DE275C" w14:textId="0B3CB0C5" w:rsidR="00116403" w:rsidRPr="00152EEA" w:rsidRDefault="00B01A5E" w:rsidP="00CE62F9">
      <w:pPr>
        <w:pStyle w:val="Encabezado"/>
        <w:spacing w:before="240" w:line="276" w:lineRule="auto"/>
        <w:jc w:val="both"/>
        <w:rPr>
          <w:rFonts w:cs="Arial"/>
          <w:bCs/>
          <w:color w:val="000000"/>
          <w:sz w:val="24"/>
        </w:rPr>
      </w:pPr>
      <w:r w:rsidRPr="00152EEA">
        <w:rPr>
          <w:rFonts w:cs="Arial"/>
          <w:bCs/>
          <w:color w:val="000000"/>
          <w:sz w:val="24"/>
        </w:rPr>
        <w:t>Dentro de los gases que tienen la denominación de gases efecto invernadero (GEI) se encuentran</w:t>
      </w:r>
      <w:r w:rsidR="006717D3" w:rsidRPr="00152EEA">
        <w:rPr>
          <w:rFonts w:cs="Arial"/>
          <w:bCs/>
          <w:color w:val="000000"/>
          <w:sz w:val="24"/>
        </w:rPr>
        <w:t xml:space="preserve"> el vapor de agua, dióxido de carbono, metano, óxidos de nitrógeno, o</w:t>
      </w:r>
      <w:r w:rsidRPr="00152EEA">
        <w:rPr>
          <w:rFonts w:cs="Arial"/>
          <w:bCs/>
          <w:color w:val="000000"/>
          <w:sz w:val="24"/>
        </w:rPr>
        <w:t>zono,</w:t>
      </w:r>
      <w:r w:rsidR="00A25C33" w:rsidRPr="00152EEA">
        <w:t xml:space="preserve"> </w:t>
      </w:r>
      <w:r w:rsidR="00A25C33" w:rsidRPr="00152EEA">
        <w:rPr>
          <w:rFonts w:cs="Arial"/>
          <w:bCs/>
          <w:color w:val="000000"/>
          <w:sz w:val="24"/>
        </w:rPr>
        <w:t>clorofluorocarbonos, los cuales son derivados de los hidrocarburos saturados</w:t>
      </w:r>
      <w:r w:rsidRPr="00152EEA">
        <w:rPr>
          <w:rFonts w:cs="Arial"/>
          <w:bCs/>
          <w:color w:val="000000"/>
          <w:sz w:val="24"/>
        </w:rPr>
        <w:t xml:space="preserve"> </w:t>
      </w:r>
      <w:r w:rsidR="00A25C33" w:rsidRPr="00152EEA">
        <w:rPr>
          <w:rFonts w:cs="Arial"/>
          <w:bCs/>
          <w:color w:val="000000"/>
          <w:sz w:val="24"/>
        </w:rPr>
        <w:t>(</w:t>
      </w:r>
      <w:proofErr w:type="spellStart"/>
      <w:r w:rsidRPr="00152EEA">
        <w:rPr>
          <w:rFonts w:cs="Arial"/>
          <w:bCs/>
          <w:color w:val="000000"/>
          <w:sz w:val="24"/>
        </w:rPr>
        <w:t>CFCs</w:t>
      </w:r>
      <w:proofErr w:type="spellEnd"/>
      <w:r w:rsidR="00A25C33" w:rsidRPr="00152EEA">
        <w:rPr>
          <w:rFonts w:cs="Arial"/>
          <w:bCs/>
          <w:color w:val="000000"/>
          <w:sz w:val="24"/>
        </w:rPr>
        <w:t>)</w:t>
      </w:r>
      <w:r w:rsidRPr="00152EEA">
        <w:rPr>
          <w:rFonts w:cs="Arial"/>
          <w:bCs/>
          <w:color w:val="000000"/>
          <w:sz w:val="24"/>
        </w:rPr>
        <w:t xml:space="preserve"> y </w:t>
      </w:r>
      <w:r w:rsidR="00A25C33" w:rsidRPr="00152EEA">
        <w:rPr>
          <w:rFonts w:cs="Arial"/>
          <w:bCs/>
          <w:color w:val="000000"/>
          <w:sz w:val="24"/>
        </w:rPr>
        <w:t xml:space="preserve">los </w:t>
      </w:r>
      <w:proofErr w:type="spellStart"/>
      <w:r w:rsidR="00A25C33" w:rsidRPr="00152EEA">
        <w:rPr>
          <w:rFonts w:cs="Arial"/>
          <w:bCs/>
          <w:color w:val="000000"/>
          <w:sz w:val="24"/>
        </w:rPr>
        <w:t>hydrofluorocarbonos</w:t>
      </w:r>
      <w:proofErr w:type="spellEnd"/>
      <w:r w:rsidR="006717D3" w:rsidRPr="00152EEA">
        <w:rPr>
          <w:rFonts w:cs="Arial"/>
          <w:bCs/>
          <w:color w:val="000000"/>
          <w:sz w:val="24"/>
        </w:rPr>
        <w:t xml:space="preserve">  (</w:t>
      </w:r>
      <w:proofErr w:type="spellStart"/>
      <w:r w:rsidRPr="00152EEA">
        <w:rPr>
          <w:rFonts w:cs="Arial"/>
          <w:bCs/>
          <w:color w:val="000000"/>
          <w:sz w:val="24"/>
        </w:rPr>
        <w:t>HFCs</w:t>
      </w:r>
      <w:proofErr w:type="spellEnd"/>
      <w:r w:rsidR="00A25C33" w:rsidRPr="00152EEA">
        <w:rPr>
          <w:rFonts w:cs="Arial"/>
          <w:bCs/>
          <w:color w:val="000000"/>
          <w:sz w:val="24"/>
        </w:rPr>
        <w:t>)</w:t>
      </w:r>
      <w:r w:rsidR="006717D3" w:rsidRPr="00152EEA">
        <w:rPr>
          <w:rFonts w:cs="Arial"/>
          <w:bCs/>
          <w:color w:val="000000"/>
          <w:sz w:val="24"/>
        </w:rPr>
        <w:t xml:space="preserve">, </w:t>
      </w:r>
      <w:r w:rsidR="00A25C33" w:rsidRPr="00152EEA">
        <w:rPr>
          <w:rFonts w:cs="Arial"/>
          <w:bCs/>
          <w:color w:val="000000"/>
          <w:sz w:val="24"/>
        </w:rPr>
        <w:t>compuestos orgánicos que contienen átomos de flúor e hidrógeno. Se utilizan comúnmente en el aire acondicionado y como refrigerantes</w:t>
      </w:r>
      <w:r w:rsidR="00381B35">
        <w:rPr>
          <w:rFonts w:cs="Arial"/>
          <w:bCs/>
          <w:color w:val="000000"/>
          <w:sz w:val="24"/>
        </w:rPr>
        <w:t>.</w:t>
      </w:r>
      <w:r w:rsidR="00A25C33" w:rsidRPr="00152EEA">
        <w:rPr>
          <w:rFonts w:cs="Arial"/>
          <w:bCs/>
          <w:color w:val="000000"/>
          <w:sz w:val="24"/>
        </w:rPr>
        <w:t xml:space="preserve"> </w:t>
      </w:r>
    </w:p>
    <w:p w14:paraId="5EAB8D55" w14:textId="3801AE34" w:rsidR="00190ADE" w:rsidRPr="00152EEA" w:rsidRDefault="00540F89" w:rsidP="00CE62F9">
      <w:pPr>
        <w:pStyle w:val="Encabezado"/>
        <w:spacing w:before="240" w:line="276" w:lineRule="auto"/>
        <w:jc w:val="both"/>
        <w:rPr>
          <w:rFonts w:cs="Arial"/>
          <w:bCs/>
          <w:color w:val="000000"/>
          <w:sz w:val="24"/>
        </w:rPr>
      </w:pPr>
      <w:r w:rsidRPr="00152EEA">
        <w:rPr>
          <w:rFonts w:cs="Arial"/>
          <w:bCs/>
          <w:color w:val="000000"/>
          <w:sz w:val="24"/>
        </w:rPr>
        <w:t>La importancia de medir los gases efecto invernadero</w:t>
      </w:r>
      <w:r w:rsidR="00692DB9" w:rsidRPr="00152EEA">
        <w:rPr>
          <w:rFonts w:cs="Arial"/>
          <w:bCs/>
          <w:color w:val="000000"/>
          <w:sz w:val="24"/>
        </w:rPr>
        <w:t>,</w:t>
      </w:r>
      <w:r w:rsidRPr="00152EEA">
        <w:rPr>
          <w:rFonts w:cs="Arial"/>
          <w:bCs/>
          <w:color w:val="000000"/>
          <w:sz w:val="24"/>
        </w:rPr>
        <w:t xml:space="preserve"> se debe a que en </w:t>
      </w:r>
      <w:r w:rsidR="00A25C33" w:rsidRPr="00152EEA">
        <w:rPr>
          <w:rFonts w:cs="Arial"/>
          <w:bCs/>
          <w:color w:val="000000"/>
          <w:sz w:val="24"/>
        </w:rPr>
        <w:t xml:space="preserve">la actualidad existe a nivel mundial, y en particular en los mercados de los países desarrollados, un conjunto de iniciativas tendientes a exigir el cumplimiento de ciertos estándares referidos a la emisión </w:t>
      </w:r>
      <w:r w:rsidR="00A25C33" w:rsidRPr="00152EEA">
        <w:rPr>
          <w:rFonts w:cs="Arial"/>
          <w:bCs/>
          <w:color w:val="000000"/>
          <w:sz w:val="24"/>
        </w:rPr>
        <w:lastRenderedPageBreak/>
        <w:t>de GEI de los</w:t>
      </w:r>
      <w:r w:rsidR="00AD755E" w:rsidRPr="00152EEA">
        <w:rPr>
          <w:rFonts w:cs="Arial"/>
          <w:bCs/>
          <w:color w:val="000000"/>
          <w:sz w:val="24"/>
        </w:rPr>
        <w:t xml:space="preserve"> productos que se comercializan</w:t>
      </w:r>
      <w:r w:rsidR="00A25C33" w:rsidRPr="00152EEA">
        <w:rPr>
          <w:rFonts w:cs="Arial"/>
          <w:bCs/>
          <w:color w:val="000000"/>
          <w:sz w:val="24"/>
        </w:rPr>
        <w:t>. De esta manera, las exportaciones a países desarrollados podrían verse afectadas en el corto y mediano plazo, si estas no se ajustan a los estándares</w:t>
      </w:r>
      <w:r w:rsidR="00692DB9" w:rsidRPr="00152EEA">
        <w:rPr>
          <w:rFonts w:cs="Arial"/>
          <w:bCs/>
          <w:color w:val="000000"/>
          <w:sz w:val="24"/>
        </w:rPr>
        <w:t>.</w:t>
      </w:r>
      <w:r w:rsidR="00A25C33" w:rsidRPr="00152EEA">
        <w:rPr>
          <w:rFonts w:cs="Arial"/>
          <w:bCs/>
          <w:color w:val="000000"/>
          <w:sz w:val="24"/>
        </w:rPr>
        <w:t xml:space="preserve"> </w:t>
      </w:r>
    </w:p>
    <w:p w14:paraId="4CC609C9" w14:textId="3F499E98" w:rsidR="006717D3" w:rsidRPr="00152EEA" w:rsidRDefault="00692DB9" w:rsidP="00CE62F9">
      <w:pPr>
        <w:pStyle w:val="Encabezado"/>
        <w:spacing w:before="240" w:line="276" w:lineRule="auto"/>
        <w:jc w:val="both"/>
        <w:rPr>
          <w:rFonts w:cs="Arial"/>
          <w:bCs/>
          <w:color w:val="000000"/>
          <w:sz w:val="24"/>
        </w:rPr>
      </w:pPr>
      <w:r w:rsidRPr="00152EEA">
        <w:rPr>
          <w:rFonts w:cs="Arial"/>
          <w:bCs/>
          <w:color w:val="000000"/>
          <w:sz w:val="24"/>
        </w:rPr>
        <w:t>L</w:t>
      </w:r>
      <w:r w:rsidR="00A25C33" w:rsidRPr="00152EEA">
        <w:rPr>
          <w:rFonts w:cs="Arial"/>
          <w:bCs/>
          <w:color w:val="000000"/>
          <w:sz w:val="24"/>
        </w:rPr>
        <w:t>as Emisiones de GEI se pueden calcular a través de Huella de Carbono y el Inventario de emisiones de GEI.</w:t>
      </w:r>
      <w:r w:rsidR="006717D3" w:rsidRPr="00152EEA">
        <w:rPr>
          <w:rFonts w:cs="Arial"/>
          <w:bCs/>
          <w:color w:val="000000"/>
          <w:sz w:val="24"/>
        </w:rPr>
        <w:t xml:space="preserve"> </w:t>
      </w:r>
      <w:r w:rsidR="00A25C33" w:rsidRPr="00152EEA">
        <w:rPr>
          <w:rFonts w:cs="Arial"/>
          <w:bCs/>
          <w:color w:val="000000"/>
          <w:sz w:val="24"/>
        </w:rPr>
        <w:t xml:space="preserve">La Huella de Carbono cuantifica las emisiones de GEI que se asocian al “ciclo de vida” de un producto, servicio o un evento y se refiere al total de emisiones desde las materias primas o insumos, proceso productivo, de comercialización y de consumo y disposición final de los residuos o reciclaje. Se orienta a informar al consumidor sobre las emisiones generadas en el consumo de un producto o la prestación de un servicio. </w:t>
      </w:r>
      <w:r w:rsidR="006717D3" w:rsidRPr="00152EEA">
        <w:rPr>
          <w:rFonts w:cs="Arial"/>
          <w:bCs/>
          <w:color w:val="000000"/>
          <w:sz w:val="24"/>
        </w:rPr>
        <w:t>Por</w:t>
      </w:r>
      <w:r w:rsidR="004A28A7">
        <w:rPr>
          <w:rFonts w:cs="Arial"/>
          <w:bCs/>
          <w:color w:val="000000"/>
          <w:sz w:val="24"/>
        </w:rPr>
        <w:t xml:space="preserve"> lo</w:t>
      </w:r>
      <w:r w:rsidR="006717D3" w:rsidRPr="00152EEA">
        <w:rPr>
          <w:rFonts w:cs="Arial"/>
          <w:bCs/>
          <w:color w:val="000000"/>
          <w:sz w:val="24"/>
        </w:rPr>
        <w:t xml:space="preserve"> tanto, la huella de CO</w:t>
      </w:r>
      <w:r w:rsidR="006717D3" w:rsidRPr="00152EEA">
        <w:rPr>
          <w:rFonts w:cs="Arial"/>
          <w:bCs/>
          <w:color w:val="000000"/>
          <w:sz w:val="24"/>
          <w:vertAlign w:val="subscript"/>
        </w:rPr>
        <w:t>2</w:t>
      </w:r>
      <w:r w:rsidR="006717D3" w:rsidRPr="00152EEA">
        <w:rPr>
          <w:rFonts w:cs="Arial"/>
          <w:bCs/>
          <w:color w:val="000000"/>
          <w:sz w:val="24"/>
        </w:rPr>
        <w:t xml:space="preserve"> es la medida del impacto que provocan las actividades del ser humano en el medio ambiente y se determina según la cantidad de gases de efecto invernadero producidos, medidos en unidades de dióxido de carbono equivalente. </w:t>
      </w:r>
      <w:r w:rsidR="00A25C33" w:rsidRPr="00152EEA">
        <w:rPr>
          <w:rFonts w:cs="Arial"/>
          <w:bCs/>
          <w:color w:val="000000"/>
          <w:sz w:val="24"/>
        </w:rPr>
        <w:t>La Huella de Carbono es temporal y está referido al proceso productivo</w:t>
      </w:r>
      <w:r w:rsidR="006717D3" w:rsidRPr="00152EEA">
        <w:rPr>
          <w:rFonts w:cs="Arial"/>
          <w:bCs/>
          <w:color w:val="000000"/>
          <w:sz w:val="24"/>
        </w:rPr>
        <w:t xml:space="preserve"> y con ella se pretende que las empresas puedan reducir los niveles de contaminación mediante un cálculo estandarizado de las emisiones que tienen lugar durante las actividades de la empresa para lo cual es necesario definir las límites organizacionales y operacionales de las actividades de la empresa para realizar la evaluación.</w:t>
      </w:r>
    </w:p>
    <w:p w14:paraId="1EAE7D7C" w14:textId="116F387F" w:rsidR="005B5344" w:rsidRPr="00152EEA" w:rsidRDefault="005B5344" w:rsidP="00CE62F9">
      <w:pPr>
        <w:pStyle w:val="Encabezado"/>
        <w:spacing w:before="240" w:line="276" w:lineRule="auto"/>
        <w:jc w:val="both"/>
        <w:rPr>
          <w:rFonts w:cs="Arial"/>
          <w:bCs/>
          <w:color w:val="000000"/>
          <w:sz w:val="24"/>
        </w:rPr>
      </w:pPr>
      <w:r w:rsidRPr="00152EEA">
        <w:rPr>
          <w:rFonts w:cs="Arial"/>
          <w:bCs/>
          <w:color w:val="000000"/>
          <w:sz w:val="24"/>
        </w:rPr>
        <w:t>Las calderas son la principal fuente fija de emisio</w:t>
      </w:r>
      <w:r w:rsidR="00AD755E" w:rsidRPr="00152EEA">
        <w:rPr>
          <w:rFonts w:cs="Arial"/>
          <w:bCs/>
          <w:color w:val="000000"/>
          <w:sz w:val="24"/>
        </w:rPr>
        <w:t>nes atmosféricas de las plantas. E</w:t>
      </w:r>
      <w:r w:rsidRPr="00152EEA">
        <w:rPr>
          <w:rFonts w:cs="Arial"/>
          <w:bCs/>
          <w:color w:val="000000"/>
          <w:sz w:val="24"/>
        </w:rPr>
        <w:t xml:space="preserve">l 100% de las empresas informa que genera emisiones </w:t>
      </w:r>
      <w:r w:rsidRPr="00381B35">
        <w:rPr>
          <w:rFonts w:cs="Arial"/>
          <w:bCs/>
          <w:color w:val="000000"/>
          <w:sz w:val="24"/>
        </w:rPr>
        <w:t xml:space="preserve">atmosféricas y las declara según lo establecido en el D.S. 138. El 67% de las plantas </w:t>
      </w:r>
      <w:r w:rsidR="00E51DAF" w:rsidRPr="00381B35">
        <w:rPr>
          <w:rFonts w:cs="Arial"/>
          <w:bCs/>
          <w:color w:val="000000"/>
          <w:sz w:val="24"/>
        </w:rPr>
        <w:t xml:space="preserve">de proceso </w:t>
      </w:r>
      <w:r w:rsidRPr="00381B35">
        <w:rPr>
          <w:rFonts w:cs="Arial"/>
          <w:bCs/>
          <w:color w:val="000000"/>
          <w:sz w:val="24"/>
        </w:rPr>
        <w:t>(6), poseen caracterización de emisiones</w:t>
      </w:r>
      <w:r w:rsidR="00FB5D96" w:rsidRPr="00381B35">
        <w:rPr>
          <w:rFonts w:cs="Arial"/>
          <w:bCs/>
          <w:color w:val="000000"/>
          <w:sz w:val="24"/>
        </w:rPr>
        <w:t xml:space="preserve"> (Figura 27)</w:t>
      </w:r>
      <w:r w:rsidRPr="00381B35">
        <w:rPr>
          <w:rFonts w:cs="Arial"/>
          <w:bCs/>
          <w:color w:val="000000"/>
          <w:sz w:val="24"/>
        </w:rPr>
        <w:t>. Señalar que los valores de caracterización de las emisiones de las empresas son entregados por el sistema de declaración de Registros de emisiones y transferencias de contaminantes (RETC)</w:t>
      </w:r>
      <w:r w:rsidR="0070015E" w:rsidRPr="00381B35">
        <w:rPr>
          <w:rFonts w:cs="Arial"/>
          <w:bCs/>
          <w:color w:val="000000"/>
          <w:sz w:val="24"/>
        </w:rPr>
        <w:t>. El 89% de las empresas, informa conocer y cumplir con la normativa ambiental aplicable a emisiones atmosféricas.</w:t>
      </w:r>
    </w:p>
    <w:p w14:paraId="4A6BA53A" w14:textId="4051BD1F" w:rsidR="005B5344" w:rsidRPr="006717D3" w:rsidRDefault="005B5344" w:rsidP="00CE62F9">
      <w:pPr>
        <w:pStyle w:val="Encabezado"/>
        <w:spacing w:before="240" w:line="276" w:lineRule="auto"/>
        <w:jc w:val="both"/>
        <w:rPr>
          <w:rFonts w:cs="Arial"/>
          <w:bCs/>
          <w:color w:val="000000"/>
          <w:sz w:val="24"/>
        </w:rPr>
      </w:pPr>
      <w:r w:rsidRPr="00152EEA">
        <w:rPr>
          <w:rFonts w:cs="Arial"/>
          <w:bCs/>
          <w:color w:val="auto"/>
          <w:sz w:val="24"/>
        </w:rPr>
        <w:t>El 100% de las empresas ha implementado tecnologías de tratamiento, 38% de las empresas cuenta con un sistema de registro de emisiones y el 89% (8) cuentan con un procedimiento para controlar las emisiones, para ello realizan mantenciones preventivas principalmente de las  calderas,  equipos y maquinarias involucradas en el proceso</w:t>
      </w:r>
      <w:r w:rsidR="0073725F" w:rsidRPr="0073725F">
        <w:rPr>
          <w:rFonts w:cs="Arial"/>
          <w:bCs/>
          <w:color w:val="000000"/>
          <w:sz w:val="24"/>
        </w:rPr>
        <w:t xml:space="preserve"> </w:t>
      </w:r>
      <w:r w:rsidR="0073725F" w:rsidRPr="004A28A7">
        <w:rPr>
          <w:rFonts w:cs="Arial"/>
          <w:bCs/>
          <w:color w:val="000000"/>
          <w:sz w:val="24"/>
        </w:rPr>
        <w:t>(</w:t>
      </w:r>
      <w:r w:rsidR="00FB5D96">
        <w:rPr>
          <w:rFonts w:cs="Arial"/>
          <w:bCs/>
          <w:color w:val="000000"/>
          <w:sz w:val="24"/>
        </w:rPr>
        <w:t>Figura 27</w:t>
      </w:r>
      <w:r w:rsidR="0073725F" w:rsidRPr="004A28A7">
        <w:rPr>
          <w:rFonts w:cs="Arial"/>
          <w:bCs/>
          <w:color w:val="000000"/>
          <w:sz w:val="24"/>
        </w:rPr>
        <w:t>).</w:t>
      </w:r>
      <w:r w:rsidRPr="0070015E">
        <w:rPr>
          <w:rFonts w:cs="Arial"/>
          <w:bCs/>
          <w:color w:val="auto"/>
          <w:sz w:val="24"/>
        </w:rPr>
        <w:t xml:space="preserve"> </w:t>
      </w:r>
    </w:p>
    <w:p w14:paraId="4970F0F3" w14:textId="1AD121F6" w:rsidR="00540F89" w:rsidRDefault="00F72C44" w:rsidP="00CE62F9">
      <w:pPr>
        <w:pStyle w:val="Encabezado"/>
        <w:spacing w:before="240" w:line="276" w:lineRule="auto"/>
        <w:jc w:val="both"/>
        <w:rPr>
          <w:rFonts w:cs="Arial"/>
          <w:bCs/>
          <w:color w:val="000000"/>
          <w:sz w:val="24"/>
        </w:rPr>
      </w:pPr>
      <w:r w:rsidRPr="00152EEA">
        <w:rPr>
          <w:rFonts w:cs="Arial"/>
          <w:bCs/>
          <w:color w:val="000000"/>
          <w:sz w:val="24"/>
        </w:rPr>
        <w:t>Con respecto a lo</w:t>
      </w:r>
      <w:r w:rsidR="00540F89" w:rsidRPr="00152EEA">
        <w:rPr>
          <w:rFonts w:cs="Arial"/>
          <w:bCs/>
          <w:color w:val="000000"/>
          <w:sz w:val="24"/>
        </w:rPr>
        <w:t>s insumos que generan menores emisiones de gases</w:t>
      </w:r>
      <w:r w:rsidR="0070015E" w:rsidRPr="00152EEA">
        <w:rPr>
          <w:rFonts w:cs="Arial"/>
          <w:bCs/>
          <w:color w:val="000000"/>
          <w:sz w:val="24"/>
        </w:rPr>
        <w:t xml:space="preserve"> efecto invernadero (GEI), </w:t>
      </w:r>
      <w:r w:rsidR="00540F89" w:rsidRPr="00152EEA">
        <w:rPr>
          <w:rFonts w:cs="Arial"/>
          <w:bCs/>
          <w:color w:val="000000"/>
          <w:sz w:val="24"/>
        </w:rPr>
        <w:t>dos empresas (22%) indican utilizar materias primas o insumos que originan menores emisiones GEI</w:t>
      </w:r>
      <w:r w:rsidR="00500CD9">
        <w:rPr>
          <w:rFonts w:cs="Arial"/>
          <w:bCs/>
          <w:color w:val="000000"/>
          <w:sz w:val="24"/>
        </w:rPr>
        <w:t xml:space="preserve"> (Ejemplo: GLP)</w:t>
      </w:r>
      <w:r w:rsidR="0070015E" w:rsidRPr="00152EEA">
        <w:rPr>
          <w:rFonts w:cs="Arial"/>
          <w:bCs/>
          <w:color w:val="000000"/>
          <w:sz w:val="24"/>
        </w:rPr>
        <w:t>, mientras que el</w:t>
      </w:r>
      <w:r w:rsidR="000849B1" w:rsidRPr="00152EEA">
        <w:rPr>
          <w:rFonts w:cs="Arial"/>
          <w:bCs/>
          <w:color w:val="000000"/>
          <w:sz w:val="24"/>
        </w:rPr>
        <w:t xml:space="preserve"> 67% </w:t>
      </w:r>
      <w:r w:rsidR="0062600C" w:rsidRPr="00152EEA">
        <w:rPr>
          <w:rFonts w:cs="Arial"/>
          <w:bCs/>
          <w:color w:val="000000"/>
          <w:sz w:val="24"/>
        </w:rPr>
        <w:t>informa que</w:t>
      </w:r>
      <w:r w:rsidR="000849B1" w:rsidRPr="00152EEA">
        <w:rPr>
          <w:rFonts w:cs="Arial"/>
          <w:bCs/>
          <w:color w:val="000000"/>
          <w:sz w:val="24"/>
        </w:rPr>
        <w:t xml:space="preserve"> no utiliza este tipo de insumos</w:t>
      </w:r>
      <w:r w:rsidR="0062600C" w:rsidRPr="00152EEA">
        <w:rPr>
          <w:rFonts w:cs="Arial"/>
          <w:bCs/>
          <w:color w:val="000000"/>
          <w:sz w:val="24"/>
        </w:rPr>
        <w:t xml:space="preserve">, </w:t>
      </w:r>
      <w:r w:rsidR="0070015E" w:rsidRPr="00152EEA">
        <w:rPr>
          <w:rFonts w:cs="Arial"/>
          <w:bCs/>
          <w:color w:val="000000"/>
          <w:sz w:val="24"/>
        </w:rPr>
        <w:t>y el 11 % señala no saber</w:t>
      </w:r>
      <w:r w:rsidR="0073725F" w:rsidRPr="0073725F">
        <w:rPr>
          <w:rFonts w:cs="Arial"/>
          <w:bCs/>
          <w:color w:val="000000"/>
          <w:sz w:val="24"/>
        </w:rPr>
        <w:t xml:space="preserve"> </w:t>
      </w:r>
      <w:r w:rsidR="0073725F">
        <w:rPr>
          <w:rFonts w:cs="Arial"/>
          <w:bCs/>
          <w:color w:val="000000"/>
          <w:sz w:val="24"/>
        </w:rPr>
        <w:t>(</w:t>
      </w:r>
      <w:r w:rsidR="00FB5D96">
        <w:rPr>
          <w:rFonts w:cs="Arial"/>
          <w:bCs/>
          <w:color w:val="000000"/>
          <w:sz w:val="24"/>
        </w:rPr>
        <w:t>Figura 27</w:t>
      </w:r>
      <w:r w:rsidR="0073725F" w:rsidRPr="004A28A7">
        <w:rPr>
          <w:rFonts w:cs="Arial"/>
          <w:bCs/>
          <w:color w:val="000000"/>
          <w:sz w:val="24"/>
        </w:rPr>
        <w:t>).</w:t>
      </w:r>
    </w:p>
    <w:p w14:paraId="7659E778" w14:textId="77777777" w:rsidR="00190ADE" w:rsidRPr="007A53AB" w:rsidRDefault="00190ADE" w:rsidP="00CE7C87">
      <w:pPr>
        <w:pStyle w:val="Encabezado"/>
        <w:spacing w:before="240"/>
        <w:rPr>
          <w:highlight w:val="yellow"/>
          <w:lang w:eastAsia="es-CL"/>
        </w:rPr>
      </w:pPr>
      <w:r>
        <w:rPr>
          <w:noProof/>
          <w:lang w:val="es-CL" w:eastAsia="es-CL"/>
        </w:rPr>
        <w:lastRenderedPageBreak/>
        <w:drawing>
          <wp:inline distT="0" distB="0" distL="0" distR="0" wp14:anchorId="1FD15163" wp14:editId="253F9E02">
            <wp:extent cx="5168348" cy="5247861"/>
            <wp:effectExtent l="0" t="0" r="13335" b="1016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14:paraId="7211CE84" w14:textId="62706E5E" w:rsidR="00190ADE" w:rsidRDefault="00190ADE" w:rsidP="009D6C1D">
      <w:pPr>
        <w:pStyle w:val="Encabezado"/>
        <w:jc w:val="both"/>
        <w:rPr>
          <w:rFonts w:cs="Arial"/>
          <w:bCs/>
          <w:color w:val="000000"/>
          <w:sz w:val="24"/>
        </w:rPr>
      </w:pPr>
      <w:r w:rsidRPr="007F6A01">
        <w:rPr>
          <w:rFonts w:cs="Arial"/>
          <w:b/>
          <w:bCs/>
          <w:color w:val="000000"/>
          <w:sz w:val="24"/>
        </w:rPr>
        <w:t xml:space="preserve">Figura </w:t>
      </w:r>
      <w:r w:rsidR="007C2A2A">
        <w:rPr>
          <w:rFonts w:cs="Arial"/>
          <w:b/>
          <w:bCs/>
          <w:color w:val="000000"/>
          <w:sz w:val="24"/>
        </w:rPr>
        <w:t>2</w:t>
      </w:r>
      <w:r w:rsidR="00FB5D96">
        <w:rPr>
          <w:rFonts w:cs="Arial"/>
          <w:b/>
          <w:bCs/>
          <w:color w:val="000000"/>
          <w:sz w:val="24"/>
        </w:rPr>
        <w:t>7</w:t>
      </w:r>
      <w:r w:rsidRPr="007F6A01">
        <w:rPr>
          <w:rFonts w:cs="Arial"/>
          <w:b/>
          <w:bCs/>
          <w:color w:val="000000"/>
          <w:sz w:val="24"/>
        </w:rPr>
        <w:t>.</w:t>
      </w:r>
      <w:r>
        <w:rPr>
          <w:rFonts w:cs="Arial"/>
          <w:bCs/>
          <w:color w:val="000000"/>
          <w:sz w:val="24"/>
        </w:rPr>
        <w:t xml:space="preserve"> Gestión de Emisiones Atmosféricas</w:t>
      </w:r>
      <w:r w:rsidR="004A28A7">
        <w:rPr>
          <w:rFonts w:cs="Arial"/>
          <w:bCs/>
          <w:color w:val="000000"/>
          <w:sz w:val="24"/>
        </w:rPr>
        <w:t xml:space="preserve"> (%).</w:t>
      </w:r>
    </w:p>
    <w:p w14:paraId="410D31B4" w14:textId="77777777" w:rsidR="00F2469B" w:rsidRDefault="00F2469B" w:rsidP="00CE62F9">
      <w:pPr>
        <w:pStyle w:val="Encabezado"/>
        <w:spacing w:before="240"/>
        <w:rPr>
          <w:rFonts w:cs="Arial"/>
          <w:bCs/>
          <w:color w:val="000000"/>
          <w:sz w:val="24"/>
        </w:rPr>
      </w:pPr>
    </w:p>
    <w:p w14:paraId="23E267FB" w14:textId="77777777" w:rsidR="00ED26C2" w:rsidRDefault="00ED26C2" w:rsidP="00343562">
      <w:pPr>
        <w:pStyle w:val="Ttulo2"/>
        <w:rPr>
          <w:b w:val="0"/>
          <w:sz w:val="32"/>
          <w:szCs w:val="32"/>
        </w:rPr>
      </w:pPr>
      <w:bookmarkStart w:id="20" w:name="_Toc471999531"/>
    </w:p>
    <w:p w14:paraId="7ACC0BFA" w14:textId="281388A6" w:rsidR="006A09A8" w:rsidRPr="00ED26C2" w:rsidRDefault="00847E6B" w:rsidP="00343562">
      <w:pPr>
        <w:pStyle w:val="Ttulo2"/>
        <w:rPr>
          <w:b w:val="0"/>
          <w:sz w:val="32"/>
          <w:szCs w:val="32"/>
        </w:rPr>
      </w:pPr>
      <w:r w:rsidRPr="00ED26C2">
        <w:rPr>
          <w:b w:val="0"/>
          <w:sz w:val="32"/>
          <w:szCs w:val="32"/>
        </w:rPr>
        <w:t>Ges</w:t>
      </w:r>
      <w:r w:rsidR="00190ADE" w:rsidRPr="00ED26C2">
        <w:rPr>
          <w:b w:val="0"/>
          <w:sz w:val="32"/>
          <w:szCs w:val="32"/>
        </w:rPr>
        <w:t xml:space="preserve">tión </w:t>
      </w:r>
      <w:r w:rsidR="00CE7C87" w:rsidRPr="00ED26C2">
        <w:rPr>
          <w:b w:val="0"/>
          <w:sz w:val="32"/>
          <w:szCs w:val="32"/>
        </w:rPr>
        <w:t>A</w:t>
      </w:r>
      <w:r w:rsidR="00190ADE" w:rsidRPr="00ED26C2">
        <w:rPr>
          <w:b w:val="0"/>
          <w:sz w:val="32"/>
          <w:szCs w:val="32"/>
        </w:rPr>
        <w:t>mbiental</w:t>
      </w:r>
      <w:bookmarkEnd w:id="20"/>
    </w:p>
    <w:p w14:paraId="22E98881" w14:textId="16DDBAA4" w:rsidR="001307E5" w:rsidRDefault="006A09A8" w:rsidP="00CE62F9">
      <w:pPr>
        <w:pStyle w:val="Encabezado"/>
        <w:spacing w:before="240" w:line="276" w:lineRule="auto"/>
        <w:jc w:val="both"/>
        <w:rPr>
          <w:rFonts w:cs="Arial"/>
          <w:bCs/>
          <w:color w:val="000000"/>
          <w:sz w:val="24"/>
        </w:rPr>
      </w:pPr>
      <w:r w:rsidRPr="00152EEA">
        <w:rPr>
          <w:rFonts w:cs="Arial"/>
          <w:bCs/>
          <w:color w:val="000000"/>
          <w:sz w:val="24"/>
        </w:rPr>
        <w:t xml:space="preserve">Se puede definir gestión ambiental como la administración y manejo de todas las actividades humanas que influyen sobre el medio ambiente, mediante un conjunto de pautas, técnicas </w:t>
      </w:r>
      <w:r w:rsidR="001307E5" w:rsidRPr="00152EEA">
        <w:rPr>
          <w:rFonts w:cs="Arial"/>
          <w:bCs/>
          <w:color w:val="000000"/>
          <w:sz w:val="24"/>
        </w:rPr>
        <w:t xml:space="preserve">y otras acciones de política, de planificación, normativas, administrativas, financieras, organizativas, educativas, de evaluación, de seguimiento, fiscalización y </w:t>
      </w:r>
      <w:r w:rsidRPr="00152EEA">
        <w:rPr>
          <w:rFonts w:cs="Arial"/>
          <w:bCs/>
          <w:color w:val="000000"/>
          <w:sz w:val="24"/>
        </w:rPr>
        <w:t>mecanismos que</w:t>
      </w:r>
      <w:r w:rsidRPr="006A09A8">
        <w:rPr>
          <w:rFonts w:cs="Arial"/>
          <w:bCs/>
          <w:color w:val="000000"/>
          <w:sz w:val="24"/>
        </w:rPr>
        <w:t xml:space="preserve"> </w:t>
      </w:r>
      <w:r w:rsidRPr="00152EEA">
        <w:rPr>
          <w:rFonts w:cs="Arial"/>
          <w:bCs/>
          <w:color w:val="000000"/>
          <w:sz w:val="24"/>
        </w:rPr>
        <w:t xml:space="preserve">aseguren la puesta en práctica de una política ambiental racional y </w:t>
      </w:r>
      <w:r w:rsidRPr="00152EEA">
        <w:rPr>
          <w:rFonts w:cs="Arial"/>
          <w:bCs/>
          <w:color w:val="000000"/>
          <w:sz w:val="24"/>
        </w:rPr>
        <w:lastRenderedPageBreak/>
        <w:t>sostenida</w:t>
      </w:r>
      <w:r w:rsidR="001307E5" w:rsidRPr="00152EEA">
        <w:rPr>
          <w:rFonts w:cs="Arial"/>
          <w:bCs/>
          <w:color w:val="000000"/>
          <w:sz w:val="24"/>
        </w:rPr>
        <w:t xml:space="preserve">, por lo tanto la gestión ambiental es </w:t>
      </w:r>
      <w:r w:rsidRPr="00152EEA">
        <w:rPr>
          <w:rFonts w:cs="Arial"/>
          <w:bCs/>
          <w:color w:val="000000"/>
          <w:sz w:val="24"/>
        </w:rPr>
        <w:t xml:space="preserve">el conjunto de actividades humanas que tienen </w:t>
      </w:r>
      <w:r w:rsidR="00380863" w:rsidRPr="00152EEA">
        <w:rPr>
          <w:rFonts w:cs="Arial"/>
          <w:bCs/>
          <w:color w:val="000000"/>
          <w:sz w:val="24"/>
        </w:rPr>
        <w:t>como</w:t>
      </w:r>
      <w:r w:rsidRPr="00152EEA">
        <w:rPr>
          <w:rFonts w:cs="Arial"/>
          <w:bCs/>
          <w:color w:val="000000"/>
          <w:sz w:val="24"/>
        </w:rPr>
        <w:t xml:space="preserve"> objeto el ordenamie</w:t>
      </w:r>
      <w:r w:rsidR="001307E5" w:rsidRPr="00152EEA">
        <w:rPr>
          <w:rFonts w:cs="Arial"/>
          <w:bCs/>
          <w:color w:val="000000"/>
          <w:sz w:val="24"/>
        </w:rPr>
        <w:t>nto racional del ambiente.</w:t>
      </w:r>
    </w:p>
    <w:p w14:paraId="11C7AB67" w14:textId="0BBA8920" w:rsidR="00471137" w:rsidRDefault="00595774" w:rsidP="00CE62F9">
      <w:pPr>
        <w:pStyle w:val="Encabezado"/>
        <w:spacing w:before="240" w:line="276" w:lineRule="auto"/>
        <w:jc w:val="both"/>
        <w:rPr>
          <w:rFonts w:cs="Arial"/>
          <w:bCs/>
          <w:color w:val="000000"/>
          <w:sz w:val="24"/>
        </w:rPr>
      </w:pPr>
      <w:r w:rsidRPr="00C547F7">
        <w:rPr>
          <w:rFonts w:cs="Arial"/>
          <w:bCs/>
          <w:color w:val="000000"/>
          <w:sz w:val="24"/>
        </w:rPr>
        <w:t xml:space="preserve">En la industria </w:t>
      </w:r>
      <w:proofErr w:type="spellStart"/>
      <w:r w:rsidRPr="00C547F7">
        <w:rPr>
          <w:rFonts w:cs="Arial"/>
          <w:bCs/>
          <w:color w:val="000000"/>
          <w:sz w:val="24"/>
        </w:rPr>
        <w:t>mitilicultura</w:t>
      </w:r>
      <w:proofErr w:type="spellEnd"/>
      <w:r w:rsidRPr="00C547F7">
        <w:rPr>
          <w:rFonts w:cs="Arial"/>
          <w:bCs/>
          <w:color w:val="000000"/>
          <w:sz w:val="24"/>
        </w:rPr>
        <w:t xml:space="preserve"> la mayoría </w:t>
      </w:r>
      <w:r w:rsidR="00422CF0" w:rsidRPr="00C547F7">
        <w:rPr>
          <w:rFonts w:cs="Arial"/>
          <w:bCs/>
          <w:color w:val="000000"/>
          <w:sz w:val="24"/>
        </w:rPr>
        <w:t xml:space="preserve">de </w:t>
      </w:r>
      <w:r w:rsidRPr="00C547F7">
        <w:rPr>
          <w:rFonts w:cs="Arial"/>
          <w:bCs/>
          <w:color w:val="000000"/>
          <w:sz w:val="24"/>
        </w:rPr>
        <w:t xml:space="preserve">las plantas de proceso por exigencias de los mercados de destino certificaciones o estándares internacionales en aspectos de calidad, medio ambiente y/o salud o seguridad ocupacional, de esta forma el </w:t>
      </w:r>
      <w:r w:rsidR="00471137" w:rsidRPr="00C547F7">
        <w:rPr>
          <w:rFonts w:cs="Arial"/>
          <w:bCs/>
          <w:color w:val="000000"/>
          <w:sz w:val="24"/>
        </w:rPr>
        <w:t>análisis de la muestra evidenci</w:t>
      </w:r>
      <w:r w:rsidRPr="00C547F7">
        <w:rPr>
          <w:rFonts w:cs="Arial"/>
          <w:bCs/>
          <w:color w:val="000000"/>
          <w:sz w:val="24"/>
        </w:rPr>
        <w:t>ó</w:t>
      </w:r>
      <w:r w:rsidR="00471137" w:rsidRPr="00C547F7">
        <w:rPr>
          <w:rFonts w:cs="Arial"/>
          <w:bCs/>
          <w:color w:val="000000"/>
          <w:sz w:val="24"/>
        </w:rPr>
        <w:t xml:space="preserve"> </w:t>
      </w:r>
      <w:r w:rsidR="006A09A8" w:rsidRPr="00C547F7">
        <w:rPr>
          <w:rFonts w:cs="Arial"/>
          <w:bCs/>
          <w:color w:val="000000"/>
          <w:sz w:val="24"/>
        </w:rPr>
        <w:t xml:space="preserve">que el </w:t>
      </w:r>
      <w:r w:rsidR="00C547F7" w:rsidRPr="00C547F7">
        <w:rPr>
          <w:rFonts w:cs="Arial"/>
          <w:bCs/>
          <w:color w:val="000000"/>
          <w:sz w:val="24"/>
        </w:rPr>
        <w:t>100% de las empresas poseen certificación. T</w:t>
      </w:r>
      <w:r w:rsidR="00471137" w:rsidRPr="00C547F7">
        <w:rPr>
          <w:rFonts w:cs="Arial"/>
          <w:bCs/>
          <w:color w:val="000000"/>
          <w:sz w:val="24"/>
        </w:rPr>
        <w:t>ambién</w:t>
      </w:r>
      <w:r w:rsidRPr="00C547F7">
        <w:rPr>
          <w:rFonts w:cs="Arial"/>
          <w:bCs/>
          <w:color w:val="000000"/>
          <w:sz w:val="24"/>
        </w:rPr>
        <w:t>,</w:t>
      </w:r>
      <w:r w:rsidR="00C547F7">
        <w:rPr>
          <w:rFonts w:cs="Arial"/>
          <w:bCs/>
          <w:color w:val="000000"/>
          <w:sz w:val="24"/>
        </w:rPr>
        <w:t xml:space="preserve"> in</w:t>
      </w:r>
      <w:r w:rsidR="00C547F7" w:rsidRPr="00C547F7">
        <w:rPr>
          <w:rFonts w:cs="Arial"/>
          <w:bCs/>
          <w:color w:val="000000"/>
          <w:sz w:val="24"/>
        </w:rPr>
        <w:t>dicar</w:t>
      </w:r>
      <w:r w:rsidR="00471137" w:rsidRPr="00C547F7">
        <w:rPr>
          <w:rFonts w:cs="Arial"/>
          <w:bCs/>
          <w:color w:val="000000"/>
          <w:sz w:val="24"/>
        </w:rPr>
        <w:t xml:space="preserve"> que ninguna de las empresas</w:t>
      </w:r>
      <w:r w:rsidR="00C547F7" w:rsidRPr="00C547F7">
        <w:rPr>
          <w:rFonts w:cs="Arial"/>
          <w:bCs/>
          <w:color w:val="000000"/>
          <w:sz w:val="24"/>
        </w:rPr>
        <w:t xml:space="preserve"> </w:t>
      </w:r>
      <w:r w:rsidR="00471137" w:rsidRPr="00C547F7">
        <w:rPr>
          <w:rFonts w:cs="Arial"/>
          <w:bCs/>
          <w:color w:val="000000"/>
          <w:sz w:val="24"/>
        </w:rPr>
        <w:t>posee problemas con la ubicación de sus instalaciones</w:t>
      </w:r>
      <w:r w:rsidR="007C2A2A" w:rsidRPr="00C547F7">
        <w:rPr>
          <w:rFonts w:cs="Arial"/>
          <w:bCs/>
          <w:color w:val="000000"/>
          <w:sz w:val="24"/>
        </w:rPr>
        <w:t xml:space="preserve"> (Figura 2</w:t>
      </w:r>
      <w:r w:rsidR="00FB5D96" w:rsidRPr="00C547F7">
        <w:rPr>
          <w:rFonts w:cs="Arial"/>
          <w:bCs/>
          <w:color w:val="000000"/>
          <w:sz w:val="24"/>
        </w:rPr>
        <w:t>8</w:t>
      </w:r>
      <w:r w:rsidR="00843CC1" w:rsidRPr="00C547F7">
        <w:rPr>
          <w:rFonts w:cs="Arial"/>
          <w:bCs/>
          <w:color w:val="000000"/>
          <w:sz w:val="24"/>
        </w:rPr>
        <w:t>).</w:t>
      </w:r>
      <w:r w:rsidR="006A09A8">
        <w:rPr>
          <w:rFonts w:cs="Arial"/>
          <w:bCs/>
          <w:color w:val="000000"/>
          <w:sz w:val="24"/>
        </w:rPr>
        <w:t xml:space="preserve"> </w:t>
      </w:r>
    </w:p>
    <w:p w14:paraId="0A3DC44E" w14:textId="32B983BC" w:rsidR="006A09A8" w:rsidRPr="00C547F7" w:rsidRDefault="002754C9" w:rsidP="00CE62F9">
      <w:pPr>
        <w:pStyle w:val="Encabezado"/>
        <w:spacing w:before="240" w:line="276" w:lineRule="auto"/>
        <w:jc w:val="both"/>
        <w:rPr>
          <w:rFonts w:cs="Arial"/>
          <w:bCs/>
          <w:color w:val="000000"/>
          <w:sz w:val="24"/>
        </w:rPr>
      </w:pPr>
      <w:r w:rsidRPr="00C547F7">
        <w:rPr>
          <w:rFonts w:cs="Arial"/>
          <w:bCs/>
          <w:color w:val="000000"/>
          <w:sz w:val="24"/>
        </w:rPr>
        <w:t>E</w:t>
      </w:r>
      <w:r w:rsidR="00380863" w:rsidRPr="00C547F7">
        <w:rPr>
          <w:rFonts w:cs="Arial"/>
          <w:bCs/>
          <w:color w:val="000000"/>
          <w:sz w:val="24"/>
        </w:rPr>
        <w:t>l 56%</w:t>
      </w:r>
      <w:r w:rsidR="00D01780" w:rsidRPr="00C547F7">
        <w:rPr>
          <w:rFonts w:cs="Arial"/>
          <w:bCs/>
          <w:color w:val="000000"/>
          <w:sz w:val="24"/>
        </w:rPr>
        <w:t xml:space="preserve"> (5</w:t>
      </w:r>
      <w:r w:rsidR="00380863" w:rsidRPr="00C547F7">
        <w:rPr>
          <w:rFonts w:cs="Arial"/>
          <w:bCs/>
          <w:color w:val="000000"/>
          <w:sz w:val="24"/>
        </w:rPr>
        <w:t xml:space="preserve"> </w:t>
      </w:r>
      <w:r w:rsidR="00D01780" w:rsidRPr="00C547F7">
        <w:rPr>
          <w:rFonts w:cs="Arial"/>
          <w:bCs/>
          <w:color w:val="000000"/>
          <w:sz w:val="24"/>
        </w:rPr>
        <w:t>empresas)</w:t>
      </w:r>
      <w:r w:rsidR="006A09A8" w:rsidRPr="00C547F7">
        <w:rPr>
          <w:rFonts w:cs="Arial"/>
          <w:bCs/>
          <w:color w:val="000000"/>
          <w:sz w:val="24"/>
        </w:rPr>
        <w:t xml:space="preserve">, </w:t>
      </w:r>
      <w:r w:rsidR="00D01780" w:rsidRPr="00C547F7">
        <w:rPr>
          <w:rFonts w:cs="Arial"/>
          <w:bCs/>
          <w:color w:val="000000"/>
          <w:sz w:val="24"/>
        </w:rPr>
        <w:t>informan</w:t>
      </w:r>
      <w:r w:rsidR="006A09A8" w:rsidRPr="00C547F7">
        <w:rPr>
          <w:rFonts w:cs="Arial"/>
          <w:bCs/>
          <w:color w:val="000000"/>
          <w:sz w:val="24"/>
        </w:rPr>
        <w:t xml:space="preserve"> no poseer datos anteriores de evaluación ambiental</w:t>
      </w:r>
      <w:r w:rsidR="00D01780" w:rsidRPr="00C547F7">
        <w:rPr>
          <w:rFonts w:cs="Arial"/>
          <w:bCs/>
          <w:color w:val="000000"/>
          <w:sz w:val="24"/>
        </w:rPr>
        <w:t xml:space="preserve"> y </w:t>
      </w:r>
      <w:r w:rsidR="006A09A8" w:rsidRPr="00C547F7">
        <w:rPr>
          <w:rFonts w:cs="Arial"/>
          <w:bCs/>
          <w:color w:val="000000"/>
          <w:sz w:val="24"/>
        </w:rPr>
        <w:t>tener un estándar ambiental interno.</w:t>
      </w:r>
      <w:r w:rsidR="00D01780" w:rsidRPr="00C547F7">
        <w:rPr>
          <w:rFonts w:cs="Arial"/>
          <w:bCs/>
          <w:color w:val="000000"/>
          <w:sz w:val="24"/>
        </w:rPr>
        <w:t xml:space="preserve"> El  89% de las plantas señala asignar re</w:t>
      </w:r>
      <w:r w:rsidR="006A09A8" w:rsidRPr="00C547F7">
        <w:rPr>
          <w:rFonts w:cs="Arial"/>
          <w:bCs/>
          <w:color w:val="000000"/>
          <w:sz w:val="24"/>
        </w:rPr>
        <w:t>cursos financieros a gestión ambiental, capacitación de</w:t>
      </w:r>
      <w:r w:rsidR="005B585B" w:rsidRPr="00C547F7">
        <w:rPr>
          <w:rFonts w:cs="Arial"/>
          <w:bCs/>
          <w:color w:val="000000"/>
          <w:sz w:val="24"/>
        </w:rPr>
        <w:t>l</w:t>
      </w:r>
      <w:r w:rsidR="006A09A8" w:rsidRPr="00C547F7">
        <w:rPr>
          <w:rFonts w:cs="Arial"/>
          <w:bCs/>
          <w:color w:val="000000"/>
          <w:sz w:val="24"/>
        </w:rPr>
        <w:t xml:space="preserve"> personal en el manejo y prevención de la contaminación y manejo residuos sólidos</w:t>
      </w:r>
      <w:r w:rsidR="00D01780" w:rsidRPr="00C547F7">
        <w:rPr>
          <w:rFonts w:cs="Arial"/>
          <w:bCs/>
          <w:color w:val="000000"/>
          <w:sz w:val="24"/>
        </w:rPr>
        <w:t>. E</w:t>
      </w:r>
      <w:r w:rsidR="00471137" w:rsidRPr="00C547F7">
        <w:rPr>
          <w:rFonts w:cs="Arial"/>
          <w:bCs/>
          <w:color w:val="000000"/>
          <w:sz w:val="24"/>
        </w:rPr>
        <w:t xml:space="preserve">l </w:t>
      </w:r>
      <w:r w:rsidR="006A09A8" w:rsidRPr="00C547F7">
        <w:rPr>
          <w:rFonts w:cs="Arial"/>
          <w:bCs/>
          <w:color w:val="000000"/>
          <w:sz w:val="24"/>
        </w:rPr>
        <w:t>56% indica que poseen registros de algún incidente ambiental</w:t>
      </w:r>
      <w:r w:rsidR="00843CC1" w:rsidRPr="00C547F7">
        <w:rPr>
          <w:rFonts w:cs="Arial"/>
          <w:bCs/>
          <w:color w:val="000000"/>
          <w:sz w:val="24"/>
        </w:rPr>
        <w:t xml:space="preserve"> </w:t>
      </w:r>
      <w:r w:rsidR="007C2A2A" w:rsidRPr="00C547F7">
        <w:rPr>
          <w:rFonts w:cs="Arial"/>
          <w:bCs/>
          <w:color w:val="000000"/>
          <w:sz w:val="24"/>
        </w:rPr>
        <w:t>(Figura 2</w:t>
      </w:r>
      <w:r w:rsidR="00FB5D96" w:rsidRPr="00C547F7">
        <w:rPr>
          <w:rFonts w:cs="Arial"/>
          <w:bCs/>
          <w:color w:val="000000"/>
          <w:sz w:val="24"/>
        </w:rPr>
        <w:t>8</w:t>
      </w:r>
      <w:r w:rsidR="00843CC1" w:rsidRPr="00C547F7">
        <w:rPr>
          <w:rFonts w:cs="Arial"/>
          <w:bCs/>
          <w:color w:val="000000"/>
          <w:sz w:val="24"/>
        </w:rPr>
        <w:t>).</w:t>
      </w:r>
    </w:p>
    <w:p w14:paraId="7EA089CC" w14:textId="16E5B1C2" w:rsidR="006A09A8" w:rsidRPr="00C547F7" w:rsidRDefault="006A09A8" w:rsidP="00CE62F9">
      <w:pPr>
        <w:pStyle w:val="Encabezado"/>
        <w:spacing w:before="240" w:line="276" w:lineRule="auto"/>
        <w:jc w:val="both"/>
        <w:rPr>
          <w:rFonts w:cs="Arial"/>
          <w:bCs/>
          <w:color w:val="000000"/>
          <w:sz w:val="24"/>
        </w:rPr>
      </w:pPr>
      <w:r w:rsidRPr="00C547F7">
        <w:rPr>
          <w:rFonts w:cs="Arial"/>
          <w:bCs/>
          <w:color w:val="000000"/>
          <w:sz w:val="24"/>
        </w:rPr>
        <w:t>Con respecto a la existencia de procedimientos para prevenir problemas ambientales y la mantención y control de la documentación de relevancia ambiental, el 78% (7 empr</w:t>
      </w:r>
      <w:r w:rsidR="005B585B" w:rsidRPr="00C547F7">
        <w:rPr>
          <w:rFonts w:cs="Arial"/>
          <w:bCs/>
          <w:color w:val="000000"/>
          <w:sz w:val="24"/>
        </w:rPr>
        <w:t>esas) señala cumplir</w:t>
      </w:r>
      <w:r w:rsidR="00D606BF" w:rsidRPr="00C547F7">
        <w:rPr>
          <w:rFonts w:cs="Arial"/>
          <w:bCs/>
          <w:color w:val="000000"/>
          <w:sz w:val="24"/>
        </w:rPr>
        <w:t xml:space="preserve">, mientras que </w:t>
      </w:r>
      <w:r w:rsidR="002754C9" w:rsidRPr="00C547F7">
        <w:rPr>
          <w:rFonts w:cs="Arial"/>
          <w:bCs/>
          <w:color w:val="000000"/>
          <w:sz w:val="24"/>
        </w:rPr>
        <w:t xml:space="preserve">el 22% </w:t>
      </w:r>
      <w:r w:rsidR="00D606BF" w:rsidRPr="00C547F7">
        <w:rPr>
          <w:rFonts w:cs="Arial"/>
          <w:bCs/>
          <w:color w:val="000000"/>
          <w:sz w:val="24"/>
        </w:rPr>
        <w:t>restante</w:t>
      </w:r>
      <w:r w:rsidR="002754C9" w:rsidRPr="00C547F7">
        <w:rPr>
          <w:rFonts w:cs="Arial"/>
          <w:bCs/>
          <w:color w:val="000000"/>
          <w:sz w:val="24"/>
        </w:rPr>
        <w:t xml:space="preserve"> (2 empresas)</w:t>
      </w:r>
      <w:r w:rsidR="00D606BF" w:rsidRPr="00C547F7">
        <w:rPr>
          <w:rFonts w:cs="Arial"/>
          <w:bCs/>
          <w:color w:val="000000"/>
          <w:sz w:val="24"/>
        </w:rPr>
        <w:t xml:space="preserve">, </w:t>
      </w:r>
      <w:r w:rsidRPr="00C547F7">
        <w:rPr>
          <w:rFonts w:cs="Arial"/>
          <w:bCs/>
          <w:color w:val="000000"/>
          <w:sz w:val="24"/>
        </w:rPr>
        <w:t>no cumplen</w:t>
      </w:r>
      <w:r w:rsidR="00843CC1" w:rsidRPr="00C547F7">
        <w:rPr>
          <w:rFonts w:cs="Arial"/>
          <w:bCs/>
          <w:color w:val="000000"/>
          <w:sz w:val="24"/>
        </w:rPr>
        <w:t xml:space="preserve"> (Figura 2</w:t>
      </w:r>
      <w:r w:rsidR="00FB5D96" w:rsidRPr="00C547F7">
        <w:rPr>
          <w:rFonts w:cs="Arial"/>
          <w:bCs/>
          <w:color w:val="000000"/>
          <w:sz w:val="24"/>
        </w:rPr>
        <w:t>8</w:t>
      </w:r>
      <w:r w:rsidR="00843CC1" w:rsidRPr="00C547F7">
        <w:rPr>
          <w:rFonts w:cs="Arial"/>
          <w:bCs/>
          <w:color w:val="000000"/>
          <w:sz w:val="24"/>
        </w:rPr>
        <w:t>).</w:t>
      </w:r>
    </w:p>
    <w:p w14:paraId="575DCBDE" w14:textId="3C6318E5" w:rsidR="00D606BF" w:rsidRPr="00152EEA" w:rsidRDefault="00D606BF" w:rsidP="00CE62F9">
      <w:pPr>
        <w:pStyle w:val="Encabezado"/>
        <w:spacing w:before="240" w:line="276" w:lineRule="auto"/>
        <w:jc w:val="both"/>
        <w:rPr>
          <w:rFonts w:cs="Arial"/>
          <w:bCs/>
          <w:color w:val="000000"/>
          <w:sz w:val="24"/>
        </w:rPr>
      </w:pPr>
      <w:r w:rsidRPr="00C547F7">
        <w:rPr>
          <w:rFonts w:cs="Arial"/>
          <w:bCs/>
          <w:color w:val="000000"/>
          <w:sz w:val="24"/>
        </w:rPr>
        <w:t xml:space="preserve">El escurrimiento de </w:t>
      </w:r>
      <w:r w:rsidR="0015331F" w:rsidRPr="00C547F7">
        <w:rPr>
          <w:rFonts w:cs="Arial"/>
          <w:bCs/>
          <w:color w:val="000000"/>
          <w:sz w:val="24"/>
        </w:rPr>
        <w:t>a</w:t>
      </w:r>
      <w:r w:rsidRPr="00C547F7">
        <w:rPr>
          <w:rFonts w:cs="Arial"/>
          <w:bCs/>
          <w:color w:val="000000"/>
          <w:sz w:val="24"/>
        </w:rPr>
        <w:t xml:space="preserve">gua </w:t>
      </w:r>
      <w:r w:rsidR="00111E24" w:rsidRPr="00C547F7">
        <w:rPr>
          <w:rFonts w:cs="Arial"/>
          <w:bCs/>
          <w:color w:val="000000"/>
          <w:sz w:val="24"/>
        </w:rPr>
        <w:t xml:space="preserve">que se produce </w:t>
      </w:r>
      <w:r w:rsidRPr="00C547F7">
        <w:rPr>
          <w:rFonts w:cs="Arial"/>
          <w:bCs/>
          <w:color w:val="000000"/>
          <w:sz w:val="24"/>
        </w:rPr>
        <w:t>en el traslado de materia prima</w:t>
      </w:r>
      <w:r w:rsidR="00111E24" w:rsidRPr="00C547F7">
        <w:rPr>
          <w:rFonts w:cs="Arial"/>
          <w:bCs/>
          <w:color w:val="000000"/>
          <w:sz w:val="24"/>
        </w:rPr>
        <w:t>,</w:t>
      </w:r>
      <w:r w:rsidRPr="00C547F7">
        <w:rPr>
          <w:rFonts w:cs="Arial"/>
          <w:bCs/>
          <w:color w:val="000000"/>
          <w:sz w:val="24"/>
        </w:rPr>
        <w:t xml:space="preserve"> es una problemática que afecta principalmente a la comunidad </w:t>
      </w:r>
      <w:r w:rsidR="00A9236D" w:rsidRPr="00C547F7">
        <w:rPr>
          <w:rFonts w:cs="Arial"/>
          <w:bCs/>
          <w:color w:val="000000"/>
          <w:sz w:val="24"/>
        </w:rPr>
        <w:t xml:space="preserve"> y </w:t>
      </w:r>
      <w:r w:rsidR="00111E24" w:rsidRPr="00C547F7">
        <w:rPr>
          <w:rFonts w:cs="Arial"/>
          <w:bCs/>
          <w:color w:val="000000"/>
          <w:sz w:val="24"/>
        </w:rPr>
        <w:t xml:space="preserve">al </w:t>
      </w:r>
      <w:r w:rsidR="00A9236D" w:rsidRPr="00C547F7">
        <w:rPr>
          <w:rFonts w:cs="Arial"/>
          <w:bCs/>
          <w:color w:val="000000"/>
          <w:sz w:val="24"/>
        </w:rPr>
        <w:t xml:space="preserve">entorno. La materia prima cosechada es traslada en mallas y </w:t>
      </w:r>
      <w:proofErr w:type="spellStart"/>
      <w:r w:rsidR="00A9236D" w:rsidRPr="00C547F7">
        <w:rPr>
          <w:rFonts w:cs="Arial"/>
          <w:bCs/>
          <w:color w:val="000000"/>
          <w:sz w:val="24"/>
        </w:rPr>
        <w:t>maxisacos</w:t>
      </w:r>
      <w:proofErr w:type="spellEnd"/>
      <w:r w:rsidR="00A9236D" w:rsidRPr="00C547F7">
        <w:rPr>
          <w:rFonts w:cs="Arial"/>
          <w:bCs/>
          <w:color w:val="000000"/>
          <w:sz w:val="24"/>
        </w:rPr>
        <w:t xml:space="preserve"> principalmente</w:t>
      </w:r>
      <w:r w:rsidR="002D192D" w:rsidRPr="00C547F7">
        <w:rPr>
          <w:rFonts w:cs="Arial"/>
          <w:bCs/>
          <w:color w:val="000000"/>
          <w:sz w:val="24"/>
        </w:rPr>
        <w:t xml:space="preserve">, estos envases son permeables, por lo tanto no almacenan el agua </w:t>
      </w:r>
      <w:r w:rsidR="00A9236D" w:rsidRPr="00C547F7">
        <w:rPr>
          <w:rFonts w:cs="Arial"/>
          <w:bCs/>
          <w:color w:val="000000"/>
          <w:sz w:val="24"/>
        </w:rPr>
        <w:t>que se gen</w:t>
      </w:r>
      <w:r w:rsidR="002D192D" w:rsidRPr="00C547F7">
        <w:rPr>
          <w:rFonts w:cs="Arial"/>
          <w:bCs/>
          <w:color w:val="000000"/>
          <w:sz w:val="24"/>
        </w:rPr>
        <w:t xml:space="preserve">era </w:t>
      </w:r>
      <w:r w:rsidR="00A9236D" w:rsidRPr="00C547F7">
        <w:rPr>
          <w:rFonts w:cs="Arial"/>
          <w:bCs/>
          <w:color w:val="000000"/>
          <w:sz w:val="24"/>
        </w:rPr>
        <w:t xml:space="preserve">producto de la </w:t>
      </w:r>
      <w:r w:rsidR="002D192D" w:rsidRPr="00C547F7">
        <w:rPr>
          <w:rFonts w:cs="Arial"/>
          <w:bCs/>
          <w:color w:val="000000"/>
          <w:sz w:val="24"/>
        </w:rPr>
        <w:t>deshidratación</w:t>
      </w:r>
      <w:r w:rsidR="00A9236D" w:rsidRPr="00C547F7">
        <w:rPr>
          <w:rFonts w:cs="Arial"/>
          <w:bCs/>
          <w:color w:val="000000"/>
          <w:sz w:val="24"/>
        </w:rPr>
        <w:t xml:space="preserve"> </w:t>
      </w:r>
      <w:r w:rsidR="00F77B1D" w:rsidRPr="00C547F7">
        <w:rPr>
          <w:rFonts w:cs="Arial"/>
          <w:bCs/>
          <w:color w:val="000000"/>
          <w:sz w:val="24"/>
        </w:rPr>
        <w:t xml:space="preserve">de los </w:t>
      </w:r>
      <w:proofErr w:type="spellStart"/>
      <w:r w:rsidR="00F77B1D" w:rsidRPr="00C547F7">
        <w:rPr>
          <w:rFonts w:cs="Arial"/>
          <w:bCs/>
          <w:color w:val="000000"/>
          <w:sz w:val="24"/>
        </w:rPr>
        <w:t>choritos</w:t>
      </w:r>
      <w:proofErr w:type="spellEnd"/>
      <w:r w:rsidR="00F77B1D" w:rsidRPr="00C547F7">
        <w:rPr>
          <w:rFonts w:cs="Arial"/>
          <w:bCs/>
          <w:color w:val="000000"/>
          <w:sz w:val="24"/>
        </w:rPr>
        <w:t xml:space="preserve"> frescos. El agua escurre sobre las superficies de las carreteras durante el trayecto entre el centro de cultivo y la p</w:t>
      </w:r>
      <w:r w:rsidR="00047B4E" w:rsidRPr="00C547F7">
        <w:rPr>
          <w:rFonts w:cs="Arial"/>
          <w:bCs/>
          <w:color w:val="000000"/>
          <w:sz w:val="24"/>
        </w:rPr>
        <w:t>l</w:t>
      </w:r>
      <w:r w:rsidR="00F77B1D" w:rsidRPr="00C547F7">
        <w:rPr>
          <w:rFonts w:cs="Arial"/>
          <w:bCs/>
          <w:color w:val="000000"/>
          <w:sz w:val="24"/>
        </w:rPr>
        <w:t>anta,</w:t>
      </w:r>
      <w:r w:rsidR="00D05DE6" w:rsidRPr="00C547F7">
        <w:rPr>
          <w:rFonts w:cs="Arial"/>
          <w:bCs/>
          <w:color w:val="000000"/>
          <w:sz w:val="24"/>
        </w:rPr>
        <w:t xml:space="preserve"> provocando malos olores que se acentúan</w:t>
      </w:r>
      <w:r w:rsidR="00F77B1D" w:rsidRPr="00C547F7">
        <w:rPr>
          <w:rFonts w:cs="Arial"/>
          <w:bCs/>
          <w:color w:val="000000"/>
          <w:sz w:val="24"/>
        </w:rPr>
        <w:t xml:space="preserve"> con el aumento de temperatura en </w:t>
      </w:r>
      <w:r w:rsidR="003E6E93" w:rsidRPr="00C547F7">
        <w:rPr>
          <w:rFonts w:cs="Arial"/>
          <w:bCs/>
          <w:color w:val="000000"/>
          <w:sz w:val="24"/>
        </w:rPr>
        <w:t>la</w:t>
      </w:r>
      <w:r w:rsidR="00F77B1D" w:rsidRPr="00C547F7">
        <w:rPr>
          <w:rFonts w:cs="Arial"/>
          <w:bCs/>
          <w:color w:val="000000"/>
          <w:sz w:val="24"/>
        </w:rPr>
        <w:t xml:space="preserve"> </w:t>
      </w:r>
      <w:r w:rsidR="00D05DE6" w:rsidRPr="00C547F7">
        <w:rPr>
          <w:rFonts w:cs="Arial"/>
          <w:bCs/>
          <w:color w:val="000000"/>
          <w:sz w:val="24"/>
        </w:rPr>
        <w:t>époc</w:t>
      </w:r>
      <w:r w:rsidR="00F77B1D" w:rsidRPr="00C547F7">
        <w:rPr>
          <w:rFonts w:cs="Arial"/>
          <w:bCs/>
          <w:color w:val="000000"/>
          <w:sz w:val="24"/>
        </w:rPr>
        <w:t>a estival.</w:t>
      </w:r>
    </w:p>
    <w:p w14:paraId="502CB1A6" w14:textId="77777777" w:rsidR="004A28A7" w:rsidRDefault="004A28A7" w:rsidP="00CE62F9">
      <w:pPr>
        <w:pStyle w:val="Encabezado"/>
        <w:spacing w:before="240" w:line="276" w:lineRule="auto"/>
        <w:jc w:val="both"/>
        <w:rPr>
          <w:rFonts w:cs="Arial"/>
          <w:bCs/>
          <w:color w:val="000000"/>
          <w:sz w:val="24"/>
        </w:rPr>
      </w:pPr>
    </w:p>
    <w:p w14:paraId="6FD3506A" w14:textId="4D5E213F" w:rsidR="006A09A8" w:rsidRDefault="005B585B" w:rsidP="00CE62F9">
      <w:pPr>
        <w:pStyle w:val="Encabezado"/>
        <w:spacing w:before="240" w:line="276" w:lineRule="auto"/>
        <w:jc w:val="both"/>
        <w:rPr>
          <w:rFonts w:cs="Arial"/>
          <w:bCs/>
          <w:color w:val="000000"/>
          <w:sz w:val="24"/>
        </w:rPr>
      </w:pPr>
      <w:r w:rsidRPr="00152EEA">
        <w:rPr>
          <w:rFonts w:cs="Arial"/>
          <w:bCs/>
          <w:color w:val="000000"/>
          <w:sz w:val="24"/>
        </w:rPr>
        <w:t>El</w:t>
      </w:r>
      <w:r w:rsidR="00956F72" w:rsidRPr="00152EEA">
        <w:rPr>
          <w:rFonts w:cs="Arial"/>
          <w:bCs/>
          <w:color w:val="000000"/>
          <w:sz w:val="24"/>
        </w:rPr>
        <w:t xml:space="preserve"> análisis </w:t>
      </w:r>
      <w:r w:rsidR="00111E24" w:rsidRPr="00152EEA">
        <w:rPr>
          <w:rFonts w:cs="Arial"/>
          <w:bCs/>
          <w:color w:val="000000"/>
          <w:sz w:val="24"/>
        </w:rPr>
        <w:t xml:space="preserve">de la muestra </w:t>
      </w:r>
      <w:r w:rsidR="00956F72" w:rsidRPr="00152EEA">
        <w:rPr>
          <w:rFonts w:cs="Arial"/>
          <w:bCs/>
          <w:color w:val="000000"/>
          <w:sz w:val="24"/>
        </w:rPr>
        <w:t>evidencia que el</w:t>
      </w:r>
      <w:r w:rsidRPr="00152EEA">
        <w:rPr>
          <w:rFonts w:cs="Arial"/>
          <w:bCs/>
          <w:color w:val="000000"/>
          <w:sz w:val="24"/>
        </w:rPr>
        <w:t xml:space="preserve"> 78% de las plantas de proceso </w:t>
      </w:r>
      <w:r w:rsidR="00B27AF4">
        <w:rPr>
          <w:rFonts w:cs="Arial"/>
          <w:bCs/>
          <w:color w:val="000000"/>
          <w:sz w:val="24"/>
        </w:rPr>
        <w:t>encuestadas</w:t>
      </w:r>
      <w:r w:rsidR="00B27AF4" w:rsidRPr="00152EEA">
        <w:rPr>
          <w:rFonts w:cs="Arial"/>
          <w:bCs/>
          <w:color w:val="000000"/>
          <w:sz w:val="24"/>
        </w:rPr>
        <w:t xml:space="preserve"> </w:t>
      </w:r>
      <w:r w:rsidR="006A09A8" w:rsidRPr="00152EEA">
        <w:rPr>
          <w:rFonts w:cs="Arial"/>
          <w:bCs/>
          <w:color w:val="000000"/>
          <w:sz w:val="24"/>
        </w:rPr>
        <w:t>no posee u</w:t>
      </w:r>
      <w:r w:rsidR="00111E24" w:rsidRPr="00152EEA">
        <w:rPr>
          <w:rFonts w:cs="Arial"/>
          <w:bCs/>
          <w:color w:val="000000"/>
          <w:sz w:val="24"/>
        </w:rPr>
        <w:t>n procedimiento</w:t>
      </w:r>
      <w:r w:rsidRPr="00152EEA">
        <w:rPr>
          <w:rFonts w:cs="Arial"/>
          <w:bCs/>
          <w:color w:val="000000"/>
          <w:sz w:val="24"/>
        </w:rPr>
        <w:t xml:space="preserve"> de transporte </w:t>
      </w:r>
      <w:r w:rsidR="00D606BF" w:rsidRPr="00152EEA">
        <w:rPr>
          <w:rFonts w:cs="Arial"/>
          <w:bCs/>
          <w:color w:val="000000"/>
          <w:sz w:val="24"/>
        </w:rPr>
        <w:t xml:space="preserve">entre el centro de cultivo y planta, </w:t>
      </w:r>
      <w:r w:rsidRPr="00152EEA">
        <w:rPr>
          <w:rFonts w:cs="Arial"/>
          <w:bCs/>
          <w:color w:val="000000"/>
          <w:sz w:val="24"/>
        </w:rPr>
        <w:t xml:space="preserve">que evite el escurrimiento de agua de la </w:t>
      </w:r>
      <w:r w:rsidR="00D606BF" w:rsidRPr="00152EEA">
        <w:rPr>
          <w:rFonts w:cs="Arial"/>
          <w:bCs/>
          <w:color w:val="000000"/>
          <w:sz w:val="24"/>
        </w:rPr>
        <w:t>materia prima cosechada</w:t>
      </w:r>
      <w:r w:rsidR="00956F72" w:rsidRPr="00152EEA">
        <w:rPr>
          <w:rFonts w:cs="Arial"/>
          <w:bCs/>
          <w:color w:val="000000"/>
          <w:sz w:val="24"/>
        </w:rPr>
        <w:t>, sólo el 22 % informa poseerlo</w:t>
      </w:r>
      <w:r w:rsidR="00D606BF" w:rsidRPr="00D606BF">
        <w:rPr>
          <w:rFonts w:cs="Arial"/>
          <w:bCs/>
          <w:color w:val="000000"/>
          <w:sz w:val="24"/>
        </w:rPr>
        <w:t xml:space="preserve"> </w:t>
      </w:r>
      <w:r w:rsidR="00FB5D96">
        <w:rPr>
          <w:rFonts w:cs="Arial"/>
          <w:bCs/>
          <w:color w:val="000000"/>
          <w:sz w:val="24"/>
        </w:rPr>
        <w:t>(Figura 28</w:t>
      </w:r>
      <w:r w:rsidR="00D606BF" w:rsidRPr="004A28A7">
        <w:rPr>
          <w:rFonts w:cs="Arial"/>
          <w:bCs/>
          <w:color w:val="000000"/>
          <w:sz w:val="24"/>
        </w:rPr>
        <w:t>).</w:t>
      </w:r>
      <w:r w:rsidR="006A09A8">
        <w:rPr>
          <w:rFonts w:cs="Arial"/>
          <w:bCs/>
          <w:color w:val="000000"/>
          <w:sz w:val="24"/>
        </w:rPr>
        <w:t xml:space="preserve"> </w:t>
      </w:r>
    </w:p>
    <w:p w14:paraId="32DA3154" w14:textId="77777777" w:rsidR="00AA5697" w:rsidRDefault="00AA5697" w:rsidP="00AA5697">
      <w:pPr>
        <w:pStyle w:val="Encabezado"/>
        <w:spacing w:before="240" w:line="276" w:lineRule="auto"/>
        <w:jc w:val="both"/>
        <w:rPr>
          <w:rFonts w:cs="Arial"/>
          <w:b/>
          <w:bCs/>
          <w:color w:val="000000"/>
          <w:sz w:val="24"/>
        </w:rPr>
      </w:pPr>
      <w:r>
        <w:rPr>
          <w:noProof/>
          <w:lang w:val="es-CL" w:eastAsia="es-CL"/>
        </w:rPr>
        <w:lastRenderedPageBreak/>
        <w:drawing>
          <wp:inline distT="0" distB="0" distL="0" distR="0" wp14:anchorId="619B0D5A" wp14:editId="145C2C62">
            <wp:extent cx="3843618" cy="6996714"/>
            <wp:effectExtent l="0" t="0" r="24130" b="13970"/>
            <wp:docPr id="31" name="Gráfico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14:paraId="6F033D04" w14:textId="77A32753" w:rsidR="00843CC1" w:rsidRDefault="00AA5697" w:rsidP="00AA5697">
      <w:pPr>
        <w:pStyle w:val="Encabezado"/>
        <w:spacing w:line="276" w:lineRule="auto"/>
        <w:jc w:val="both"/>
        <w:rPr>
          <w:lang w:eastAsia="es-CL"/>
        </w:rPr>
      </w:pPr>
      <w:r>
        <w:rPr>
          <w:rFonts w:cs="Arial"/>
          <w:b/>
          <w:bCs/>
          <w:color w:val="000000"/>
          <w:sz w:val="24"/>
        </w:rPr>
        <w:t>F</w:t>
      </w:r>
      <w:r w:rsidR="00190ADE" w:rsidRPr="007F6A01">
        <w:rPr>
          <w:rFonts w:cs="Arial"/>
          <w:b/>
          <w:bCs/>
          <w:color w:val="000000"/>
          <w:sz w:val="24"/>
        </w:rPr>
        <w:t xml:space="preserve">igura </w:t>
      </w:r>
      <w:r w:rsidR="007C2A2A">
        <w:rPr>
          <w:rFonts w:cs="Arial"/>
          <w:b/>
          <w:bCs/>
          <w:color w:val="000000"/>
          <w:sz w:val="24"/>
        </w:rPr>
        <w:t>2</w:t>
      </w:r>
      <w:r w:rsidR="00FB5D96">
        <w:rPr>
          <w:rFonts w:cs="Arial"/>
          <w:b/>
          <w:bCs/>
          <w:color w:val="000000"/>
          <w:sz w:val="24"/>
        </w:rPr>
        <w:t>8</w:t>
      </w:r>
      <w:r w:rsidR="00190ADE" w:rsidRPr="007F6A01">
        <w:rPr>
          <w:rFonts w:cs="Arial"/>
          <w:b/>
          <w:bCs/>
          <w:color w:val="000000"/>
          <w:sz w:val="24"/>
        </w:rPr>
        <w:t>.</w:t>
      </w:r>
      <w:r w:rsidR="00190ADE">
        <w:rPr>
          <w:rFonts w:cs="Arial"/>
          <w:bCs/>
          <w:color w:val="000000"/>
          <w:sz w:val="24"/>
        </w:rPr>
        <w:t xml:space="preserve"> Gestión Ambiental</w:t>
      </w:r>
      <w:r w:rsidR="00FB5D96">
        <w:rPr>
          <w:rFonts w:cs="Arial"/>
          <w:bCs/>
          <w:color w:val="000000"/>
          <w:sz w:val="24"/>
        </w:rPr>
        <w:t xml:space="preserve"> (%).</w:t>
      </w:r>
    </w:p>
    <w:p w14:paraId="7421A297" w14:textId="2F2E500B" w:rsidR="001D4D13" w:rsidRPr="00ED26C2" w:rsidRDefault="001D4D13" w:rsidP="00343562">
      <w:pPr>
        <w:pStyle w:val="Ttulo2"/>
        <w:rPr>
          <w:b w:val="0"/>
          <w:sz w:val="32"/>
          <w:szCs w:val="32"/>
        </w:rPr>
      </w:pPr>
      <w:bookmarkStart w:id="21" w:name="_Toc471999532"/>
      <w:r w:rsidRPr="00ED26C2">
        <w:rPr>
          <w:b w:val="0"/>
          <w:sz w:val="32"/>
          <w:szCs w:val="32"/>
        </w:rPr>
        <w:lastRenderedPageBreak/>
        <w:t xml:space="preserve">Emisiones </w:t>
      </w:r>
      <w:r w:rsidR="00EC3D27" w:rsidRPr="00ED26C2">
        <w:rPr>
          <w:b w:val="0"/>
          <w:sz w:val="32"/>
          <w:szCs w:val="32"/>
        </w:rPr>
        <w:t>Acústicas</w:t>
      </w:r>
      <w:bookmarkEnd w:id="21"/>
    </w:p>
    <w:p w14:paraId="448B78DE" w14:textId="648F1DB9" w:rsidR="00843CC1" w:rsidRPr="00152EEA" w:rsidRDefault="00843CC1" w:rsidP="00CE62F9">
      <w:pPr>
        <w:spacing w:before="240"/>
        <w:jc w:val="both"/>
        <w:rPr>
          <w:rFonts w:cs="Arial"/>
          <w:bCs/>
          <w:color w:val="000000"/>
          <w:sz w:val="24"/>
        </w:rPr>
      </w:pPr>
      <w:r w:rsidRPr="00152EEA">
        <w:rPr>
          <w:rFonts w:cs="Arial"/>
          <w:bCs/>
          <w:color w:val="000000"/>
          <w:sz w:val="24"/>
        </w:rPr>
        <w:t xml:space="preserve">El D.S. 594 “Aprueba Reglamento sobre Condiciones Sanitarias y Ambientales Básicas en los Lugares de Trabajo”, Artículo 70-82 “De Los Agentes Físicos del Ruido”. Normativa que indica que se deben realizar mediciones de ruido en los lugares de trabajo y señala los límites de exposición de los trabajadores durante su jornada laboral. Además, hace referencia a los elementos de protección personal auditivos, ya que de esta forma se evita la hipoacusia </w:t>
      </w:r>
      <w:proofErr w:type="spellStart"/>
      <w:r w:rsidRPr="00152EEA">
        <w:rPr>
          <w:rFonts w:cs="Arial"/>
          <w:bCs/>
          <w:color w:val="000000"/>
          <w:sz w:val="24"/>
        </w:rPr>
        <w:t>neurosensorial</w:t>
      </w:r>
      <w:proofErr w:type="spellEnd"/>
      <w:r w:rsidRPr="00152EEA">
        <w:rPr>
          <w:rFonts w:cs="Arial"/>
          <w:bCs/>
          <w:color w:val="000000"/>
          <w:sz w:val="24"/>
        </w:rPr>
        <w:t xml:space="preserve"> (sordera) de los trabajadores, los cuales se encuentran constantemente expuestos a emisiones de ruidos generados por las maquinarias y equipos que se utilizan durante el proceso</w:t>
      </w:r>
      <w:r w:rsidR="00111E24" w:rsidRPr="00152EEA">
        <w:rPr>
          <w:rFonts w:cs="Arial"/>
          <w:bCs/>
          <w:color w:val="000000"/>
          <w:sz w:val="24"/>
        </w:rPr>
        <w:t xml:space="preserve"> de las plantas</w:t>
      </w:r>
      <w:r w:rsidRPr="00152EEA">
        <w:rPr>
          <w:rFonts w:cs="Arial"/>
          <w:bCs/>
          <w:color w:val="000000"/>
          <w:sz w:val="24"/>
        </w:rPr>
        <w:t>.</w:t>
      </w:r>
    </w:p>
    <w:p w14:paraId="1E65089A" w14:textId="026D19C8" w:rsidR="001D4D13" w:rsidRPr="00C46422" w:rsidRDefault="00F629B4" w:rsidP="00CE62F9">
      <w:pPr>
        <w:pStyle w:val="Encabezado"/>
        <w:spacing w:before="240" w:line="276" w:lineRule="auto"/>
        <w:jc w:val="both"/>
        <w:rPr>
          <w:rFonts w:cs="Arial"/>
          <w:bCs/>
          <w:color w:val="000000"/>
          <w:sz w:val="24"/>
        </w:rPr>
      </w:pPr>
      <w:r w:rsidRPr="00152EEA">
        <w:rPr>
          <w:rFonts w:cs="Arial"/>
          <w:bCs/>
          <w:color w:val="000000"/>
          <w:sz w:val="24"/>
        </w:rPr>
        <w:t>El análisis de la muestra, evidenció</w:t>
      </w:r>
      <w:r w:rsidR="00111E24" w:rsidRPr="00152EEA">
        <w:rPr>
          <w:rFonts w:cs="Arial"/>
          <w:bCs/>
          <w:color w:val="000000"/>
          <w:sz w:val="24"/>
        </w:rPr>
        <w:t xml:space="preserve"> que las 9</w:t>
      </w:r>
      <w:r w:rsidR="002570BC" w:rsidRPr="00152EEA">
        <w:rPr>
          <w:rFonts w:cs="Arial"/>
          <w:bCs/>
          <w:color w:val="000000"/>
          <w:sz w:val="24"/>
        </w:rPr>
        <w:t xml:space="preserve"> plantas de proceso cumplen en un 100% con la normativa, </w:t>
      </w:r>
      <w:r w:rsidR="00C46422" w:rsidRPr="00152EEA">
        <w:rPr>
          <w:rFonts w:cs="Arial"/>
          <w:bCs/>
          <w:color w:val="000000"/>
          <w:sz w:val="24"/>
        </w:rPr>
        <w:t>es decir conocen la norma</w:t>
      </w:r>
      <w:r w:rsidR="00EC3D27">
        <w:rPr>
          <w:rFonts w:cs="Arial"/>
          <w:bCs/>
          <w:color w:val="000000"/>
          <w:sz w:val="24"/>
        </w:rPr>
        <w:t xml:space="preserve"> aplicable</w:t>
      </w:r>
      <w:r w:rsidR="00C46422" w:rsidRPr="00152EEA">
        <w:rPr>
          <w:rFonts w:cs="Arial"/>
          <w:bCs/>
          <w:color w:val="000000"/>
          <w:sz w:val="24"/>
        </w:rPr>
        <w:t>, realizan mediciones de ruido en el ambiente de trabajo y fuera de la</w:t>
      </w:r>
      <w:r w:rsidRPr="00152EEA">
        <w:rPr>
          <w:rFonts w:cs="Arial"/>
          <w:bCs/>
          <w:color w:val="000000"/>
          <w:sz w:val="24"/>
        </w:rPr>
        <w:t xml:space="preserve"> planta; y</w:t>
      </w:r>
      <w:r w:rsidR="00C46422" w:rsidRPr="00152EEA">
        <w:rPr>
          <w:rFonts w:cs="Arial"/>
          <w:bCs/>
          <w:color w:val="000000"/>
          <w:sz w:val="24"/>
        </w:rPr>
        <w:t xml:space="preserve"> mantienen registros</w:t>
      </w:r>
      <w:r w:rsidR="002570BC" w:rsidRPr="000A747C">
        <w:rPr>
          <w:rFonts w:cs="Arial"/>
          <w:bCs/>
          <w:color w:val="000000"/>
          <w:sz w:val="24"/>
        </w:rPr>
        <w:t xml:space="preserve"> </w:t>
      </w:r>
      <w:r w:rsidR="007C2A2A" w:rsidRPr="004A28A7">
        <w:rPr>
          <w:rFonts w:cs="Arial"/>
          <w:bCs/>
          <w:color w:val="000000"/>
          <w:sz w:val="24"/>
        </w:rPr>
        <w:t>(Figura 2</w:t>
      </w:r>
      <w:r w:rsidR="00FB5D96">
        <w:rPr>
          <w:rFonts w:cs="Arial"/>
          <w:bCs/>
          <w:color w:val="000000"/>
          <w:sz w:val="24"/>
        </w:rPr>
        <w:t>9</w:t>
      </w:r>
      <w:r w:rsidR="001D4D13" w:rsidRPr="004A28A7">
        <w:rPr>
          <w:rFonts w:cs="Arial"/>
          <w:bCs/>
          <w:color w:val="000000"/>
          <w:sz w:val="24"/>
        </w:rPr>
        <w:t>).</w:t>
      </w:r>
    </w:p>
    <w:p w14:paraId="36654B6E" w14:textId="77777777" w:rsidR="001D4D13" w:rsidRDefault="001D4D13" w:rsidP="00CE62F9">
      <w:pPr>
        <w:pStyle w:val="Encabezado"/>
        <w:spacing w:before="240"/>
        <w:rPr>
          <w:highlight w:val="yellow"/>
          <w:lang w:eastAsia="es-CL"/>
        </w:rPr>
      </w:pPr>
    </w:p>
    <w:p w14:paraId="35548F52" w14:textId="6813F381" w:rsidR="00C46422" w:rsidRDefault="00C46422" w:rsidP="00CE62F9">
      <w:pPr>
        <w:pStyle w:val="Encabezado"/>
        <w:spacing w:before="240"/>
        <w:jc w:val="center"/>
        <w:rPr>
          <w:highlight w:val="yellow"/>
          <w:lang w:eastAsia="es-CL"/>
        </w:rPr>
      </w:pPr>
      <w:r>
        <w:rPr>
          <w:noProof/>
          <w:lang w:val="es-CL" w:eastAsia="es-CL"/>
        </w:rPr>
        <w:drawing>
          <wp:inline distT="0" distB="0" distL="0" distR="0" wp14:anchorId="60719ADD" wp14:editId="15527016">
            <wp:extent cx="3830128" cy="3252158"/>
            <wp:effectExtent l="0" t="0" r="18415" b="2476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14:paraId="00D0491E" w14:textId="7F97A2D0" w:rsidR="001D4D13" w:rsidRDefault="001D4D13" w:rsidP="009D6C1D">
      <w:pPr>
        <w:pStyle w:val="Encabezado"/>
        <w:jc w:val="both"/>
        <w:rPr>
          <w:rFonts w:cs="Arial"/>
          <w:bCs/>
          <w:color w:val="000000"/>
          <w:sz w:val="24"/>
        </w:rPr>
      </w:pPr>
      <w:r w:rsidRPr="007F6A01">
        <w:rPr>
          <w:rFonts w:cs="Arial"/>
          <w:b/>
          <w:bCs/>
          <w:color w:val="000000"/>
          <w:sz w:val="24"/>
        </w:rPr>
        <w:t xml:space="preserve">Figura </w:t>
      </w:r>
      <w:r w:rsidR="007C2A2A">
        <w:rPr>
          <w:rFonts w:cs="Arial"/>
          <w:b/>
          <w:bCs/>
          <w:color w:val="000000"/>
          <w:sz w:val="24"/>
        </w:rPr>
        <w:t>2</w:t>
      </w:r>
      <w:r w:rsidR="00FB5D96">
        <w:rPr>
          <w:rFonts w:cs="Arial"/>
          <w:b/>
          <w:bCs/>
          <w:color w:val="000000"/>
          <w:sz w:val="24"/>
        </w:rPr>
        <w:t>9</w:t>
      </w:r>
      <w:r w:rsidRPr="007F6A01">
        <w:rPr>
          <w:rFonts w:cs="Arial"/>
          <w:b/>
          <w:bCs/>
          <w:color w:val="000000"/>
          <w:sz w:val="24"/>
        </w:rPr>
        <w:t>.</w:t>
      </w:r>
      <w:r>
        <w:rPr>
          <w:rFonts w:cs="Arial"/>
          <w:bCs/>
          <w:color w:val="000000"/>
          <w:sz w:val="24"/>
        </w:rPr>
        <w:t xml:space="preserve"> Emisiones de Ruido en los lugares de trabajo</w:t>
      </w:r>
      <w:r w:rsidR="004A28A7">
        <w:rPr>
          <w:rFonts w:cs="Arial"/>
          <w:bCs/>
          <w:color w:val="000000"/>
          <w:sz w:val="24"/>
        </w:rPr>
        <w:t xml:space="preserve"> (%)</w:t>
      </w:r>
    </w:p>
    <w:p w14:paraId="49F7E8A4" w14:textId="77777777" w:rsidR="00190ADE" w:rsidRPr="00ED26C2" w:rsidRDefault="00190ADE" w:rsidP="00343562">
      <w:pPr>
        <w:pStyle w:val="Ttulo2"/>
        <w:rPr>
          <w:b w:val="0"/>
          <w:sz w:val="32"/>
          <w:szCs w:val="32"/>
        </w:rPr>
      </w:pPr>
      <w:bookmarkStart w:id="22" w:name="_Toc471999533"/>
      <w:r w:rsidRPr="00ED26C2">
        <w:rPr>
          <w:b w:val="0"/>
          <w:sz w:val="32"/>
          <w:szCs w:val="32"/>
        </w:rPr>
        <w:t>Luminancia e iluminancia</w:t>
      </w:r>
      <w:bookmarkEnd w:id="22"/>
    </w:p>
    <w:p w14:paraId="1910DAF5" w14:textId="32563781" w:rsidR="002570BC" w:rsidRPr="00152EEA" w:rsidRDefault="002570BC" w:rsidP="00CE62F9">
      <w:pPr>
        <w:pStyle w:val="Encabezado"/>
        <w:spacing w:before="240" w:line="276" w:lineRule="auto"/>
        <w:jc w:val="both"/>
        <w:rPr>
          <w:rFonts w:cs="Arial"/>
          <w:bCs/>
          <w:color w:val="000000"/>
          <w:sz w:val="24"/>
        </w:rPr>
      </w:pPr>
      <w:r w:rsidRPr="00152EEA">
        <w:rPr>
          <w:rFonts w:cs="Arial"/>
          <w:bCs/>
          <w:color w:val="000000"/>
          <w:sz w:val="24"/>
        </w:rPr>
        <w:t>El D.S. 594, que “Aprueba Reglamento sobre Condiciones Sanitarias y Ambientales Básicas en los Lugares de Trabajo”, Artículo 103-106 “De Los Agentes Físicos de la luminancia</w:t>
      </w:r>
      <w:r w:rsidR="004C45FC" w:rsidRPr="00152EEA">
        <w:rPr>
          <w:rFonts w:cs="Arial"/>
          <w:bCs/>
          <w:color w:val="000000"/>
          <w:sz w:val="24"/>
        </w:rPr>
        <w:t>”, n</w:t>
      </w:r>
      <w:r w:rsidRPr="00152EEA">
        <w:rPr>
          <w:rFonts w:cs="Arial"/>
          <w:bCs/>
          <w:color w:val="000000"/>
          <w:sz w:val="24"/>
        </w:rPr>
        <w:t>ormativa que indica que los lugares de trabajo debe</w:t>
      </w:r>
      <w:r w:rsidR="00EC3D27">
        <w:rPr>
          <w:rFonts w:cs="Arial"/>
          <w:bCs/>
          <w:color w:val="000000"/>
          <w:sz w:val="24"/>
        </w:rPr>
        <w:t>n</w:t>
      </w:r>
      <w:r w:rsidR="00381B35">
        <w:rPr>
          <w:rFonts w:cs="Arial"/>
          <w:bCs/>
          <w:color w:val="000000"/>
          <w:sz w:val="24"/>
        </w:rPr>
        <w:t xml:space="preserve"> </w:t>
      </w:r>
      <w:r w:rsidRPr="00152EEA">
        <w:rPr>
          <w:rFonts w:cs="Arial"/>
          <w:bCs/>
          <w:color w:val="000000"/>
          <w:sz w:val="24"/>
        </w:rPr>
        <w:t xml:space="preserve">estar iluminados con </w:t>
      </w:r>
      <w:r w:rsidRPr="00152EEA">
        <w:rPr>
          <w:rFonts w:cs="Arial"/>
          <w:bCs/>
          <w:color w:val="000000"/>
          <w:sz w:val="24"/>
        </w:rPr>
        <w:lastRenderedPageBreak/>
        <w:t>luz natural o artificial dependiendo de la faena que realice</w:t>
      </w:r>
      <w:r w:rsidR="00EC3D27">
        <w:rPr>
          <w:rFonts w:cs="Arial"/>
          <w:bCs/>
          <w:color w:val="000000"/>
          <w:sz w:val="24"/>
        </w:rPr>
        <w:t>,</w:t>
      </w:r>
      <w:r w:rsidRPr="00152EEA">
        <w:rPr>
          <w:rFonts w:cs="Arial"/>
          <w:bCs/>
          <w:color w:val="000000"/>
          <w:sz w:val="24"/>
        </w:rPr>
        <w:t xml:space="preserve"> y </w:t>
      </w:r>
      <w:r w:rsidR="00EC3D27">
        <w:rPr>
          <w:rFonts w:cs="Arial"/>
          <w:bCs/>
          <w:color w:val="000000"/>
          <w:sz w:val="24"/>
        </w:rPr>
        <w:t xml:space="preserve">contiene </w:t>
      </w:r>
      <w:r w:rsidRPr="00152EEA">
        <w:rPr>
          <w:rFonts w:cs="Arial"/>
          <w:bCs/>
          <w:color w:val="000000"/>
          <w:sz w:val="24"/>
        </w:rPr>
        <w:t xml:space="preserve"> los valores mínimos de iluminación promedio sobre los planos de trabajo y la relación entre iluminación general y localizada, y el brillo (luminancia) que deberá tener un trabajo o tarea.</w:t>
      </w:r>
    </w:p>
    <w:p w14:paraId="36AC9690" w14:textId="3EB2F2DA" w:rsidR="002570BC" w:rsidRPr="000A747C" w:rsidRDefault="002570BC" w:rsidP="00CE62F9">
      <w:pPr>
        <w:pStyle w:val="Encabezado"/>
        <w:spacing w:before="240" w:line="276" w:lineRule="auto"/>
        <w:jc w:val="both"/>
        <w:rPr>
          <w:lang w:eastAsia="es-CL"/>
        </w:rPr>
      </w:pPr>
      <w:r w:rsidRPr="00152EEA">
        <w:rPr>
          <w:rFonts w:cs="Arial"/>
          <w:bCs/>
          <w:color w:val="000000"/>
          <w:sz w:val="24"/>
        </w:rPr>
        <w:t xml:space="preserve">El análisis de la muestra, </w:t>
      </w:r>
      <w:r w:rsidR="00F629B4" w:rsidRPr="00152EEA">
        <w:rPr>
          <w:rFonts w:cs="Arial"/>
          <w:bCs/>
          <w:color w:val="000000"/>
          <w:sz w:val="24"/>
        </w:rPr>
        <w:t>evidenció</w:t>
      </w:r>
      <w:r w:rsidR="004C45FC" w:rsidRPr="00152EEA">
        <w:rPr>
          <w:rFonts w:cs="Arial"/>
          <w:bCs/>
          <w:color w:val="000000"/>
          <w:sz w:val="24"/>
        </w:rPr>
        <w:t xml:space="preserve"> que las 9</w:t>
      </w:r>
      <w:r w:rsidRPr="00152EEA">
        <w:rPr>
          <w:rFonts w:cs="Arial"/>
          <w:bCs/>
          <w:color w:val="000000"/>
          <w:sz w:val="24"/>
        </w:rPr>
        <w:t xml:space="preserve"> plantas de proceso cumplen </w:t>
      </w:r>
      <w:r w:rsidR="00F629B4" w:rsidRPr="00152EEA">
        <w:rPr>
          <w:rFonts w:cs="Arial"/>
          <w:bCs/>
          <w:color w:val="000000"/>
          <w:sz w:val="24"/>
        </w:rPr>
        <w:t>en el 100% de</w:t>
      </w:r>
      <w:r w:rsidRPr="00152EEA">
        <w:rPr>
          <w:rFonts w:cs="Arial"/>
          <w:bCs/>
          <w:color w:val="000000"/>
          <w:sz w:val="24"/>
        </w:rPr>
        <w:t xml:space="preserve"> la normativa, respecto de la luminancia e iluminancia de los lugares de trabajo</w:t>
      </w:r>
      <w:r w:rsidR="00F629B4" w:rsidRPr="00152EEA">
        <w:rPr>
          <w:rFonts w:cs="Arial"/>
          <w:bCs/>
          <w:color w:val="000000"/>
          <w:sz w:val="24"/>
        </w:rPr>
        <w:t>, por lo tanto conocen la normativa, realizan mediciones de luminancia e iluminancia y mantienen los registros</w:t>
      </w:r>
      <w:r w:rsidR="00F629B4">
        <w:rPr>
          <w:rFonts w:cs="Arial"/>
          <w:bCs/>
          <w:color w:val="000000"/>
          <w:sz w:val="24"/>
        </w:rPr>
        <w:t xml:space="preserve"> </w:t>
      </w:r>
      <w:r w:rsidRPr="004A28A7">
        <w:rPr>
          <w:rFonts w:cs="Arial"/>
          <w:bCs/>
          <w:color w:val="000000"/>
          <w:sz w:val="24"/>
        </w:rPr>
        <w:t xml:space="preserve">(Figura </w:t>
      </w:r>
      <w:r w:rsidR="00FB5D96">
        <w:rPr>
          <w:rFonts w:cs="Arial"/>
          <w:bCs/>
          <w:color w:val="000000"/>
          <w:sz w:val="24"/>
        </w:rPr>
        <w:t>30</w:t>
      </w:r>
      <w:r w:rsidRPr="004A28A7">
        <w:rPr>
          <w:rFonts w:cs="Arial"/>
          <w:bCs/>
          <w:color w:val="000000"/>
          <w:sz w:val="24"/>
        </w:rPr>
        <w:t>).</w:t>
      </w:r>
    </w:p>
    <w:p w14:paraId="0F3255C3" w14:textId="77777777" w:rsidR="002570BC" w:rsidRPr="007A53AB" w:rsidRDefault="002570BC" w:rsidP="00CE62F9">
      <w:pPr>
        <w:pStyle w:val="Encabezado"/>
        <w:spacing w:before="240"/>
        <w:rPr>
          <w:highlight w:val="yellow"/>
          <w:lang w:eastAsia="es-CL"/>
        </w:rPr>
      </w:pPr>
    </w:p>
    <w:p w14:paraId="37076499" w14:textId="77777777" w:rsidR="00190ADE" w:rsidRDefault="00190ADE" w:rsidP="00CE62F9">
      <w:pPr>
        <w:pStyle w:val="Encabezado"/>
        <w:spacing w:before="240"/>
        <w:jc w:val="center"/>
        <w:rPr>
          <w:lang w:eastAsia="es-CL"/>
        </w:rPr>
      </w:pPr>
      <w:r w:rsidRPr="007A53AB">
        <w:rPr>
          <w:noProof/>
          <w:lang w:val="es-CL" w:eastAsia="es-CL"/>
        </w:rPr>
        <w:drawing>
          <wp:inline distT="0" distB="0" distL="0" distR="0" wp14:anchorId="0B003ED6" wp14:editId="3ACA53E1">
            <wp:extent cx="3441940" cy="2915728"/>
            <wp:effectExtent l="0" t="0" r="25400" b="18415"/>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14:paraId="31AB088A" w14:textId="70DF10EF" w:rsidR="00190ADE" w:rsidRDefault="00190ADE" w:rsidP="009D6C1D">
      <w:pPr>
        <w:pStyle w:val="Encabezado"/>
        <w:rPr>
          <w:highlight w:val="yellow"/>
          <w:lang w:eastAsia="es-CL"/>
        </w:rPr>
      </w:pPr>
      <w:r w:rsidRPr="007F6A01">
        <w:rPr>
          <w:rFonts w:cs="Arial"/>
          <w:b/>
          <w:bCs/>
          <w:color w:val="000000"/>
          <w:sz w:val="24"/>
        </w:rPr>
        <w:t xml:space="preserve">Figura </w:t>
      </w:r>
      <w:r w:rsidR="00FB5D96">
        <w:rPr>
          <w:rFonts w:cs="Arial"/>
          <w:b/>
          <w:bCs/>
          <w:color w:val="000000"/>
          <w:sz w:val="24"/>
        </w:rPr>
        <w:t>30</w:t>
      </w:r>
      <w:r w:rsidRPr="007F6A01">
        <w:rPr>
          <w:rFonts w:cs="Arial"/>
          <w:b/>
          <w:bCs/>
          <w:color w:val="000000"/>
          <w:sz w:val="24"/>
        </w:rPr>
        <w:t>.</w:t>
      </w:r>
      <w:r>
        <w:rPr>
          <w:rFonts w:cs="Arial"/>
          <w:bCs/>
          <w:color w:val="000000"/>
          <w:sz w:val="24"/>
        </w:rPr>
        <w:t xml:space="preserve"> Luminancia e iluminancia</w:t>
      </w:r>
      <w:r w:rsidR="004A28A7">
        <w:rPr>
          <w:rFonts w:cs="Arial"/>
          <w:bCs/>
          <w:color w:val="000000"/>
          <w:sz w:val="24"/>
        </w:rPr>
        <w:t xml:space="preserve"> (%).</w:t>
      </w:r>
    </w:p>
    <w:p w14:paraId="22407C50" w14:textId="77777777" w:rsidR="00EC3D27" w:rsidRDefault="00EC3D27" w:rsidP="00CE62F9">
      <w:pPr>
        <w:pStyle w:val="Encabezado"/>
        <w:spacing w:before="240"/>
        <w:jc w:val="both"/>
        <w:rPr>
          <w:lang w:eastAsia="es-CL"/>
        </w:rPr>
      </w:pPr>
    </w:p>
    <w:p w14:paraId="4BA5CB91" w14:textId="77777777" w:rsidR="00190ADE" w:rsidRPr="00ED26C2" w:rsidRDefault="00190ADE" w:rsidP="00343562">
      <w:pPr>
        <w:pStyle w:val="Ttulo2"/>
        <w:rPr>
          <w:b w:val="0"/>
          <w:sz w:val="32"/>
          <w:szCs w:val="32"/>
        </w:rPr>
      </w:pPr>
      <w:bookmarkStart w:id="23" w:name="_Toc471999534"/>
      <w:r w:rsidRPr="00ED26C2">
        <w:rPr>
          <w:b w:val="0"/>
          <w:sz w:val="32"/>
          <w:szCs w:val="32"/>
        </w:rPr>
        <w:t>Certificaciones</w:t>
      </w:r>
      <w:bookmarkEnd w:id="23"/>
    </w:p>
    <w:p w14:paraId="6B6403FD" w14:textId="2120A236" w:rsidR="004A177F" w:rsidRPr="00152EEA" w:rsidRDefault="004A177F" w:rsidP="00CE62F9">
      <w:pPr>
        <w:pStyle w:val="Encabezado"/>
        <w:spacing w:before="240" w:line="276" w:lineRule="auto"/>
        <w:jc w:val="both"/>
        <w:rPr>
          <w:rFonts w:cs="Arial"/>
          <w:bCs/>
          <w:color w:val="000000"/>
          <w:sz w:val="24"/>
        </w:rPr>
      </w:pPr>
      <w:r w:rsidRPr="00152EEA">
        <w:rPr>
          <w:rFonts w:cs="Arial"/>
          <w:bCs/>
          <w:color w:val="000000"/>
          <w:sz w:val="24"/>
        </w:rPr>
        <w:t xml:space="preserve">La certificación es un procedimiento mediante el cual un tercero otorga garantía escrita de que un producto, elaboración o servicio está en conformidad con ciertas normas. La certificación se puede ver como un medio de comunicación a lo largo de la cadena de abastecimiento. El certificado demuestra al comprador que el proveedor cumple con ciertas normas, lo cual puede ser más convincente </w:t>
      </w:r>
      <w:r w:rsidR="00020D17" w:rsidRPr="00152EEA">
        <w:rPr>
          <w:rFonts w:cs="Arial"/>
          <w:bCs/>
          <w:color w:val="000000"/>
          <w:sz w:val="24"/>
        </w:rPr>
        <w:t>como</w:t>
      </w:r>
      <w:r w:rsidRPr="00152EEA">
        <w:rPr>
          <w:rFonts w:cs="Arial"/>
          <w:bCs/>
          <w:color w:val="000000"/>
          <w:sz w:val="24"/>
        </w:rPr>
        <w:t xml:space="preserve"> garantía del proveedor.</w:t>
      </w:r>
    </w:p>
    <w:p w14:paraId="7112BA68" w14:textId="77777777" w:rsidR="00381B35" w:rsidRDefault="00020D17" w:rsidP="00CE62F9">
      <w:pPr>
        <w:pStyle w:val="NormalWeb"/>
        <w:shd w:val="clear" w:color="auto" w:fill="FFFFFF"/>
        <w:spacing w:before="240" w:beforeAutospacing="0" w:after="0" w:afterAutospacing="0" w:line="276" w:lineRule="auto"/>
        <w:jc w:val="both"/>
        <w:rPr>
          <w:rFonts w:ascii="Titillium" w:eastAsiaTheme="minorHAnsi" w:hAnsi="Titillium" w:cs="Arial"/>
          <w:bCs/>
          <w:color w:val="000000"/>
          <w:szCs w:val="22"/>
          <w:lang w:val="es-ES" w:eastAsia="en-US"/>
        </w:rPr>
      </w:pPr>
      <w:r w:rsidRPr="00152EEA">
        <w:rPr>
          <w:rFonts w:ascii="Titillium" w:eastAsiaTheme="minorHAnsi" w:hAnsi="Titillium" w:cs="Arial"/>
          <w:bCs/>
          <w:color w:val="000000"/>
          <w:szCs w:val="22"/>
          <w:lang w:val="es-ES" w:eastAsia="en-US"/>
        </w:rPr>
        <w:t>El análisis refleja que t</w:t>
      </w:r>
      <w:r w:rsidR="00190ADE" w:rsidRPr="00152EEA">
        <w:rPr>
          <w:rFonts w:ascii="Titillium" w:eastAsiaTheme="minorHAnsi" w:hAnsi="Titillium" w:cs="Arial"/>
          <w:bCs/>
          <w:color w:val="000000"/>
          <w:szCs w:val="22"/>
          <w:lang w:val="es-ES" w:eastAsia="en-US"/>
        </w:rPr>
        <w:t>odas las empresas encuestadas tienen</w:t>
      </w:r>
      <w:r w:rsidRPr="00152EEA">
        <w:rPr>
          <w:rFonts w:ascii="Titillium" w:eastAsiaTheme="minorHAnsi" w:hAnsi="Titillium" w:cs="Arial"/>
          <w:bCs/>
          <w:color w:val="000000"/>
          <w:szCs w:val="22"/>
          <w:lang w:val="es-ES" w:eastAsia="en-US"/>
        </w:rPr>
        <w:t xml:space="preserve"> certificación</w:t>
      </w:r>
      <w:r w:rsidR="00190ADE" w:rsidRPr="00152EEA">
        <w:rPr>
          <w:rFonts w:ascii="Titillium" w:eastAsiaTheme="minorHAnsi" w:hAnsi="Titillium" w:cs="Arial"/>
          <w:bCs/>
          <w:color w:val="000000"/>
          <w:szCs w:val="22"/>
          <w:lang w:val="es-ES" w:eastAsia="en-US"/>
        </w:rPr>
        <w:t xml:space="preserve"> BRC </w:t>
      </w:r>
      <w:r w:rsidR="00190ADE" w:rsidRPr="00152EEA">
        <w:rPr>
          <w:rFonts w:ascii="Titillium" w:eastAsiaTheme="minorHAnsi" w:hAnsi="Titillium"/>
          <w:bCs/>
          <w:color w:val="000000"/>
          <w:szCs w:val="22"/>
          <w:lang w:val="es-ES" w:eastAsia="en-US"/>
        </w:rPr>
        <w:t> </w:t>
      </w:r>
      <w:r w:rsidR="00190ADE" w:rsidRPr="00152EEA">
        <w:rPr>
          <w:rFonts w:ascii="Titillium" w:eastAsiaTheme="minorHAnsi" w:hAnsi="Titillium" w:cs="Arial"/>
          <w:bCs/>
          <w:color w:val="000000"/>
          <w:szCs w:val="22"/>
          <w:lang w:val="es-ES" w:eastAsia="en-US"/>
        </w:rPr>
        <w:t xml:space="preserve">(British </w:t>
      </w:r>
      <w:proofErr w:type="spellStart"/>
      <w:r w:rsidR="00190ADE" w:rsidRPr="00152EEA">
        <w:rPr>
          <w:rFonts w:ascii="Titillium" w:eastAsiaTheme="minorHAnsi" w:hAnsi="Titillium" w:cs="Arial"/>
          <w:bCs/>
          <w:color w:val="000000"/>
          <w:szCs w:val="22"/>
          <w:lang w:val="es-ES" w:eastAsia="en-US"/>
        </w:rPr>
        <w:t>Retail</w:t>
      </w:r>
      <w:proofErr w:type="spellEnd"/>
      <w:r w:rsidR="00190ADE" w:rsidRPr="00152EEA">
        <w:rPr>
          <w:rFonts w:ascii="Titillium" w:eastAsiaTheme="minorHAnsi" w:hAnsi="Titillium" w:cs="Arial"/>
          <w:bCs/>
          <w:color w:val="000000"/>
          <w:szCs w:val="22"/>
          <w:lang w:val="es-ES" w:eastAsia="en-US"/>
        </w:rPr>
        <w:t xml:space="preserve"> </w:t>
      </w:r>
      <w:proofErr w:type="spellStart"/>
      <w:r w:rsidR="00190ADE" w:rsidRPr="00152EEA">
        <w:rPr>
          <w:rFonts w:ascii="Titillium" w:eastAsiaTheme="minorHAnsi" w:hAnsi="Titillium" w:cs="Arial"/>
          <w:bCs/>
          <w:color w:val="000000"/>
          <w:szCs w:val="22"/>
          <w:lang w:val="es-ES" w:eastAsia="en-US"/>
        </w:rPr>
        <w:t>Consortium</w:t>
      </w:r>
      <w:proofErr w:type="spellEnd"/>
      <w:r w:rsidR="00190ADE" w:rsidRPr="00152EEA">
        <w:rPr>
          <w:rFonts w:ascii="Titillium" w:eastAsiaTheme="minorHAnsi" w:hAnsi="Titillium" w:cs="Arial"/>
          <w:bCs/>
          <w:color w:val="000000"/>
          <w:szCs w:val="22"/>
          <w:lang w:val="es-ES" w:eastAsia="en-US"/>
        </w:rPr>
        <w:t>)</w:t>
      </w:r>
      <w:r w:rsidR="00741A78" w:rsidRPr="00152EEA">
        <w:rPr>
          <w:rFonts w:ascii="Titillium" w:eastAsiaTheme="minorHAnsi" w:hAnsi="Titillium" w:cs="Arial"/>
          <w:bCs/>
          <w:color w:val="000000"/>
          <w:szCs w:val="22"/>
          <w:lang w:val="es-ES" w:eastAsia="en-US"/>
        </w:rPr>
        <w:t xml:space="preserve"> </w:t>
      </w:r>
      <w:r w:rsidR="004A177F" w:rsidRPr="00152EEA">
        <w:rPr>
          <w:rFonts w:ascii="Titillium" w:eastAsiaTheme="minorHAnsi" w:hAnsi="Titillium" w:cs="Arial"/>
          <w:bCs/>
          <w:color w:val="000000"/>
          <w:szCs w:val="22"/>
          <w:lang w:val="es-ES" w:eastAsia="en-US"/>
        </w:rPr>
        <w:t>(100%)</w:t>
      </w:r>
      <w:r w:rsidR="00190ADE" w:rsidRPr="00152EEA">
        <w:rPr>
          <w:rFonts w:ascii="Titillium" w:eastAsiaTheme="minorHAnsi" w:hAnsi="Titillium" w:cs="Arial"/>
          <w:bCs/>
          <w:color w:val="000000"/>
          <w:szCs w:val="22"/>
          <w:lang w:val="es-ES" w:eastAsia="en-US"/>
        </w:rPr>
        <w:t xml:space="preserve">, norma relacionada con temas de  seguridad alimentaria, que </w:t>
      </w:r>
      <w:r w:rsidR="00190ADE" w:rsidRPr="00152EEA">
        <w:rPr>
          <w:rFonts w:ascii="Titillium" w:eastAsiaTheme="minorHAnsi" w:hAnsi="Titillium" w:cs="Arial"/>
          <w:bCs/>
          <w:color w:val="000000"/>
          <w:szCs w:val="22"/>
          <w:lang w:val="es-ES" w:eastAsia="en-US"/>
        </w:rPr>
        <w:lastRenderedPageBreak/>
        <w:t>deben de ser cumplidas desde las producción de alimentos hasta la venta al consumidor final, basándose en el uso del Análisis de Peligros y Puntos Críticos de Control</w:t>
      </w:r>
      <w:r w:rsidR="00FB5D96">
        <w:rPr>
          <w:rFonts w:ascii="Titillium" w:eastAsiaTheme="minorHAnsi" w:hAnsi="Titillium" w:cs="Arial"/>
          <w:bCs/>
          <w:color w:val="000000"/>
          <w:szCs w:val="22"/>
          <w:lang w:val="es-ES" w:eastAsia="en-US"/>
        </w:rPr>
        <w:t xml:space="preserve"> (Figura 31</w:t>
      </w:r>
      <w:r w:rsidR="00741A78" w:rsidRPr="00152EEA">
        <w:rPr>
          <w:rFonts w:ascii="Titillium" w:eastAsiaTheme="minorHAnsi" w:hAnsi="Titillium" w:cs="Arial"/>
          <w:bCs/>
          <w:color w:val="000000"/>
          <w:szCs w:val="22"/>
          <w:lang w:val="es-ES" w:eastAsia="en-US"/>
        </w:rPr>
        <w:t>).</w:t>
      </w:r>
      <w:r w:rsidR="004A177F" w:rsidRPr="00152EEA">
        <w:rPr>
          <w:rFonts w:ascii="Titillium" w:eastAsiaTheme="minorHAnsi" w:hAnsi="Titillium" w:cs="Arial"/>
          <w:bCs/>
          <w:color w:val="000000"/>
          <w:szCs w:val="22"/>
          <w:lang w:val="es-ES" w:eastAsia="en-US"/>
        </w:rPr>
        <w:t xml:space="preserve"> </w:t>
      </w:r>
    </w:p>
    <w:p w14:paraId="0539909C" w14:textId="768617F2" w:rsidR="00190ADE" w:rsidRDefault="004A177F" w:rsidP="00CE62F9">
      <w:pPr>
        <w:pStyle w:val="NormalWeb"/>
        <w:shd w:val="clear" w:color="auto" w:fill="FFFFFF"/>
        <w:spacing w:before="240" w:beforeAutospacing="0" w:after="0" w:afterAutospacing="0" w:line="276" w:lineRule="auto"/>
        <w:jc w:val="both"/>
        <w:rPr>
          <w:rFonts w:ascii="Titillium" w:eastAsiaTheme="minorHAnsi" w:hAnsi="Titillium" w:cs="Arial"/>
          <w:bCs/>
          <w:color w:val="000000"/>
          <w:szCs w:val="22"/>
          <w:lang w:val="es-ES" w:eastAsia="en-US"/>
        </w:rPr>
      </w:pPr>
      <w:r w:rsidRPr="00152EEA">
        <w:rPr>
          <w:rFonts w:ascii="Titillium" w:eastAsiaTheme="minorHAnsi" w:hAnsi="Titillium" w:cs="Arial"/>
          <w:bCs/>
          <w:color w:val="000000"/>
          <w:szCs w:val="22"/>
          <w:lang w:val="es-ES" w:eastAsia="en-US"/>
        </w:rPr>
        <w:t>Por su parte, e</w:t>
      </w:r>
      <w:r w:rsidR="00190ADE" w:rsidRPr="00152EEA">
        <w:rPr>
          <w:rFonts w:ascii="Titillium" w:eastAsiaTheme="minorHAnsi" w:hAnsi="Titillium" w:cs="Arial"/>
          <w:bCs/>
          <w:color w:val="000000"/>
          <w:szCs w:val="22"/>
          <w:lang w:val="es-ES" w:eastAsia="en-US"/>
        </w:rPr>
        <w:t>l 38% de las plantas poseen certificación IF</w:t>
      </w:r>
      <w:r w:rsidR="00C57F01" w:rsidRPr="00152EEA">
        <w:rPr>
          <w:rFonts w:ascii="Titillium" w:eastAsiaTheme="minorHAnsi" w:hAnsi="Titillium" w:cs="Arial"/>
          <w:bCs/>
          <w:color w:val="000000"/>
          <w:szCs w:val="22"/>
          <w:lang w:val="es-ES" w:eastAsia="en-US"/>
        </w:rPr>
        <w:t>S</w:t>
      </w:r>
      <w:r w:rsidR="00190ADE" w:rsidRPr="00152EEA">
        <w:rPr>
          <w:rFonts w:ascii="Titillium" w:eastAsiaTheme="minorHAnsi" w:hAnsi="Titillium" w:cs="Arial"/>
          <w:bCs/>
          <w:color w:val="000000"/>
          <w:szCs w:val="22"/>
          <w:lang w:val="es-ES" w:eastAsia="en-US"/>
        </w:rPr>
        <w:t xml:space="preserve"> (International </w:t>
      </w:r>
      <w:proofErr w:type="spellStart"/>
      <w:r w:rsidR="00190ADE" w:rsidRPr="00152EEA">
        <w:rPr>
          <w:rFonts w:ascii="Titillium" w:eastAsiaTheme="minorHAnsi" w:hAnsi="Titillium" w:cs="Arial"/>
          <w:bCs/>
          <w:color w:val="000000"/>
          <w:szCs w:val="22"/>
          <w:lang w:val="es-ES" w:eastAsia="en-US"/>
        </w:rPr>
        <w:t>Featured</w:t>
      </w:r>
      <w:proofErr w:type="spellEnd"/>
      <w:r w:rsidR="00190ADE" w:rsidRPr="00152EEA">
        <w:rPr>
          <w:rFonts w:ascii="Titillium" w:eastAsiaTheme="minorHAnsi" w:hAnsi="Titillium" w:cs="Arial"/>
          <w:bCs/>
          <w:color w:val="000000"/>
          <w:szCs w:val="22"/>
          <w:lang w:val="es-ES" w:eastAsia="en-US"/>
        </w:rPr>
        <w:t xml:space="preserve"> </w:t>
      </w:r>
      <w:proofErr w:type="spellStart"/>
      <w:r w:rsidR="00190ADE" w:rsidRPr="00152EEA">
        <w:rPr>
          <w:rFonts w:ascii="Titillium" w:eastAsiaTheme="minorHAnsi" w:hAnsi="Titillium" w:cs="Arial"/>
          <w:bCs/>
          <w:color w:val="000000"/>
          <w:szCs w:val="22"/>
          <w:lang w:val="es-ES" w:eastAsia="en-US"/>
        </w:rPr>
        <w:t>Standards</w:t>
      </w:r>
      <w:proofErr w:type="spellEnd"/>
      <w:r w:rsidR="00190ADE" w:rsidRPr="00152EEA">
        <w:rPr>
          <w:rFonts w:ascii="Titillium" w:eastAsiaTheme="minorHAnsi" w:hAnsi="Titillium" w:cs="Arial"/>
          <w:bCs/>
          <w:color w:val="000000"/>
          <w:szCs w:val="22"/>
          <w:lang w:val="es-ES" w:eastAsia="en-US"/>
        </w:rPr>
        <w:t>), la cual se enfoca a las áreas de alimentación y no alimentación que cubren los diferentes procesos y servicios a lo largo de la cadena de suministro,  proporcionando una evaluación a través de un enfoque basado en el riesgo. Estas normas son utilizadas por fabricantes y distribuidores en todo el mundo para así dar respuesta a la demanda de calidad, transparencia y eficiencia que resultan de la globalización</w:t>
      </w:r>
      <w:r w:rsidR="009F1F9C">
        <w:rPr>
          <w:rFonts w:ascii="Titillium" w:eastAsiaTheme="minorHAnsi" w:hAnsi="Titillium" w:cs="Arial"/>
          <w:bCs/>
          <w:color w:val="000000"/>
          <w:szCs w:val="22"/>
          <w:lang w:val="es-ES" w:eastAsia="en-US"/>
        </w:rPr>
        <w:t xml:space="preserve"> </w:t>
      </w:r>
      <w:r w:rsidR="00FB5D96">
        <w:rPr>
          <w:rFonts w:ascii="Titillium" w:eastAsiaTheme="minorHAnsi" w:hAnsi="Titillium" w:cs="Arial"/>
          <w:bCs/>
          <w:color w:val="000000"/>
          <w:szCs w:val="22"/>
          <w:lang w:val="es-ES" w:eastAsia="en-US"/>
        </w:rPr>
        <w:t>(Figura 31</w:t>
      </w:r>
      <w:r w:rsidR="00741A78" w:rsidRPr="004A28A7">
        <w:rPr>
          <w:rFonts w:ascii="Titillium" w:eastAsiaTheme="minorHAnsi" w:hAnsi="Titillium" w:cs="Arial"/>
          <w:bCs/>
          <w:color w:val="000000"/>
          <w:szCs w:val="22"/>
          <w:lang w:val="es-ES" w:eastAsia="en-US"/>
        </w:rPr>
        <w:t>).</w:t>
      </w:r>
    </w:p>
    <w:p w14:paraId="0C6D7097" w14:textId="1DA84E59" w:rsidR="00190ADE" w:rsidRDefault="0026778B" w:rsidP="00CE62F9">
      <w:pPr>
        <w:pStyle w:val="NormalWeb"/>
        <w:shd w:val="clear" w:color="auto" w:fill="FFFFFF"/>
        <w:spacing w:before="240" w:beforeAutospacing="0" w:after="150" w:afterAutospacing="0" w:line="276" w:lineRule="auto"/>
        <w:jc w:val="both"/>
        <w:rPr>
          <w:rFonts w:ascii="Titillium" w:eastAsiaTheme="minorHAnsi" w:hAnsi="Titillium" w:cs="Arial"/>
          <w:bCs/>
          <w:color w:val="000000"/>
          <w:szCs w:val="22"/>
          <w:lang w:val="es-ES" w:eastAsia="en-US"/>
        </w:rPr>
      </w:pPr>
      <w:proofErr w:type="spellStart"/>
      <w:r w:rsidRPr="00152EEA">
        <w:rPr>
          <w:rFonts w:ascii="Titillium" w:eastAsiaTheme="minorHAnsi" w:hAnsi="Titillium" w:cs="Arial"/>
          <w:bCs/>
          <w:color w:val="000000"/>
          <w:szCs w:val="22"/>
          <w:lang w:val="es-ES" w:eastAsia="en-US"/>
        </w:rPr>
        <w:t>Aquaculture</w:t>
      </w:r>
      <w:proofErr w:type="spellEnd"/>
      <w:r w:rsidRPr="00152EEA">
        <w:rPr>
          <w:rFonts w:ascii="Titillium" w:eastAsiaTheme="minorHAnsi" w:hAnsi="Titillium" w:cs="Arial"/>
          <w:bCs/>
          <w:color w:val="000000"/>
          <w:szCs w:val="22"/>
          <w:lang w:val="es-ES" w:eastAsia="en-US"/>
        </w:rPr>
        <w:t xml:space="preserve"> </w:t>
      </w:r>
      <w:proofErr w:type="spellStart"/>
      <w:r w:rsidRPr="00152EEA">
        <w:rPr>
          <w:rFonts w:ascii="Titillium" w:eastAsiaTheme="minorHAnsi" w:hAnsi="Titillium" w:cs="Arial"/>
          <w:bCs/>
          <w:color w:val="000000"/>
          <w:szCs w:val="22"/>
          <w:lang w:val="es-ES" w:eastAsia="en-US"/>
        </w:rPr>
        <w:t>Stewardship</w:t>
      </w:r>
      <w:proofErr w:type="spellEnd"/>
      <w:r w:rsidRPr="00152EEA">
        <w:rPr>
          <w:rFonts w:ascii="Titillium" w:eastAsiaTheme="minorHAnsi" w:hAnsi="Titillium" w:cs="Arial"/>
          <w:bCs/>
          <w:color w:val="000000"/>
          <w:szCs w:val="22"/>
          <w:lang w:val="es-ES" w:eastAsia="en-US"/>
        </w:rPr>
        <w:t xml:space="preserve"> Council (ASC), es una certificación cuyo objetivo es transformar la acuicultura en una actividad ambientalmente sostenible y socialmente responsable, mediante el uso de mecanismos de mercado eficientes que generan valor en toda la cadena. E</w:t>
      </w:r>
      <w:r w:rsidR="00190ADE" w:rsidRPr="00152EEA">
        <w:rPr>
          <w:rFonts w:ascii="Titillium" w:eastAsiaTheme="minorHAnsi" w:hAnsi="Titillium" w:cs="Arial"/>
          <w:bCs/>
          <w:color w:val="000000"/>
          <w:szCs w:val="22"/>
          <w:lang w:val="es-ES" w:eastAsia="en-US"/>
        </w:rPr>
        <w:t>l 38% de las empresas (3 pla</w:t>
      </w:r>
      <w:r w:rsidRPr="00152EEA">
        <w:rPr>
          <w:rFonts w:ascii="Titillium" w:eastAsiaTheme="minorHAnsi" w:hAnsi="Titillium" w:cs="Arial"/>
          <w:bCs/>
          <w:color w:val="000000"/>
          <w:szCs w:val="22"/>
          <w:lang w:val="es-ES" w:eastAsia="en-US"/>
        </w:rPr>
        <w:t xml:space="preserve">ntas) posee certificación ASC e igual </w:t>
      </w:r>
      <w:r w:rsidR="00190ADE" w:rsidRPr="00152EEA">
        <w:rPr>
          <w:rFonts w:ascii="Titillium" w:eastAsiaTheme="minorHAnsi" w:hAnsi="Titillium" w:cs="Arial"/>
          <w:bCs/>
          <w:color w:val="000000"/>
          <w:szCs w:val="22"/>
          <w:lang w:val="es-ES" w:eastAsia="en-US"/>
        </w:rPr>
        <w:t>porcentaje está en proceso de implementación</w:t>
      </w:r>
      <w:r w:rsidR="006D7692" w:rsidRPr="00152EEA">
        <w:rPr>
          <w:rFonts w:ascii="Titillium" w:eastAsiaTheme="minorHAnsi" w:hAnsi="Titillium" w:cs="Arial"/>
          <w:bCs/>
          <w:color w:val="000000"/>
          <w:szCs w:val="22"/>
          <w:lang w:val="es-ES" w:eastAsia="en-US"/>
        </w:rPr>
        <w:t xml:space="preserve">, </w:t>
      </w:r>
      <w:r w:rsidR="004F29DA">
        <w:rPr>
          <w:rFonts w:ascii="Titillium" w:eastAsiaTheme="minorHAnsi" w:hAnsi="Titillium" w:cs="Arial"/>
          <w:bCs/>
          <w:color w:val="000000"/>
          <w:szCs w:val="22"/>
          <w:lang w:val="es-ES" w:eastAsia="en-US"/>
        </w:rPr>
        <w:t xml:space="preserve"> con ello se estima que </w:t>
      </w:r>
      <w:r w:rsidR="00020D17" w:rsidRPr="00152EEA">
        <w:rPr>
          <w:rFonts w:ascii="Titillium" w:eastAsiaTheme="minorHAnsi" w:hAnsi="Titillium" w:cs="Arial"/>
          <w:bCs/>
          <w:color w:val="000000"/>
          <w:szCs w:val="22"/>
          <w:lang w:val="es-ES" w:eastAsia="en-US"/>
        </w:rPr>
        <w:t xml:space="preserve"> dentro de</w:t>
      </w:r>
      <w:r w:rsidR="006D7692" w:rsidRPr="00152EEA">
        <w:rPr>
          <w:rFonts w:ascii="Titillium" w:eastAsiaTheme="minorHAnsi" w:hAnsi="Titillium" w:cs="Arial"/>
          <w:bCs/>
          <w:color w:val="000000"/>
          <w:szCs w:val="22"/>
          <w:lang w:val="es-ES" w:eastAsia="en-US"/>
        </w:rPr>
        <w:t xml:space="preserve"> un corto o</w:t>
      </w:r>
      <w:r w:rsidR="00020D17" w:rsidRPr="00152EEA">
        <w:rPr>
          <w:rFonts w:ascii="Titillium" w:eastAsiaTheme="minorHAnsi" w:hAnsi="Titillium" w:cs="Arial"/>
          <w:bCs/>
          <w:color w:val="000000"/>
          <w:szCs w:val="22"/>
          <w:lang w:val="es-ES" w:eastAsia="en-US"/>
        </w:rPr>
        <w:t xml:space="preserve"> mediano plazo</w:t>
      </w:r>
      <w:r w:rsidR="006D7692" w:rsidRPr="00152EEA">
        <w:rPr>
          <w:rFonts w:ascii="Titillium" w:eastAsiaTheme="minorHAnsi" w:hAnsi="Titillium" w:cs="Arial"/>
          <w:bCs/>
          <w:color w:val="000000"/>
          <w:szCs w:val="22"/>
          <w:lang w:val="es-ES" w:eastAsia="en-US"/>
        </w:rPr>
        <w:t>,</w:t>
      </w:r>
      <w:r w:rsidR="00020D17" w:rsidRPr="00152EEA">
        <w:rPr>
          <w:rFonts w:ascii="Titillium" w:eastAsiaTheme="minorHAnsi" w:hAnsi="Titillium" w:cs="Arial"/>
          <w:bCs/>
          <w:color w:val="000000"/>
          <w:szCs w:val="22"/>
          <w:lang w:val="es-ES" w:eastAsia="en-US"/>
        </w:rPr>
        <w:t xml:space="preserve"> el porcentaje d</w:t>
      </w:r>
      <w:r w:rsidRPr="00152EEA">
        <w:rPr>
          <w:rFonts w:ascii="Titillium" w:eastAsiaTheme="minorHAnsi" w:hAnsi="Titillium" w:cs="Arial"/>
          <w:bCs/>
          <w:color w:val="000000"/>
          <w:szCs w:val="22"/>
          <w:lang w:val="es-ES" w:eastAsia="en-US"/>
        </w:rPr>
        <w:t xml:space="preserve">e empresas certificadas con ASC aumentaría a un </w:t>
      </w:r>
      <w:r w:rsidR="00020D17" w:rsidRPr="00152EEA">
        <w:rPr>
          <w:rFonts w:ascii="Titillium" w:eastAsiaTheme="minorHAnsi" w:hAnsi="Titillium" w:cs="Arial"/>
          <w:bCs/>
          <w:color w:val="000000"/>
          <w:szCs w:val="22"/>
          <w:lang w:val="es-ES" w:eastAsia="en-US"/>
        </w:rPr>
        <w:t>76%</w:t>
      </w:r>
      <w:r w:rsidR="009F1F9C" w:rsidRPr="00152EEA">
        <w:rPr>
          <w:rFonts w:ascii="Titillium" w:eastAsiaTheme="minorHAnsi" w:hAnsi="Titillium" w:cs="Arial"/>
          <w:bCs/>
          <w:color w:val="000000"/>
          <w:szCs w:val="22"/>
          <w:lang w:val="es-ES" w:eastAsia="en-US"/>
        </w:rPr>
        <w:t xml:space="preserve"> </w:t>
      </w:r>
      <w:r w:rsidR="009F1F9C" w:rsidRPr="004A28A7">
        <w:rPr>
          <w:rFonts w:ascii="Titillium" w:eastAsiaTheme="minorHAnsi" w:hAnsi="Titillium" w:cs="Arial"/>
          <w:bCs/>
          <w:color w:val="000000"/>
          <w:szCs w:val="22"/>
          <w:lang w:val="es-ES" w:eastAsia="en-US"/>
        </w:rPr>
        <w:t>(</w:t>
      </w:r>
      <w:r w:rsidR="00FB5D96">
        <w:rPr>
          <w:rFonts w:ascii="Titillium" w:eastAsiaTheme="minorHAnsi" w:hAnsi="Titillium" w:cs="Arial"/>
          <w:bCs/>
          <w:color w:val="000000"/>
          <w:szCs w:val="22"/>
          <w:lang w:val="es-ES" w:eastAsia="en-US"/>
        </w:rPr>
        <w:t>Figura 31</w:t>
      </w:r>
      <w:r w:rsidR="00741A78" w:rsidRPr="004A28A7">
        <w:rPr>
          <w:rFonts w:ascii="Titillium" w:eastAsiaTheme="minorHAnsi" w:hAnsi="Titillium" w:cs="Arial"/>
          <w:bCs/>
          <w:color w:val="000000"/>
          <w:szCs w:val="22"/>
          <w:lang w:val="es-ES" w:eastAsia="en-US"/>
        </w:rPr>
        <w:t>).</w:t>
      </w:r>
    </w:p>
    <w:p w14:paraId="50CE8F5B" w14:textId="5CD2638E" w:rsidR="00741A78" w:rsidRDefault="00020D17" w:rsidP="00CE62F9">
      <w:pPr>
        <w:pStyle w:val="NormalWeb"/>
        <w:shd w:val="clear" w:color="auto" w:fill="FFFFFF"/>
        <w:spacing w:before="240" w:beforeAutospacing="0" w:after="150" w:afterAutospacing="0" w:line="276" w:lineRule="auto"/>
        <w:jc w:val="both"/>
        <w:rPr>
          <w:rFonts w:ascii="Titillium" w:eastAsiaTheme="minorHAnsi" w:hAnsi="Titillium" w:cs="Arial"/>
          <w:bCs/>
          <w:color w:val="000000"/>
          <w:szCs w:val="22"/>
          <w:lang w:val="es-ES" w:eastAsia="en-US"/>
        </w:rPr>
      </w:pPr>
      <w:r w:rsidRPr="00152EEA">
        <w:rPr>
          <w:rFonts w:ascii="Titillium" w:eastAsiaTheme="minorHAnsi" w:hAnsi="Titillium" w:cs="Arial"/>
          <w:bCs/>
          <w:color w:val="000000"/>
          <w:szCs w:val="22"/>
          <w:lang w:val="es-ES" w:eastAsia="en-US"/>
        </w:rPr>
        <w:t>Por su parte, la c</w:t>
      </w:r>
      <w:r w:rsidR="004A177F" w:rsidRPr="00152EEA">
        <w:rPr>
          <w:rFonts w:ascii="Titillium" w:eastAsiaTheme="minorHAnsi" w:hAnsi="Titillium" w:cs="Arial"/>
          <w:bCs/>
          <w:color w:val="000000"/>
          <w:szCs w:val="22"/>
          <w:lang w:val="es-ES" w:eastAsia="en-US"/>
        </w:rPr>
        <w:t xml:space="preserve">ertificación </w:t>
      </w:r>
      <w:proofErr w:type="spellStart"/>
      <w:r w:rsidR="006C028F" w:rsidRPr="00152EEA">
        <w:rPr>
          <w:rFonts w:ascii="Titillium" w:eastAsiaTheme="minorHAnsi" w:hAnsi="Titillium" w:cs="Arial"/>
          <w:bCs/>
          <w:color w:val="000000"/>
          <w:szCs w:val="22"/>
          <w:lang w:val="es-ES" w:eastAsia="en-US"/>
        </w:rPr>
        <w:t>Halal</w:t>
      </w:r>
      <w:proofErr w:type="spellEnd"/>
      <w:r w:rsidR="00B54F42" w:rsidRPr="00152EEA">
        <w:rPr>
          <w:rFonts w:ascii="Titillium" w:eastAsiaTheme="minorHAnsi" w:hAnsi="Titillium" w:cs="Arial"/>
          <w:bCs/>
          <w:color w:val="000000"/>
          <w:szCs w:val="22"/>
          <w:lang w:val="es-ES" w:eastAsia="en-US"/>
        </w:rPr>
        <w:t xml:space="preserve"> </w:t>
      </w:r>
      <w:r w:rsidR="00190ADE" w:rsidRPr="00152EEA">
        <w:rPr>
          <w:rFonts w:ascii="Titillium" w:eastAsiaTheme="minorHAnsi" w:hAnsi="Titillium" w:cs="Arial"/>
          <w:bCs/>
          <w:color w:val="000000"/>
          <w:szCs w:val="22"/>
          <w:lang w:val="es-ES" w:eastAsia="en-US"/>
        </w:rPr>
        <w:t xml:space="preserve">es una normativa </w:t>
      </w:r>
      <w:r w:rsidR="00157909" w:rsidRPr="00152EEA">
        <w:rPr>
          <w:rFonts w:ascii="Titillium" w:eastAsiaTheme="minorHAnsi" w:hAnsi="Titillium" w:cs="Arial"/>
          <w:bCs/>
          <w:color w:val="000000"/>
          <w:szCs w:val="22"/>
          <w:lang w:val="es-ES" w:eastAsia="en-US"/>
        </w:rPr>
        <w:t xml:space="preserve">islámica de alimentos y </w:t>
      </w:r>
      <w:r w:rsidR="00190ADE" w:rsidRPr="00152EEA">
        <w:rPr>
          <w:rFonts w:ascii="Titillium" w:eastAsiaTheme="minorHAnsi" w:hAnsi="Titillium" w:cs="Arial"/>
          <w:bCs/>
          <w:color w:val="000000"/>
          <w:szCs w:val="22"/>
          <w:lang w:val="es-ES" w:eastAsia="en-US"/>
        </w:rPr>
        <w:t xml:space="preserve">un procedimiento técnico mediante el cual se verifica y acredita que el contenido y proceso de </w:t>
      </w:r>
      <w:proofErr w:type="spellStart"/>
      <w:r w:rsidR="00190ADE" w:rsidRPr="00152EEA">
        <w:rPr>
          <w:rFonts w:ascii="Titillium" w:eastAsiaTheme="minorHAnsi" w:hAnsi="Titillium" w:cs="Arial"/>
          <w:bCs/>
          <w:color w:val="000000"/>
          <w:szCs w:val="22"/>
          <w:lang w:val="es-ES" w:eastAsia="en-US"/>
        </w:rPr>
        <w:t>manofactura</w:t>
      </w:r>
      <w:proofErr w:type="spellEnd"/>
      <w:r w:rsidR="00190ADE" w:rsidRPr="00152EEA">
        <w:rPr>
          <w:rFonts w:ascii="Titillium" w:eastAsiaTheme="minorHAnsi" w:hAnsi="Titillium" w:cs="Arial"/>
          <w:bCs/>
          <w:color w:val="000000"/>
          <w:szCs w:val="22"/>
          <w:lang w:val="es-ES" w:eastAsia="en-US"/>
        </w:rPr>
        <w:t xml:space="preserve"> de un producto</w:t>
      </w:r>
      <w:r w:rsidR="00157909" w:rsidRPr="00152EEA">
        <w:rPr>
          <w:rFonts w:ascii="Titillium" w:eastAsiaTheme="minorHAnsi" w:hAnsi="Titillium" w:cs="Arial"/>
          <w:bCs/>
          <w:color w:val="000000"/>
          <w:szCs w:val="22"/>
          <w:lang w:val="es-ES" w:eastAsia="en-US"/>
        </w:rPr>
        <w:t>,</w:t>
      </w:r>
      <w:r w:rsidR="00190ADE" w:rsidRPr="00152EEA">
        <w:rPr>
          <w:rFonts w:ascii="Titillium" w:eastAsiaTheme="minorHAnsi" w:hAnsi="Titillium" w:cs="Arial"/>
          <w:bCs/>
          <w:color w:val="000000"/>
          <w:szCs w:val="22"/>
          <w:lang w:val="es-ES" w:eastAsia="en-US"/>
        </w:rPr>
        <w:t xml:space="preserve"> están de acuerdo con lo establecido en la normativa islámica respecto de lo que es lícito (</w:t>
      </w:r>
      <w:proofErr w:type="spellStart"/>
      <w:r w:rsidR="00190ADE" w:rsidRPr="00152EEA">
        <w:rPr>
          <w:rFonts w:ascii="Titillium" w:eastAsiaTheme="minorHAnsi" w:hAnsi="Titillium" w:cs="Arial"/>
          <w:bCs/>
          <w:color w:val="000000"/>
          <w:szCs w:val="22"/>
          <w:lang w:val="es-ES" w:eastAsia="en-US"/>
        </w:rPr>
        <w:t>Halal</w:t>
      </w:r>
      <w:proofErr w:type="spellEnd"/>
      <w:r w:rsidR="00190ADE" w:rsidRPr="00152EEA">
        <w:rPr>
          <w:rFonts w:ascii="Titillium" w:eastAsiaTheme="minorHAnsi" w:hAnsi="Titillium" w:cs="Arial"/>
          <w:bCs/>
          <w:color w:val="000000"/>
          <w:szCs w:val="22"/>
          <w:lang w:val="es-ES" w:eastAsia="en-US"/>
        </w:rPr>
        <w:t>)</w:t>
      </w:r>
      <w:r w:rsidR="00C57F01" w:rsidRPr="00152EEA">
        <w:rPr>
          <w:rFonts w:ascii="Titillium" w:eastAsiaTheme="minorHAnsi" w:hAnsi="Titillium" w:cs="Arial"/>
          <w:bCs/>
          <w:color w:val="000000"/>
          <w:szCs w:val="22"/>
          <w:lang w:val="es-ES" w:eastAsia="en-US"/>
        </w:rPr>
        <w:t xml:space="preserve"> </w:t>
      </w:r>
      <w:r w:rsidR="00190ADE" w:rsidRPr="00152EEA">
        <w:rPr>
          <w:rFonts w:ascii="Titillium" w:eastAsiaTheme="minorHAnsi" w:hAnsi="Titillium" w:cs="Arial"/>
          <w:bCs/>
          <w:color w:val="000000"/>
          <w:szCs w:val="22"/>
          <w:lang w:val="es-ES" w:eastAsia="en-US"/>
        </w:rPr>
        <w:t>e ilícito (</w:t>
      </w:r>
      <w:proofErr w:type="spellStart"/>
      <w:r w:rsidR="00190ADE" w:rsidRPr="00152EEA">
        <w:rPr>
          <w:rFonts w:ascii="Titillium" w:eastAsiaTheme="minorHAnsi" w:hAnsi="Titillium" w:cs="Arial"/>
          <w:bCs/>
          <w:color w:val="000000"/>
          <w:szCs w:val="22"/>
          <w:lang w:val="es-ES" w:eastAsia="en-US"/>
        </w:rPr>
        <w:t>Haram</w:t>
      </w:r>
      <w:proofErr w:type="spellEnd"/>
      <w:r w:rsidR="00190ADE" w:rsidRPr="00152EEA">
        <w:rPr>
          <w:rFonts w:ascii="Titillium" w:eastAsiaTheme="minorHAnsi" w:hAnsi="Titillium" w:cs="Arial"/>
          <w:bCs/>
          <w:color w:val="000000"/>
          <w:szCs w:val="22"/>
          <w:lang w:val="es-ES" w:eastAsia="en-US"/>
        </w:rPr>
        <w:t>).</w:t>
      </w:r>
      <w:r w:rsidR="00157909" w:rsidRPr="00152EEA">
        <w:rPr>
          <w:rFonts w:ascii="Titillium" w:eastAsiaTheme="minorHAnsi" w:hAnsi="Titillium" w:cs="Arial"/>
          <w:bCs/>
          <w:color w:val="000000"/>
          <w:szCs w:val="22"/>
          <w:lang w:val="es-ES" w:eastAsia="en-US"/>
        </w:rPr>
        <w:t xml:space="preserve"> El 43%</w:t>
      </w:r>
      <w:r w:rsidR="00C57F01" w:rsidRPr="00152EEA">
        <w:rPr>
          <w:rFonts w:ascii="Titillium" w:eastAsiaTheme="minorHAnsi" w:hAnsi="Titillium" w:cs="Arial"/>
          <w:bCs/>
          <w:color w:val="000000"/>
          <w:szCs w:val="22"/>
          <w:lang w:val="es-ES" w:eastAsia="en-US"/>
        </w:rPr>
        <w:t xml:space="preserve"> </w:t>
      </w:r>
      <w:r w:rsidR="00190ADE" w:rsidRPr="00152EEA">
        <w:rPr>
          <w:rFonts w:ascii="Titillium" w:eastAsiaTheme="minorHAnsi" w:hAnsi="Titillium" w:cs="Arial"/>
          <w:bCs/>
          <w:color w:val="000000"/>
          <w:szCs w:val="22"/>
          <w:lang w:val="es-ES" w:eastAsia="en-US"/>
        </w:rPr>
        <w:t xml:space="preserve">de empresas </w:t>
      </w:r>
      <w:r w:rsidR="00157909" w:rsidRPr="00152EEA">
        <w:rPr>
          <w:rFonts w:ascii="Titillium" w:eastAsiaTheme="minorHAnsi" w:hAnsi="Titillium" w:cs="Arial"/>
          <w:bCs/>
          <w:color w:val="000000"/>
          <w:szCs w:val="22"/>
          <w:lang w:val="es-ES" w:eastAsia="en-US"/>
        </w:rPr>
        <w:t>diagnosticadas informaron poseer</w:t>
      </w:r>
      <w:r w:rsidR="00190ADE" w:rsidRPr="00152EEA">
        <w:rPr>
          <w:rFonts w:ascii="Titillium" w:eastAsiaTheme="minorHAnsi" w:hAnsi="Titillium" w:cs="Arial"/>
          <w:bCs/>
          <w:color w:val="000000"/>
          <w:szCs w:val="22"/>
          <w:lang w:val="es-ES" w:eastAsia="en-US"/>
        </w:rPr>
        <w:t xml:space="preserve"> certificación </w:t>
      </w:r>
      <w:proofErr w:type="spellStart"/>
      <w:r w:rsidR="00157909" w:rsidRPr="00152EEA">
        <w:rPr>
          <w:rFonts w:ascii="Titillium" w:eastAsiaTheme="minorHAnsi" w:hAnsi="Titillium" w:cs="Arial"/>
          <w:bCs/>
          <w:color w:val="000000"/>
          <w:szCs w:val="22"/>
          <w:lang w:val="es-ES" w:eastAsia="en-US"/>
        </w:rPr>
        <w:t>Halal</w:t>
      </w:r>
      <w:proofErr w:type="spellEnd"/>
      <w:r w:rsidR="00157909">
        <w:rPr>
          <w:rFonts w:ascii="Titillium" w:eastAsiaTheme="minorHAnsi" w:hAnsi="Titillium" w:cs="Arial"/>
          <w:bCs/>
          <w:color w:val="000000"/>
          <w:szCs w:val="22"/>
          <w:lang w:val="es-ES" w:eastAsia="en-US"/>
        </w:rPr>
        <w:t xml:space="preserve"> (</w:t>
      </w:r>
      <w:r w:rsidR="00FB5D96">
        <w:rPr>
          <w:rFonts w:ascii="Titillium" w:eastAsiaTheme="minorHAnsi" w:hAnsi="Titillium" w:cs="Arial"/>
          <w:bCs/>
          <w:color w:val="000000"/>
          <w:szCs w:val="22"/>
          <w:lang w:val="es-ES" w:eastAsia="en-US"/>
        </w:rPr>
        <w:t>Figura 31</w:t>
      </w:r>
      <w:r w:rsidR="00741A78" w:rsidRPr="004A28A7">
        <w:rPr>
          <w:rFonts w:ascii="Titillium" w:eastAsiaTheme="minorHAnsi" w:hAnsi="Titillium" w:cs="Arial"/>
          <w:bCs/>
          <w:color w:val="000000"/>
          <w:szCs w:val="22"/>
          <w:lang w:val="es-ES" w:eastAsia="en-US"/>
        </w:rPr>
        <w:t>).</w:t>
      </w:r>
    </w:p>
    <w:p w14:paraId="6A2D570A" w14:textId="0E421368" w:rsidR="004A177F" w:rsidRDefault="004A177F" w:rsidP="00CE62F9">
      <w:pPr>
        <w:pStyle w:val="NormalWeb"/>
        <w:shd w:val="clear" w:color="auto" w:fill="FFFFFF"/>
        <w:spacing w:before="240" w:beforeAutospacing="0" w:after="150" w:afterAutospacing="0" w:line="276" w:lineRule="auto"/>
        <w:jc w:val="both"/>
        <w:rPr>
          <w:rFonts w:ascii="Titillium" w:eastAsiaTheme="minorHAnsi" w:hAnsi="Titillium" w:cs="Arial"/>
          <w:bCs/>
          <w:color w:val="000000"/>
          <w:szCs w:val="22"/>
          <w:lang w:val="es-ES" w:eastAsia="en-US"/>
        </w:rPr>
      </w:pPr>
      <w:r w:rsidRPr="00152EEA">
        <w:rPr>
          <w:rFonts w:ascii="Titillium" w:eastAsiaTheme="minorHAnsi" w:hAnsi="Titillium" w:cs="Arial"/>
          <w:bCs/>
          <w:color w:val="000000"/>
          <w:szCs w:val="22"/>
          <w:lang w:val="es-ES" w:eastAsia="en-US"/>
        </w:rPr>
        <w:t>La certificación</w:t>
      </w:r>
      <w:r w:rsidR="00157909" w:rsidRPr="00152EEA">
        <w:rPr>
          <w:rFonts w:ascii="Titillium" w:eastAsiaTheme="minorHAnsi" w:hAnsi="Titillium" w:cs="Arial"/>
          <w:bCs/>
          <w:color w:val="000000"/>
          <w:szCs w:val="22"/>
          <w:lang w:val="es-ES" w:eastAsia="en-US"/>
        </w:rPr>
        <w:t xml:space="preserve"> </w:t>
      </w:r>
      <w:r w:rsidR="00741A78" w:rsidRPr="00152EEA">
        <w:rPr>
          <w:rFonts w:ascii="Titillium" w:eastAsiaTheme="minorHAnsi" w:hAnsi="Titillium" w:cs="Arial"/>
          <w:bCs/>
          <w:color w:val="000000"/>
          <w:szCs w:val="22"/>
          <w:lang w:val="es-ES" w:eastAsia="en-US"/>
        </w:rPr>
        <w:t xml:space="preserve">Marine </w:t>
      </w:r>
      <w:proofErr w:type="spellStart"/>
      <w:r w:rsidR="00741A78" w:rsidRPr="00152EEA">
        <w:rPr>
          <w:rFonts w:ascii="Titillium" w:eastAsiaTheme="minorHAnsi" w:hAnsi="Titillium" w:cs="Arial"/>
          <w:bCs/>
          <w:color w:val="000000"/>
          <w:szCs w:val="22"/>
          <w:lang w:val="es-ES" w:eastAsia="en-US"/>
        </w:rPr>
        <w:t>Stewardship</w:t>
      </w:r>
      <w:proofErr w:type="spellEnd"/>
      <w:r w:rsidR="00741A78" w:rsidRPr="00152EEA">
        <w:rPr>
          <w:rFonts w:ascii="Titillium" w:eastAsiaTheme="minorHAnsi" w:hAnsi="Titillium" w:cs="Arial"/>
          <w:bCs/>
          <w:color w:val="000000"/>
          <w:szCs w:val="22"/>
          <w:lang w:val="es-ES" w:eastAsia="en-US"/>
        </w:rPr>
        <w:t xml:space="preserve"> Council</w:t>
      </w:r>
      <w:r w:rsidRPr="00152EEA">
        <w:rPr>
          <w:rFonts w:ascii="Titillium" w:eastAsiaTheme="minorHAnsi" w:hAnsi="Titillium" w:cs="Arial"/>
          <w:bCs/>
          <w:color w:val="000000"/>
          <w:szCs w:val="22"/>
          <w:lang w:val="es-ES" w:eastAsia="en-US"/>
        </w:rPr>
        <w:t>, busca transformar los mercados internacionales para los productos del mar hacia un modelo que premie y promueva prácticas sostenibles y responsables. Los estándares para la pesca sostenible y la trazab</w:t>
      </w:r>
      <w:r w:rsidR="00157909" w:rsidRPr="00152EEA">
        <w:rPr>
          <w:rFonts w:ascii="Titillium" w:eastAsiaTheme="minorHAnsi" w:hAnsi="Titillium" w:cs="Arial"/>
          <w:bCs/>
          <w:color w:val="000000"/>
          <w:szCs w:val="22"/>
          <w:lang w:val="es-ES" w:eastAsia="en-US"/>
        </w:rPr>
        <w:t xml:space="preserve">ilidad de los productos del mar, </w:t>
      </w:r>
      <w:r w:rsidRPr="00152EEA">
        <w:rPr>
          <w:rFonts w:ascii="Titillium" w:eastAsiaTheme="minorHAnsi" w:hAnsi="Titillium" w:cs="Arial"/>
          <w:bCs/>
          <w:color w:val="000000"/>
          <w:szCs w:val="22"/>
          <w:lang w:val="es-ES" w:eastAsia="en-US"/>
        </w:rPr>
        <w:t>tienen como fin el incrementar la disponibilidad de pescado y marisco de recursos</w:t>
      </w:r>
      <w:r w:rsidR="00741A78" w:rsidRPr="00152EEA">
        <w:rPr>
          <w:rFonts w:ascii="Titillium" w:eastAsiaTheme="minorHAnsi" w:hAnsi="Titillium" w:cs="Arial"/>
          <w:bCs/>
          <w:color w:val="000000"/>
          <w:szCs w:val="22"/>
          <w:lang w:val="es-ES" w:eastAsia="en-US"/>
        </w:rPr>
        <w:t xml:space="preserve"> bien gestionados en el mercado</w:t>
      </w:r>
      <w:r w:rsidR="004C577A" w:rsidRPr="00152EEA">
        <w:rPr>
          <w:rFonts w:ascii="Titillium" w:eastAsiaTheme="minorHAnsi" w:hAnsi="Titillium" w:cs="Arial"/>
          <w:bCs/>
          <w:color w:val="000000"/>
          <w:szCs w:val="22"/>
          <w:lang w:val="es-ES" w:eastAsia="en-US"/>
        </w:rPr>
        <w:t xml:space="preserve">. </w:t>
      </w:r>
      <w:proofErr w:type="gramStart"/>
      <w:r w:rsidR="004C577A" w:rsidRPr="00152EEA">
        <w:rPr>
          <w:rFonts w:ascii="Titillium" w:eastAsiaTheme="minorHAnsi" w:hAnsi="Titillium" w:cs="Arial"/>
          <w:bCs/>
          <w:color w:val="000000"/>
          <w:szCs w:val="22"/>
          <w:lang w:val="es-ES" w:eastAsia="en-US"/>
        </w:rPr>
        <w:t>L</w:t>
      </w:r>
      <w:r w:rsidR="00741A78" w:rsidRPr="00152EEA">
        <w:rPr>
          <w:rFonts w:ascii="Titillium" w:eastAsiaTheme="minorHAnsi" w:hAnsi="Titillium" w:cs="Arial"/>
          <w:bCs/>
          <w:color w:val="000000"/>
          <w:szCs w:val="22"/>
          <w:lang w:val="es-ES" w:eastAsia="en-US"/>
        </w:rPr>
        <w:t>a</w:t>
      </w:r>
      <w:proofErr w:type="gramEnd"/>
      <w:r w:rsidRPr="00152EEA">
        <w:rPr>
          <w:rFonts w:ascii="Titillium" w:eastAsiaTheme="minorHAnsi" w:hAnsi="Titillium" w:cs="Arial"/>
          <w:bCs/>
          <w:color w:val="000000"/>
          <w:szCs w:val="22"/>
          <w:lang w:val="es-ES" w:eastAsia="en-US"/>
        </w:rPr>
        <w:t xml:space="preserve"> eco-etiqueta azul del MSC ofrece al consumidor la opción de apoyar fácilmente las prácticas sostenibles de las pesquerías.</w:t>
      </w:r>
      <w:r w:rsidR="004C577A" w:rsidRPr="00152EEA">
        <w:rPr>
          <w:rFonts w:ascii="Titillium" w:eastAsiaTheme="minorHAnsi" w:hAnsi="Titillium" w:cs="Arial"/>
          <w:bCs/>
          <w:color w:val="000000"/>
          <w:szCs w:val="22"/>
          <w:lang w:val="es-ES" w:eastAsia="en-US"/>
        </w:rPr>
        <w:t xml:space="preserve"> El 25% de las </w:t>
      </w:r>
      <w:r w:rsidR="004C577A" w:rsidRPr="004A28A7">
        <w:rPr>
          <w:rFonts w:ascii="Titillium" w:eastAsiaTheme="minorHAnsi" w:hAnsi="Titillium" w:cs="Arial"/>
          <w:bCs/>
          <w:color w:val="000000"/>
          <w:szCs w:val="22"/>
          <w:lang w:val="es-ES" w:eastAsia="en-US"/>
        </w:rPr>
        <w:t xml:space="preserve">empresas informa poseer MSC y el 75% no considera implementarla </w:t>
      </w:r>
      <w:r w:rsidR="004A28A7" w:rsidRPr="004A28A7">
        <w:rPr>
          <w:rFonts w:ascii="Titillium" w:eastAsiaTheme="minorHAnsi" w:hAnsi="Titillium" w:cs="Arial"/>
          <w:bCs/>
          <w:color w:val="000000"/>
          <w:szCs w:val="22"/>
          <w:lang w:val="es-ES" w:eastAsia="en-US"/>
        </w:rPr>
        <w:t xml:space="preserve">(Figura </w:t>
      </w:r>
      <w:r w:rsidR="00FB5D96">
        <w:rPr>
          <w:rFonts w:ascii="Titillium" w:eastAsiaTheme="minorHAnsi" w:hAnsi="Titillium" w:cs="Arial"/>
          <w:bCs/>
          <w:color w:val="000000"/>
          <w:szCs w:val="22"/>
          <w:lang w:val="es-ES" w:eastAsia="en-US"/>
        </w:rPr>
        <w:t>31</w:t>
      </w:r>
      <w:r w:rsidR="004C577A" w:rsidRPr="004A28A7">
        <w:rPr>
          <w:rFonts w:ascii="Titillium" w:eastAsiaTheme="minorHAnsi" w:hAnsi="Titillium" w:cs="Arial"/>
          <w:bCs/>
          <w:color w:val="000000"/>
          <w:szCs w:val="22"/>
          <w:lang w:val="es-ES" w:eastAsia="en-US"/>
        </w:rPr>
        <w:t>)</w:t>
      </w:r>
      <w:r w:rsidR="006643C4" w:rsidRPr="004A28A7">
        <w:rPr>
          <w:rFonts w:ascii="Titillium" w:eastAsiaTheme="minorHAnsi" w:hAnsi="Titillium" w:cs="Arial"/>
          <w:bCs/>
          <w:color w:val="000000"/>
          <w:szCs w:val="22"/>
          <w:lang w:val="es-ES" w:eastAsia="en-US"/>
        </w:rPr>
        <w:t>.</w:t>
      </w:r>
    </w:p>
    <w:p w14:paraId="70384278" w14:textId="7D141329" w:rsidR="006643C4" w:rsidRPr="00152EEA" w:rsidRDefault="006643C4" w:rsidP="00CE62F9">
      <w:pPr>
        <w:pStyle w:val="NormalWeb"/>
        <w:shd w:val="clear" w:color="auto" w:fill="FFFFFF"/>
        <w:spacing w:before="240" w:beforeAutospacing="0" w:after="150" w:line="276" w:lineRule="auto"/>
        <w:jc w:val="both"/>
        <w:rPr>
          <w:rFonts w:ascii="Titillium" w:eastAsiaTheme="minorHAnsi" w:hAnsi="Titillium" w:cs="Arial"/>
          <w:bCs/>
          <w:color w:val="000000"/>
          <w:szCs w:val="22"/>
          <w:lang w:val="es-ES" w:eastAsia="en-US"/>
        </w:rPr>
      </w:pPr>
      <w:r w:rsidRPr="00152EEA">
        <w:rPr>
          <w:rFonts w:ascii="Titillium" w:eastAsiaTheme="minorHAnsi" w:hAnsi="Titillium" w:cs="Arial"/>
          <w:bCs/>
          <w:color w:val="000000"/>
          <w:szCs w:val="22"/>
          <w:lang w:val="es-ES" w:eastAsia="en-US"/>
        </w:rPr>
        <w:t>Diversos estándares orgánicos se han desarrollado en varios países durante los últimos años. No existe hoy en día un reglamento de productos orgánicos que sea aplicable en todo el mundo</w:t>
      </w:r>
      <w:r w:rsidR="00C11CC5" w:rsidRPr="00152EEA">
        <w:rPr>
          <w:rFonts w:ascii="Titillium" w:eastAsiaTheme="minorHAnsi" w:hAnsi="Titillium" w:cs="Arial"/>
          <w:bCs/>
          <w:color w:val="000000"/>
          <w:szCs w:val="22"/>
          <w:lang w:val="es-ES" w:eastAsia="en-US"/>
        </w:rPr>
        <w:t>. La</w:t>
      </w:r>
      <w:r w:rsidRPr="00152EEA">
        <w:rPr>
          <w:rFonts w:ascii="Titillium" w:eastAsiaTheme="minorHAnsi" w:hAnsi="Titillium" w:cs="Arial"/>
          <w:bCs/>
          <w:color w:val="000000"/>
          <w:szCs w:val="22"/>
          <w:lang w:val="es-ES" w:eastAsia="en-US"/>
        </w:rPr>
        <w:t xml:space="preserve"> gran cantidad de</w:t>
      </w:r>
      <w:r w:rsidR="00C11CC5" w:rsidRPr="00152EEA">
        <w:rPr>
          <w:rFonts w:ascii="Titillium" w:eastAsiaTheme="minorHAnsi" w:hAnsi="Titillium" w:cs="Arial"/>
          <w:bCs/>
          <w:color w:val="000000"/>
          <w:szCs w:val="22"/>
          <w:lang w:val="es-ES" w:eastAsia="en-US"/>
        </w:rPr>
        <w:t xml:space="preserve"> diferentes estándares </w:t>
      </w:r>
      <w:r w:rsidRPr="00152EEA">
        <w:rPr>
          <w:rFonts w:ascii="Titillium" w:eastAsiaTheme="minorHAnsi" w:hAnsi="Titillium" w:cs="Arial"/>
          <w:bCs/>
          <w:color w:val="000000"/>
          <w:szCs w:val="22"/>
          <w:lang w:val="es-ES" w:eastAsia="en-US"/>
        </w:rPr>
        <w:t>hace difícil para los productores y operadores definir cuál</w:t>
      </w:r>
      <w:r w:rsidR="00C11CC5" w:rsidRPr="00152EEA">
        <w:rPr>
          <w:rFonts w:ascii="Titillium" w:eastAsiaTheme="minorHAnsi" w:hAnsi="Titillium" w:cs="Arial"/>
          <w:bCs/>
          <w:color w:val="000000"/>
          <w:szCs w:val="22"/>
          <w:lang w:val="es-ES" w:eastAsia="en-US"/>
        </w:rPr>
        <w:t xml:space="preserve"> de ellos aplicar, por lo que l</w:t>
      </w:r>
      <w:r w:rsidRPr="00152EEA">
        <w:rPr>
          <w:rFonts w:ascii="Titillium" w:eastAsiaTheme="minorHAnsi" w:hAnsi="Titillium" w:cs="Arial"/>
          <w:bCs/>
          <w:color w:val="000000"/>
          <w:szCs w:val="22"/>
          <w:lang w:val="es-ES" w:eastAsia="en-US"/>
        </w:rPr>
        <w:t>a elección de la norma más adecuada de certificación orgánica depende principalmente del mercado final de los productos orgánicos a exportarse.</w:t>
      </w:r>
      <w:r w:rsidR="00C11CC5" w:rsidRPr="00152EEA">
        <w:rPr>
          <w:rFonts w:ascii="Titillium" w:eastAsiaTheme="minorHAnsi" w:hAnsi="Titillium" w:cs="Arial"/>
          <w:bCs/>
          <w:color w:val="000000"/>
          <w:szCs w:val="22"/>
          <w:lang w:val="es-ES" w:eastAsia="en-US"/>
        </w:rPr>
        <w:t xml:space="preserve"> La certificación orgánica es la certificación implementada en menor porcentaje por las empresas y el 14% </w:t>
      </w:r>
      <w:r w:rsidR="004A28A7">
        <w:rPr>
          <w:rFonts w:ascii="Titillium" w:eastAsiaTheme="minorHAnsi" w:hAnsi="Titillium" w:cs="Arial"/>
          <w:bCs/>
          <w:color w:val="000000"/>
          <w:szCs w:val="22"/>
          <w:lang w:val="es-ES" w:eastAsia="en-US"/>
        </w:rPr>
        <w:t>informa poseerla. (Figura</w:t>
      </w:r>
      <w:r w:rsidR="00FB5D96">
        <w:rPr>
          <w:rFonts w:ascii="Titillium" w:eastAsiaTheme="minorHAnsi" w:hAnsi="Titillium" w:cs="Arial"/>
          <w:bCs/>
          <w:color w:val="000000"/>
          <w:szCs w:val="22"/>
          <w:lang w:val="es-ES" w:eastAsia="en-US"/>
        </w:rPr>
        <w:t xml:space="preserve"> 31</w:t>
      </w:r>
      <w:r w:rsidR="00C11CC5" w:rsidRPr="00152EEA">
        <w:rPr>
          <w:rFonts w:ascii="Titillium" w:eastAsiaTheme="minorHAnsi" w:hAnsi="Titillium" w:cs="Arial"/>
          <w:bCs/>
          <w:color w:val="000000"/>
          <w:szCs w:val="22"/>
          <w:lang w:val="es-ES" w:eastAsia="en-US"/>
        </w:rPr>
        <w:t xml:space="preserve">). </w:t>
      </w:r>
    </w:p>
    <w:p w14:paraId="59681F48" w14:textId="12CB39D7" w:rsidR="00741A78" w:rsidRDefault="00190ADE" w:rsidP="00CE62F9">
      <w:pPr>
        <w:pStyle w:val="NormalWeb"/>
        <w:shd w:val="clear" w:color="auto" w:fill="FFFFFF"/>
        <w:spacing w:before="240" w:beforeAutospacing="0" w:after="150" w:afterAutospacing="0" w:line="276" w:lineRule="auto"/>
        <w:jc w:val="both"/>
        <w:rPr>
          <w:rFonts w:ascii="Titillium" w:eastAsiaTheme="minorHAnsi" w:hAnsi="Titillium" w:cs="Arial"/>
          <w:bCs/>
          <w:color w:val="000000"/>
          <w:szCs w:val="22"/>
          <w:lang w:val="es-ES" w:eastAsia="en-US"/>
        </w:rPr>
      </w:pPr>
      <w:r w:rsidRPr="00152EEA">
        <w:rPr>
          <w:rFonts w:ascii="Titillium" w:eastAsiaTheme="minorHAnsi" w:hAnsi="Titillium" w:cs="Arial"/>
          <w:bCs/>
          <w:color w:val="000000"/>
          <w:szCs w:val="22"/>
          <w:lang w:val="es-ES" w:eastAsia="en-US"/>
        </w:rPr>
        <w:lastRenderedPageBreak/>
        <w:t>Finalmente, cabe mencionar que el 50% de las plantas utiliza</w:t>
      </w:r>
      <w:r w:rsidR="00741A78" w:rsidRPr="00152EEA">
        <w:rPr>
          <w:rFonts w:ascii="Titillium" w:eastAsiaTheme="minorHAnsi" w:hAnsi="Titillium" w:cs="Arial"/>
          <w:bCs/>
          <w:color w:val="000000"/>
          <w:szCs w:val="22"/>
          <w:lang w:val="es-ES" w:eastAsia="en-US"/>
        </w:rPr>
        <w:t xml:space="preserve">n la norma </w:t>
      </w:r>
      <w:proofErr w:type="spellStart"/>
      <w:r w:rsidR="00741A78" w:rsidRPr="00152EEA">
        <w:rPr>
          <w:rFonts w:ascii="Titillium" w:eastAsiaTheme="minorHAnsi" w:hAnsi="Titillium" w:cs="Arial"/>
          <w:bCs/>
          <w:color w:val="000000"/>
          <w:szCs w:val="22"/>
          <w:lang w:val="es-ES" w:eastAsia="en-US"/>
        </w:rPr>
        <w:t>NCh</w:t>
      </w:r>
      <w:proofErr w:type="spellEnd"/>
      <w:r w:rsidR="00741A78" w:rsidRPr="00152EEA">
        <w:rPr>
          <w:rFonts w:ascii="Titillium" w:eastAsiaTheme="minorHAnsi" w:hAnsi="Titillium" w:cs="Arial"/>
          <w:bCs/>
          <w:color w:val="000000"/>
          <w:szCs w:val="22"/>
          <w:lang w:val="es-ES" w:eastAsia="en-US"/>
        </w:rPr>
        <w:t xml:space="preserve"> 3361/2014,  </w:t>
      </w:r>
      <w:r w:rsidRPr="00152EEA">
        <w:rPr>
          <w:rFonts w:ascii="Titillium" w:eastAsiaTheme="minorHAnsi" w:hAnsi="Titillium" w:cs="Arial"/>
          <w:bCs/>
          <w:color w:val="000000"/>
          <w:szCs w:val="22"/>
          <w:lang w:val="es-ES" w:eastAsia="en-US"/>
        </w:rPr>
        <w:t xml:space="preserve">que establece los parámetros </w:t>
      </w:r>
      <w:r w:rsidR="004C577A" w:rsidRPr="00152EEA">
        <w:rPr>
          <w:rFonts w:ascii="Titillium" w:eastAsiaTheme="minorHAnsi" w:hAnsi="Titillium" w:cs="Arial"/>
          <w:bCs/>
          <w:color w:val="000000"/>
          <w:szCs w:val="22"/>
          <w:lang w:val="es-ES" w:eastAsia="en-US"/>
        </w:rPr>
        <w:t xml:space="preserve">de </w:t>
      </w:r>
      <w:proofErr w:type="spellStart"/>
      <w:r w:rsidR="004C577A" w:rsidRPr="00152EEA">
        <w:rPr>
          <w:rFonts w:ascii="Titillium" w:eastAsiaTheme="minorHAnsi" w:hAnsi="Titillium" w:cs="Arial"/>
          <w:bCs/>
          <w:color w:val="000000"/>
          <w:szCs w:val="22"/>
          <w:lang w:val="es-ES" w:eastAsia="en-US"/>
        </w:rPr>
        <w:t>choritos</w:t>
      </w:r>
      <w:proofErr w:type="spellEnd"/>
      <w:r w:rsidR="004C577A" w:rsidRPr="00152EEA">
        <w:rPr>
          <w:rFonts w:ascii="Titillium" w:eastAsiaTheme="minorHAnsi" w:hAnsi="Titillium" w:cs="Arial"/>
          <w:bCs/>
          <w:color w:val="000000"/>
          <w:szCs w:val="22"/>
          <w:lang w:val="es-ES" w:eastAsia="en-US"/>
        </w:rPr>
        <w:t xml:space="preserve"> cocidos congelados</w:t>
      </w:r>
      <w:r w:rsidR="006643C4" w:rsidRPr="00152EEA">
        <w:rPr>
          <w:rFonts w:ascii="Titillium" w:eastAsiaTheme="minorHAnsi" w:hAnsi="Titillium" w:cs="Arial"/>
          <w:bCs/>
          <w:color w:val="000000"/>
          <w:szCs w:val="22"/>
          <w:lang w:val="es-ES" w:eastAsia="en-US"/>
        </w:rPr>
        <w:t xml:space="preserve"> - Requisitos y </w:t>
      </w:r>
      <w:r w:rsidR="006643C4" w:rsidRPr="004A28A7">
        <w:rPr>
          <w:rFonts w:ascii="Titillium" w:eastAsiaTheme="minorHAnsi" w:hAnsi="Titillium" w:cs="Arial"/>
          <w:bCs/>
          <w:color w:val="000000"/>
          <w:szCs w:val="22"/>
          <w:lang w:val="es-ES" w:eastAsia="en-US"/>
        </w:rPr>
        <w:t>clasificación</w:t>
      </w:r>
      <w:r w:rsidR="009F1F9C" w:rsidRPr="004A28A7">
        <w:rPr>
          <w:rFonts w:ascii="Titillium" w:eastAsiaTheme="minorHAnsi" w:hAnsi="Titillium" w:cs="Arial"/>
          <w:bCs/>
          <w:color w:val="000000"/>
          <w:szCs w:val="22"/>
          <w:lang w:val="es-ES" w:eastAsia="en-US"/>
        </w:rPr>
        <w:t xml:space="preserve"> </w:t>
      </w:r>
      <w:r w:rsidR="00FB5D96">
        <w:rPr>
          <w:rFonts w:ascii="Titillium" w:eastAsiaTheme="minorHAnsi" w:hAnsi="Titillium" w:cs="Arial"/>
          <w:bCs/>
          <w:color w:val="000000"/>
          <w:szCs w:val="22"/>
          <w:lang w:val="es-ES" w:eastAsia="en-US"/>
        </w:rPr>
        <w:t>(Figura 31</w:t>
      </w:r>
      <w:r w:rsidR="00741A78" w:rsidRPr="004A28A7">
        <w:rPr>
          <w:rFonts w:ascii="Titillium" w:eastAsiaTheme="minorHAnsi" w:hAnsi="Titillium" w:cs="Arial"/>
          <w:bCs/>
          <w:color w:val="000000"/>
          <w:szCs w:val="22"/>
          <w:lang w:val="es-ES" w:eastAsia="en-US"/>
        </w:rPr>
        <w:t>).</w:t>
      </w:r>
    </w:p>
    <w:p w14:paraId="3621BCC2" w14:textId="77777777" w:rsidR="009D6C1D" w:rsidRDefault="006643C4" w:rsidP="009D6C1D">
      <w:pPr>
        <w:pStyle w:val="NormalWeb"/>
        <w:shd w:val="clear" w:color="auto" w:fill="FFFFFF"/>
        <w:spacing w:before="240" w:beforeAutospacing="0" w:after="150" w:afterAutospacing="0" w:line="276" w:lineRule="auto"/>
        <w:rPr>
          <w:rFonts w:cs="Arial"/>
          <w:b/>
          <w:bCs/>
          <w:color w:val="000000"/>
        </w:rPr>
      </w:pPr>
      <w:r>
        <w:rPr>
          <w:noProof/>
        </w:rPr>
        <w:drawing>
          <wp:inline distT="0" distB="0" distL="0" distR="0" wp14:anchorId="2BEF8192" wp14:editId="4AA559E6">
            <wp:extent cx="3838575" cy="4638675"/>
            <wp:effectExtent l="0" t="0" r="9525" b="9525"/>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14:paraId="2E6AAD37" w14:textId="4753382A" w:rsidR="004A177F" w:rsidRDefault="004A177F" w:rsidP="009D6C1D">
      <w:pPr>
        <w:pStyle w:val="NormalWeb"/>
        <w:shd w:val="clear" w:color="auto" w:fill="FFFFFF"/>
        <w:spacing w:before="0" w:beforeAutospacing="0" w:after="150" w:afterAutospacing="0" w:line="276" w:lineRule="auto"/>
        <w:rPr>
          <w:rFonts w:ascii="Titillium" w:eastAsiaTheme="minorHAnsi" w:hAnsi="Titillium" w:cs="Arial"/>
          <w:bCs/>
          <w:color w:val="000000"/>
          <w:szCs w:val="22"/>
          <w:lang w:val="es-ES" w:eastAsia="en-US"/>
        </w:rPr>
      </w:pPr>
      <w:r w:rsidRPr="00C11CC5">
        <w:rPr>
          <w:rFonts w:ascii="Titillium" w:eastAsiaTheme="minorHAnsi" w:hAnsi="Titillium" w:cs="Arial"/>
          <w:b/>
          <w:bCs/>
          <w:color w:val="000000"/>
          <w:szCs w:val="22"/>
          <w:lang w:val="es-ES" w:eastAsia="en-US"/>
        </w:rPr>
        <w:t xml:space="preserve">Figura </w:t>
      </w:r>
      <w:r w:rsidR="00FB5D96">
        <w:rPr>
          <w:rFonts w:ascii="Titillium" w:eastAsiaTheme="minorHAnsi" w:hAnsi="Titillium" w:cs="Arial"/>
          <w:b/>
          <w:bCs/>
          <w:color w:val="000000"/>
          <w:szCs w:val="22"/>
          <w:lang w:val="es-ES" w:eastAsia="en-US"/>
        </w:rPr>
        <w:t>31</w:t>
      </w:r>
      <w:r w:rsidRPr="00C11CC5">
        <w:rPr>
          <w:rFonts w:ascii="Titillium" w:eastAsiaTheme="minorHAnsi" w:hAnsi="Titillium" w:cs="Arial"/>
          <w:b/>
          <w:bCs/>
          <w:color w:val="000000"/>
          <w:szCs w:val="22"/>
          <w:lang w:val="es-ES" w:eastAsia="en-US"/>
        </w:rPr>
        <w:t>.</w:t>
      </w:r>
      <w:r>
        <w:rPr>
          <w:rFonts w:cs="Arial"/>
          <w:bCs/>
          <w:color w:val="000000"/>
        </w:rPr>
        <w:t xml:space="preserve"> </w:t>
      </w:r>
      <w:r w:rsidRPr="00C11CC5">
        <w:rPr>
          <w:rFonts w:ascii="Titillium" w:eastAsiaTheme="minorHAnsi" w:hAnsi="Titillium" w:cs="Arial"/>
          <w:bCs/>
          <w:color w:val="000000"/>
          <w:szCs w:val="22"/>
          <w:lang w:val="es-ES" w:eastAsia="en-US"/>
        </w:rPr>
        <w:t>Certificaciones</w:t>
      </w:r>
      <w:r w:rsidR="00741A78" w:rsidRPr="00C11CC5">
        <w:rPr>
          <w:rFonts w:ascii="Titillium" w:eastAsiaTheme="minorHAnsi" w:hAnsi="Titillium" w:cs="Arial"/>
          <w:bCs/>
          <w:color w:val="000000"/>
          <w:szCs w:val="22"/>
          <w:lang w:val="es-ES" w:eastAsia="en-US"/>
        </w:rPr>
        <w:t xml:space="preserve"> de las empresas diagnosticadas</w:t>
      </w:r>
      <w:r w:rsidR="0068122F">
        <w:rPr>
          <w:rFonts w:ascii="Titillium" w:eastAsiaTheme="minorHAnsi" w:hAnsi="Titillium" w:cs="Arial"/>
          <w:bCs/>
          <w:color w:val="000000"/>
          <w:szCs w:val="22"/>
          <w:lang w:val="es-ES" w:eastAsia="en-US"/>
        </w:rPr>
        <w:t xml:space="preserve"> (%)</w:t>
      </w:r>
      <w:r w:rsidR="00741A78" w:rsidRPr="00C11CC5">
        <w:rPr>
          <w:rFonts w:ascii="Titillium" w:eastAsiaTheme="minorHAnsi" w:hAnsi="Titillium" w:cs="Arial"/>
          <w:bCs/>
          <w:color w:val="000000"/>
          <w:szCs w:val="22"/>
          <w:lang w:val="es-ES" w:eastAsia="en-US"/>
        </w:rPr>
        <w:t>.</w:t>
      </w:r>
    </w:p>
    <w:p w14:paraId="40A8BC7B" w14:textId="77777777" w:rsidR="00ED26C2" w:rsidRDefault="00ED26C2" w:rsidP="009D6C1D">
      <w:pPr>
        <w:pStyle w:val="NormalWeb"/>
        <w:shd w:val="clear" w:color="auto" w:fill="FFFFFF"/>
        <w:spacing w:before="0" w:beforeAutospacing="0" w:after="150" w:afterAutospacing="0" w:line="276" w:lineRule="auto"/>
        <w:rPr>
          <w:rFonts w:ascii="Titillium" w:eastAsiaTheme="minorHAnsi" w:hAnsi="Titillium" w:cs="Arial"/>
          <w:bCs/>
          <w:color w:val="000000"/>
          <w:szCs w:val="22"/>
          <w:lang w:val="es-ES" w:eastAsia="en-US"/>
        </w:rPr>
      </w:pPr>
    </w:p>
    <w:p w14:paraId="24539F17" w14:textId="77777777" w:rsidR="00ED26C2" w:rsidRPr="009D6C1D" w:rsidRDefault="00ED26C2" w:rsidP="009D6C1D">
      <w:pPr>
        <w:pStyle w:val="NormalWeb"/>
        <w:shd w:val="clear" w:color="auto" w:fill="FFFFFF"/>
        <w:spacing w:before="0" w:beforeAutospacing="0" w:after="150" w:afterAutospacing="0" w:line="276" w:lineRule="auto"/>
        <w:rPr>
          <w:rFonts w:cs="Arial"/>
          <w:b/>
          <w:bCs/>
          <w:color w:val="000000"/>
        </w:rPr>
      </w:pPr>
    </w:p>
    <w:p w14:paraId="5D0CA363" w14:textId="5B0190A6" w:rsidR="007B2B69" w:rsidRPr="00ED26C2" w:rsidRDefault="007B2B69" w:rsidP="00343562">
      <w:pPr>
        <w:pStyle w:val="Ttulo2"/>
        <w:rPr>
          <w:b w:val="0"/>
          <w:sz w:val="32"/>
          <w:szCs w:val="32"/>
        </w:rPr>
      </w:pPr>
      <w:bookmarkStart w:id="24" w:name="_Toc471999535"/>
      <w:r w:rsidRPr="00ED26C2">
        <w:rPr>
          <w:b w:val="0"/>
          <w:sz w:val="32"/>
          <w:szCs w:val="32"/>
        </w:rPr>
        <w:t>Bod</w:t>
      </w:r>
      <w:r w:rsidR="00381B35" w:rsidRPr="00ED26C2">
        <w:rPr>
          <w:b w:val="0"/>
          <w:sz w:val="32"/>
          <w:szCs w:val="32"/>
        </w:rPr>
        <w:t xml:space="preserve">egas o </w:t>
      </w:r>
      <w:r w:rsidR="00CE7C87" w:rsidRPr="00ED26C2">
        <w:rPr>
          <w:b w:val="0"/>
          <w:sz w:val="32"/>
          <w:szCs w:val="32"/>
        </w:rPr>
        <w:t>Sitios de A</w:t>
      </w:r>
      <w:r w:rsidR="00381B35" w:rsidRPr="00ED26C2">
        <w:rPr>
          <w:b w:val="0"/>
          <w:sz w:val="32"/>
          <w:szCs w:val="32"/>
        </w:rPr>
        <w:t>lmacenamiento</w:t>
      </w:r>
      <w:bookmarkEnd w:id="24"/>
    </w:p>
    <w:p w14:paraId="48E4F7D0" w14:textId="77777777" w:rsidR="007B2B69" w:rsidRDefault="007B2B69" w:rsidP="00CE62F9">
      <w:pPr>
        <w:pStyle w:val="Encabezado"/>
        <w:tabs>
          <w:tab w:val="clear" w:pos="4252"/>
          <w:tab w:val="center" w:pos="0"/>
        </w:tabs>
        <w:spacing w:before="240" w:line="276" w:lineRule="auto"/>
        <w:jc w:val="both"/>
        <w:rPr>
          <w:rFonts w:cs="Arial"/>
          <w:bCs/>
          <w:color w:val="000000"/>
          <w:sz w:val="24"/>
        </w:rPr>
      </w:pPr>
      <w:r>
        <w:rPr>
          <w:rFonts w:cs="Arial"/>
          <w:bCs/>
          <w:color w:val="000000"/>
          <w:sz w:val="24"/>
        </w:rPr>
        <w:t>Las bodegas o sitios de almacenamiento, se refiere a la a</w:t>
      </w:r>
      <w:r w:rsidRPr="00033BC8">
        <w:rPr>
          <w:rFonts w:cs="Arial"/>
          <w:bCs/>
          <w:color w:val="000000"/>
          <w:sz w:val="24"/>
        </w:rPr>
        <w:t>cumulación</w:t>
      </w:r>
      <w:r>
        <w:rPr>
          <w:rFonts w:cs="Arial"/>
          <w:bCs/>
          <w:color w:val="000000"/>
          <w:sz w:val="24"/>
        </w:rPr>
        <w:t xml:space="preserve"> ya sea de materias primas, insumos y producto terminado en un lugar específico por un tiempo determinado. En el caso de las plantas de proceso el producto final es almacenado en cámaras de frio.  </w:t>
      </w:r>
    </w:p>
    <w:p w14:paraId="7D2C6C81" w14:textId="77777777" w:rsidR="00381B35" w:rsidRDefault="007B2B69" w:rsidP="00CE62F9">
      <w:pPr>
        <w:pStyle w:val="Encabezado"/>
        <w:tabs>
          <w:tab w:val="clear" w:pos="4252"/>
          <w:tab w:val="center" w:pos="0"/>
        </w:tabs>
        <w:spacing w:before="240" w:line="276" w:lineRule="auto"/>
        <w:jc w:val="both"/>
        <w:rPr>
          <w:rFonts w:cs="Arial"/>
          <w:bCs/>
          <w:color w:val="000000"/>
          <w:sz w:val="24"/>
        </w:rPr>
      </w:pPr>
      <w:r w:rsidRPr="00412391">
        <w:rPr>
          <w:rFonts w:cs="Arial"/>
          <w:bCs/>
          <w:color w:val="000000"/>
          <w:sz w:val="24"/>
        </w:rPr>
        <w:lastRenderedPageBreak/>
        <w:t>El D.S. N°43/2005, que “Aprueba el reglamento de almacenamiento de sustancias peligrosas”,</w:t>
      </w:r>
      <w:r>
        <w:rPr>
          <w:rFonts w:cs="Arial"/>
          <w:bCs/>
          <w:color w:val="000000"/>
          <w:sz w:val="24"/>
        </w:rPr>
        <w:t xml:space="preserve"> establece que debe estar</w:t>
      </w:r>
      <w:r w:rsidRPr="00EB1DE1">
        <w:rPr>
          <w:rFonts w:cs="Arial"/>
          <w:bCs/>
          <w:color w:val="000000"/>
          <w:sz w:val="24"/>
        </w:rPr>
        <w:t xml:space="preserve"> disponible el registro </w:t>
      </w:r>
      <w:r>
        <w:rPr>
          <w:rFonts w:cs="Arial"/>
          <w:bCs/>
          <w:color w:val="000000"/>
          <w:sz w:val="24"/>
        </w:rPr>
        <w:t>con el nombre químico de la sustancia, n</w:t>
      </w:r>
      <w:r w:rsidRPr="00EB1DE1">
        <w:rPr>
          <w:rFonts w:cs="Arial"/>
          <w:bCs/>
          <w:color w:val="000000"/>
          <w:sz w:val="24"/>
        </w:rPr>
        <w:t>úmero de</w:t>
      </w:r>
      <w:r>
        <w:rPr>
          <w:rFonts w:cs="Arial"/>
          <w:bCs/>
          <w:color w:val="000000"/>
          <w:sz w:val="24"/>
        </w:rPr>
        <w:t xml:space="preserve"> </w:t>
      </w:r>
      <w:r w:rsidRPr="00EB1DE1">
        <w:rPr>
          <w:rFonts w:cs="Arial"/>
          <w:bCs/>
          <w:color w:val="000000"/>
          <w:sz w:val="24"/>
        </w:rPr>
        <w:t>Naciones Unidas (NU), clase primaria, secundaria</w:t>
      </w:r>
      <w:r>
        <w:rPr>
          <w:rFonts w:cs="Arial"/>
          <w:bCs/>
          <w:color w:val="000000"/>
          <w:sz w:val="24"/>
        </w:rPr>
        <w:t xml:space="preserve">, </w:t>
      </w:r>
      <w:r w:rsidRPr="00EB1DE1">
        <w:rPr>
          <w:rFonts w:cs="Arial"/>
          <w:bCs/>
          <w:color w:val="000000"/>
          <w:sz w:val="24"/>
        </w:rPr>
        <w:t>división de peligrosidad de las sustancias</w:t>
      </w:r>
      <w:r>
        <w:rPr>
          <w:rFonts w:cs="Arial"/>
          <w:bCs/>
          <w:color w:val="000000"/>
          <w:sz w:val="24"/>
        </w:rPr>
        <w:t xml:space="preserve">, </w:t>
      </w:r>
      <w:r w:rsidRPr="00EB1DE1">
        <w:rPr>
          <w:rFonts w:cs="Arial"/>
          <w:bCs/>
          <w:color w:val="000000"/>
          <w:sz w:val="24"/>
        </w:rPr>
        <w:t>capacidad máxima y cantidad mensual almacenada.</w:t>
      </w:r>
      <w:r>
        <w:rPr>
          <w:rFonts w:cs="Arial"/>
          <w:bCs/>
          <w:color w:val="000000"/>
          <w:sz w:val="24"/>
        </w:rPr>
        <w:t xml:space="preserve"> Además, l</w:t>
      </w:r>
      <w:r w:rsidRPr="00EB1DE1">
        <w:rPr>
          <w:rFonts w:cs="Arial"/>
          <w:bCs/>
          <w:color w:val="000000"/>
          <w:sz w:val="24"/>
        </w:rPr>
        <w:t>as sustancias peligrosas deberán estar</w:t>
      </w:r>
      <w:r>
        <w:rPr>
          <w:rFonts w:cs="Arial"/>
          <w:bCs/>
          <w:color w:val="000000"/>
          <w:sz w:val="24"/>
        </w:rPr>
        <w:t xml:space="preserve"> </w:t>
      </w:r>
      <w:r w:rsidRPr="00EB1DE1">
        <w:rPr>
          <w:rFonts w:cs="Arial"/>
          <w:bCs/>
          <w:color w:val="000000"/>
          <w:sz w:val="24"/>
        </w:rPr>
        <w:t>etiquetadas, de acuerdo a lo establecido en el</w:t>
      </w:r>
      <w:r>
        <w:rPr>
          <w:rFonts w:cs="Arial"/>
          <w:bCs/>
          <w:color w:val="000000"/>
          <w:sz w:val="24"/>
        </w:rPr>
        <w:t xml:space="preserve"> reglamento y t</w:t>
      </w:r>
      <w:r w:rsidRPr="00EB1DE1">
        <w:rPr>
          <w:rFonts w:cs="Arial"/>
          <w:bCs/>
          <w:color w:val="000000"/>
          <w:sz w:val="24"/>
        </w:rPr>
        <w:t>ener disponibles las hojas de seguridad de todas</w:t>
      </w:r>
      <w:r>
        <w:rPr>
          <w:rFonts w:cs="Arial"/>
          <w:bCs/>
          <w:color w:val="000000"/>
          <w:sz w:val="24"/>
        </w:rPr>
        <w:t xml:space="preserve"> </w:t>
      </w:r>
      <w:r w:rsidRPr="00EB1DE1">
        <w:rPr>
          <w:rFonts w:cs="Arial"/>
          <w:bCs/>
          <w:color w:val="000000"/>
          <w:sz w:val="24"/>
        </w:rPr>
        <w:t xml:space="preserve">las sustancias almacenadas, según la </w:t>
      </w:r>
      <w:proofErr w:type="spellStart"/>
      <w:r w:rsidRPr="00EB1DE1">
        <w:rPr>
          <w:rFonts w:cs="Arial"/>
          <w:bCs/>
          <w:color w:val="000000"/>
          <w:sz w:val="24"/>
        </w:rPr>
        <w:t>NCh</w:t>
      </w:r>
      <w:proofErr w:type="spellEnd"/>
      <w:r w:rsidRPr="00EB1DE1">
        <w:rPr>
          <w:rFonts w:cs="Arial"/>
          <w:bCs/>
          <w:color w:val="000000"/>
          <w:sz w:val="24"/>
        </w:rPr>
        <w:t xml:space="preserve"> 2245</w:t>
      </w:r>
      <w:r>
        <w:rPr>
          <w:rFonts w:cs="Arial"/>
          <w:bCs/>
          <w:color w:val="000000"/>
          <w:sz w:val="24"/>
        </w:rPr>
        <w:t>/2003, “H</w:t>
      </w:r>
      <w:r w:rsidRPr="00EB1DE1">
        <w:rPr>
          <w:rFonts w:cs="Arial"/>
          <w:bCs/>
          <w:color w:val="000000"/>
          <w:sz w:val="24"/>
        </w:rPr>
        <w:t xml:space="preserve">oja de datos de </w:t>
      </w:r>
      <w:r>
        <w:rPr>
          <w:rFonts w:cs="Arial"/>
          <w:bCs/>
          <w:color w:val="000000"/>
          <w:sz w:val="24"/>
        </w:rPr>
        <w:t>seguridad de productos químicos. Co</w:t>
      </w:r>
      <w:r w:rsidRPr="00EB1DE1">
        <w:rPr>
          <w:rFonts w:cs="Arial"/>
          <w:bCs/>
          <w:color w:val="000000"/>
          <w:sz w:val="24"/>
        </w:rPr>
        <w:t>n</w:t>
      </w:r>
      <w:r>
        <w:rPr>
          <w:rFonts w:cs="Arial"/>
          <w:bCs/>
          <w:color w:val="000000"/>
          <w:sz w:val="24"/>
        </w:rPr>
        <w:t>tenido y orden de las secciones”.</w:t>
      </w:r>
    </w:p>
    <w:p w14:paraId="48DBDE01" w14:textId="77777777" w:rsidR="00381B35" w:rsidRDefault="007B2B69" w:rsidP="00CE62F9">
      <w:pPr>
        <w:pStyle w:val="Encabezado"/>
        <w:tabs>
          <w:tab w:val="clear" w:pos="4252"/>
          <w:tab w:val="center" w:pos="0"/>
        </w:tabs>
        <w:spacing w:before="240" w:line="276" w:lineRule="auto"/>
        <w:jc w:val="both"/>
        <w:rPr>
          <w:rFonts w:cs="Arial"/>
          <w:bCs/>
          <w:color w:val="000000"/>
          <w:sz w:val="24"/>
        </w:rPr>
      </w:pPr>
      <w:r>
        <w:rPr>
          <w:rFonts w:cs="Arial"/>
          <w:bCs/>
          <w:color w:val="000000"/>
          <w:sz w:val="24"/>
        </w:rPr>
        <w:t xml:space="preserve">El almacenamiento de sustancias peligrosas en las plantas de proceso deben ser en sitios adecuados según lo establecido en la normativa vigente, esto hace referencia principalmente a que deben disponer de una bodega de almacenamiento para químicos. La </w:t>
      </w:r>
      <w:r w:rsidRPr="00472E38">
        <w:rPr>
          <w:rFonts w:cs="Arial"/>
          <w:bCs/>
          <w:color w:val="000000"/>
          <w:sz w:val="24"/>
        </w:rPr>
        <w:t>Terminología y clasificación general</w:t>
      </w:r>
      <w:r>
        <w:rPr>
          <w:rFonts w:cs="Arial"/>
          <w:bCs/>
          <w:color w:val="000000"/>
          <w:sz w:val="24"/>
        </w:rPr>
        <w:t xml:space="preserve"> de las sustancias peligrosas está</w:t>
      </w:r>
      <w:r w:rsidR="00381B35">
        <w:rPr>
          <w:rFonts w:cs="Arial"/>
          <w:bCs/>
          <w:color w:val="000000"/>
          <w:sz w:val="24"/>
        </w:rPr>
        <w:t xml:space="preserve">n señaladas en la </w:t>
      </w:r>
      <w:proofErr w:type="spellStart"/>
      <w:r w:rsidR="00381B35">
        <w:rPr>
          <w:rFonts w:cs="Arial"/>
          <w:bCs/>
          <w:color w:val="000000"/>
          <w:sz w:val="24"/>
        </w:rPr>
        <w:t>NCh</w:t>
      </w:r>
      <w:proofErr w:type="spellEnd"/>
      <w:r w:rsidR="00381B35">
        <w:rPr>
          <w:rFonts w:cs="Arial"/>
          <w:bCs/>
          <w:color w:val="000000"/>
          <w:sz w:val="24"/>
        </w:rPr>
        <w:t xml:space="preserve"> 382/2004.</w:t>
      </w:r>
    </w:p>
    <w:p w14:paraId="53763D7A" w14:textId="35E0B39E" w:rsidR="007B2B69" w:rsidRDefault="007B2B69" w:rsidP="00CE62F9">
      <w:pPr>
        <w:pStyle w:val="Encabezado"/>
        <w:tabs>
          <w:tab w:val="clear" w:pos="4252"/>
          <w:tab w:val="center" w:pos="0"/>
        </w:tabs>
        <w:spacing w:before="240" w:line="276" w:lineRule="auto"/>
        <w:jc w:val="both"/>
        <w:rPr>
          <w:rFonts w:cs="Arial"/>
          <w:bCs/>
          <w:color w:val="000000"/>
          <w:sz w:val="24"/>
        </w:rPr>
      </w:pPr>
      <w:r>
        <w:rPr>
          <w:rFonts w:cs="Arial"/>
          <w:bCs/>
          <w:color w:val="000000"/>
          <w:sz w:val="24"/>
        </w:rPr>
        <w:t>Por otro lado, el D.S. N° 148/</w:t>
      </w:r>
      <w:r w:rsidRPr="005C4D64">
        <w:rPr>
          <w:rFonts w:cs="Arial"/>
          <w:bCs/>
          <w:color w:val="000000"/>
          <w:sz w:val="24"/>
        </w:rPr>
        <w:t>2004</w:t>
      </w:r>
      <w:r>
        <w:rPr>
          <w:rFonts w:cs="Arial"/>
          <w:bCs/>
          <w:color w:val="000000"/>
          <w:sz w:val="24"/>
        </w:rPr>
        <w:t>, que “A</w:t>
      </w:r>
      <w:r w:rsidRPr="007F10D0">
        <w:rPr>
          <w:rFonts w:cs="Arial"/>
          <w:bCs/>
          <w:color w:val="000000"/>
          <w:sz w:val="24"/>
        </w:rPr>
        <w:t>prueba reglamento sanitario sobre manejo de residuos</w:t>
      </w:r>
      <w:r>
        <w:rPr>
          <w:rFonts w:cs="Arial"/>
          <w:bCs/>
          <w:color w:val="000000"/>
          <w:sz w:val="24"/>
        </w:rPr>
        <w:t xml:space="preserve"> </w:t>
      </w:r>
      <w:r w:rsidRPr="007F10D0">
        <w:rPr>
          <w:rFonts w:cs="Arial"/>
          <w:bCs/>
          <w:color w:val="000000"/>
          <w:sz w:val="24"/>
        </w:rPr>
        <w:t>peligrosos</w:t>
      </w:r>
      <w:r w:rsidRPr="00751C26">
        <w:rPr>
          <w:rFonts w:cs="Arial"/>
          <w:bCs/>
          <w:color w:val="000000"/>
          <w:sz w:val="24"/>
        </w:rPr>
        <w:t>”</w:t>
      </w:r>
      <w:r>
        <w:rPr>
          <w:rFonts w:cs="Arial"/>
          <w:bCs/>
          <w:color w:val="000000"/>
          <w:sz w:val="24"/>
        </w:rPr>
        <w:t xml:space="preserve">, establece que los sitios de almacenamiento de residuos peligrosos deben poseer características como resistencia al fuego </w:t>
      </w:r>
      <w:r w:rsidRPr="005C4D64">
        <w:rPr>
          <w:rFonts w:cs="Arial"/>
          <w:bCs/>
          <w:color w:val="000000"/>
          <w:sz w:val="24"/>
        </w:rPr>
        <w:t>asociado al estudio de carga combustible</w:t>
      </w:r>
      <w:r>
        <w:rPr>
          <w:rFonts w:cs="Arial"/>
          <w:bCs/>
          <w:color w:val="000000"/>
          <w:sz w:val="24"/>
        </w:rPr>
        <w:t>, s</w:t>
      </w:r>
      <w:r w:rsidRPr="005C4D64">
        <w:rPr>
          <w:rFonts w:cs="Arial"/>
          <w:bCs/>
          <w:color w:val="000000"/>
          <w:sz w:val="24"/>
        </w:rPr>
        <w:t>istema de contención de derrames, considerando cámaras independientes ante derrames incompatibles</w:t>
      </w:r>
      <w:r>
        <w:rPr>
          <w:rFonts w:cs="Arial"/>
          <w:bCs/>
          <w:color w:val="000000"/>
          <w:sz w:val="24"/>
        </w:rPr>
        <w:t xml:space="preserve"> y v</w:t>
      </w:r>
      <w:r w:rsidRPr="005C4D64">
        <w:rPr>
          <w:rFonts w:cs="Arial"/>
          <w:bCs/>
          <w:color w:val="000000"/>
          <w:sz w:val="24"/>
        </w:rPr>
        <w:t>entilación suficiente para cambiar el volumen de aire al interior impidiendo el acceso de cuerpos extraños.</w:t>
      </w:r>
      <w:r>
        <w:rPr>
          <w:rFonts w:cs="Arial"/>
          <w:bCs/>
          <w:color w:val="000000"/>
          <w:sz w:val="24"/>
        </w:rPr>
        <w:t xml:space="preserve"> Las características que poseen las bodegas de residuos peligrosos se deben a que</w:t>
      </w:r>
      <w:r w:rsidRPr="005C4D64">
        <w:t xml:space="preserve"> </w:t>
      </w:r>
      <w:r w:rsidRPr="005C4D64">
        <w:rPr>
          <w:rFonts w:cs="Arial"/>
          <w:bCs/>
          <w:color w:val="000000"/>
          <w:sz w:val="24"/>
        </w:rPr>
        <w:t>poseen propiedades intrínsecas que presentan riesgos en la salud y el medio ambiente.</w:t>
      </w:r>
      <w:r>
        <w:rPr>
          <w:rFonts w:cs="Arial"/>
          <w:bCs/>
          <w:color w:val="000000"/>
          <w:sz w:val="24"/>
        </w:rPr>
        <w:t xml:space="preserve"> </w:t>
      </w:r>
    </w:p>
    <w:p w14:paraId="1DF37A22" w14:textId="77777777" w:rsidR="00381B35" w:rsidRDefault="007B2B69" w:rsidP="00CE62F9">
      <w:pPr>
        <w:pStyle w:val="Encabezado"/>
        <w:tabs>
          <w:tab w:val="clear" w:pos="4252"/>
          <w:tab w:val="center" w:pos="0"/>
        </w:tabs>
        <w:spacing w:before="240" w:line="276" w:lineRule="auto"/>
        <w:jc w:val="both"/>
        <w:rPr>
          <w:rFonts w:cs="Arial"/>
          <w:bCs/>
          <w:color w:val="000000"/>
          <w:sz w:val="24"/>
        </w:rPr>
      </w:pPr>
      <w:r>
        <w:rPr>
          <w:rFonts w:cs="Arial"/>
          <w:bCs/>
          <w:color w:val="000000"/>
          <w:sz w:val="24"/>
        </w:rPr>
        <w:t xml:space="preserve">Todas las bodegas de almacenamiento de sustancias y residuos peligrosos requieren de autorización sanitaria, para lo cual deben completar </w:t>
      </w:r>
      <w:r w:rsidRPr="00420723">
        <w:rPr>
          <w:rFonts w:cs="Arial"/>
          <w:bCs/>
          <w:color w:val="000000"/>
          <w:sz w:val="24"/>
        </w:rPr>
        <w:t xml:space="preserve">el formulario </w:t>
      </w:r>
      <w:r>
        <w:rPr>
          <w:rFonts w:cs="Arial"/>
          <w:bCs/>
          <w:color w:val="000000"/>
          <w:sz w:val="24"/>
        </w:rPr>
        <w:t>que encuentra en la página de la Seremi de Salud. Este formulario debe ser</w:t>
      </w:r>
      <w:r w:rsidRPr="00420723">
        <w:rPr>
          <w:rFonts w:cs="Arial"/>
          <w:bCs/>
          <w:color w:val="000000"/>
          <w:sz w:val="24"/>
        </w:rPr>
        <w:t xml:space="preserve"> firmado por el</w:t>
      </w:r>
      <w:r>
        <w:rPr>
          <w:rFonts w:cs="Arial"/>
          <w:bCs/>
          <w:color w:val="000000"/>
          <w:sz w:val="24"/>
        </w:rPr>
        <w:t xml:space="preserve"> </w:t>
      </w:r>
      <w:r w:rsidRPr="00420723">
        <w:rPr>
          <w:rFonts w:cs="Arial"/>
          <w:bCs/>
          <w:color w:val="000000"/>
          <w:sz w:val="24"/>
        </w:rPr>
        <w:t>representante legal o propietario de la</w:t>
      </w:r>
      <w:r>
        <w:rPr>
          <w:rFonts w:cs="Arial"/>
          <w:bCs/>
          <w:color w:val="000000"/>
          <w:sz w:val="24"/>
        </w:rPr>
        <w:t xml:space="preserve"> </w:t>
      </w:r>
      <w:r w:rsidRPr="00420723">
        <w:rPr>
          <w:rFonts w:cs="Arial"/>
          <w:bCs/>
          <w:color w:val="000000"/>
          <w:sz w:val="24"/>
        </w:rPr>
        <w:t>actividad, zonificarlo en la dirección de obras</w:t>
      </w:r>
      <w:r>
        <w:rPr>
          <w:rFonts w:cs="Arial"/>
          <w:bCs/>
          <w:color w:val="000000"/>
          <w:sz w:val="24"/>
        </w:rPr>
        <w:t xml:space="preserve"> </w:t>
      </w:r>
      <w:r w:rsidRPr="00420723">
        <w:rPr>
          <w:rFonts w:cs="Arial"/>
          <w:bCs/>
          <w:color w:val="000000"/>
          <w:sz w:val="24"/>
        </w:rPr>
        <w:t>de la comun</w:t>
      </w:r>
      <w:r>
        <w:rPr>
          <w:rFonts w:cs="Arial"/>
          <w:bCs/>
          <w:color w:val="000000"/>
          <w:sz w:val="24"/>
        </w:rPr>
        <w:t>a, donde se ubique su actividad y a</w:t>
      </w:r>
      <w:r w:rsidRPr="00420723">
        <w:rPr>
          <w:rFonts w:cs="Arial"/>
          <w:bCs/>
          <w:color w:val="000000"/>
          <w:sz w:val="24"/>
        </w:rPr>
        <w:t xml:space="preserve">djuntar </w:t>
      </w:r>
      <w:r>
        <w:rPr>
          <w:rFonts w:cs="Arial"/>
          <w:bCs/>
          <w:color w:val="000000"/>
          <w:sz w:val="24"/>
        </w:rPr>
        <w:t xml:space="preserve">toda la información solicitada. Previa a su autorización, </w:t>
      </w:r>
      <w:proofErr w:type="spellStart"/>
      <w:r>
        <w:rPr>
          <w:rFonts w:cs="Arial"/>
          <w:bCs/>
          <w:color w:val="000000"/>
          <w:sz w:val="24"/>
        </w:rPr>
        <w:t>la</w:t>
      </w:r>
      <w:r w:rsidRPr="00420723">
        <w:rPr>
          <w:rFonts w:cs="Arial"/>
          <w:bCs/>
          <w:color w:val="000000"/>
          <w:sz w:val="24"/>
        </w:rPr>
        <w:t>S</w:t>
      </w:r>
      <w:r>
        <w:rPr>
          <w:rFonts w:cs="Arial"/>
          <w:bCs/>
          <w:color w:val="000000"/>
          <w:sz w:val="24"/>
        </w:rPr>
        <w:t>eremi</w:t>
      </w:r>
      <w:proofErr w:type="spellEnd"/>
      <w:r w:rsidRPr="00420723">
        <w:rPr>
          <w:rFonts w:cs="Arial"/>
          <w:bCs/>
          <w:color w:val="000000"/>
          <w:sz w:val="24"/>
        </w:rPr>
        <w:t xml:space="preserve"> </w:t>
      </w:r>
      <w:r>
        <w:rPr>
          <w:rFonts w:cs="Arial"/>
          <w:bCs/>
          <w:color w:val="000000"/>
          <w:sz w:val="24"/>
        </w:rPr>
        <w:t>de Salud</w:t>
      </w:r>
      <w:r w:rsidRPr="00420723">
        <w:rPr>
          <w:rFonts w:cs="Arial"/>
          <w:bCs/>
          <w:color w:val="000000"/>
          <w:sz w:val="24"/>
        </w:rPr>
        <w:t xml:space="preserve"> </w:t>
      </w:r>
      <w:proofErr w:type="spellStart"/>
      <w:r>
        <w:rPr>
          <w:rFonts w:cs="Arial"/>
          <w:bCs/>
          <w:color w:val="000000"/>
          <w:sz w:val="24"/>
        </w:rPr>
        <w:t>verifica</w:t>
      </w:r>
      <w:r w:rsidRPr="00420723">
        <w:rPr>
          <w:rFonts w:cs="Arial"/>
          <w:bCs/>
          <w:color w:val="000000"/>
          <w:sz w:val="24"/>
        </w:rPr>
        <w:t>el</w:t>
      </w:r>
      <w:proofErr w:type="spellEnd"/>
      <w:r>
        <w:rPr>
          <w:rFonts w:cs="Arial"/>
          <w:bCs/>
          <w:color w:val="000000"/>
          <w:sz w:val="24"/>
        </w:rPr>
        <w:t xml:space="preserve"> </w:t>
      </w:r>
      <w:r w:rsidRPr="00420723">
        <w:rPr>
          <w:rFonts w:cs="Arial"/>
          <w:bCs/>
          <w:color w:val="000000"/>
          <w:sz w:val="24"/>
        </w:rPr>
        <w:t>cumplimiento de la legislación vigente. La Autorizaci</w:t>
      </w:r>
      <w:r>
        <w:rPr>
          <w:rFonts w:cs="Arial"/>
          <w:bCs/>
          <w:color w:val="000000"/>
          <w:sz w:val="24"/>
        </w:rPr>
        <w:t xml:space="preserve">ón Sanitaria tiene una duración </w:t>
      </w:r>
      <w:r w:rsidRPr="00420723">
        <w:rPr>
          <w:rFonts w:cs="Arial"/>
          <w:bCs/>
          <w:color w:val="000000"/>
          <w:sz w:val="24"/>
        </w:rPr>
        <w:t>de 3 años y se prorrogará en forma</w:t>
      </w:r>
      <w:r>
        <w:rPr>
          <w:rFonts w:cs="Arial"/>
          <w:bCs/>
          <w:color w:val="000000"/>
          <w:sz w:val="24"/>
        </w:rPr>
        <w:t xml:space="preserve"> </w:t>
      </w:r>
      <w:r w:rsidRPr="00420723">
        <w:rPr>
          <w:rFonts w:cs="Arial"/>
          <w:bCs/>
          <w:color w:val="000000"/>
          <w:sz w:val="24"/>
        </w:rPr>
        <w:t>automática y sucesiva por iguales per</w:t>
      </w:r>
      <w:r>
        <w:rPr>
          <w:rFonts w:cs="Arial"/>
          <w:bCs/>
          <w:color w:val="000000"/>
          <w:sz w:val="24"/>
        </w:rPr>
        <w:t>i</w:t>
      </w:r>
      <w:r w:rsidRPr="00420723">
        <w:rPr>
          <w:rFonts w:cs="Arial"/>
          <w:bCs/>
          <w:color w:val="000000"/>
          <w:sz w:val="24"/>
        </w:rPr>
        <w:t>odos,</w:t>
      </w:r>
      <w:r>
        <w:rPr>
          <w:rFonts w:cs="Arial"/>
          <w:bCs/>
          <w:color w:val="000000"/>
          <w:sz w:val="24"/>
        </w:rPr>
        <w:t xml:space="preserve"> </w:t>
      </w:r>
      <w:r w:rsidRPr="00420723">
        <w:rPr>
          <w:rFonts w:cs="Arial"/>
          <w:bCs/>
          <w:color w:val="000000"/>
          <w:sz w:val="24"/>
        </w:rPr>
        <w:t>mientras no sea dejada sin efecto.</w:t>
      </w:r>
    </w:p>
    <w:p w14:paraId="5E308720" w14:textId="62918233" w:rsidR="007B2B69" w:rsidRDefault="007B2B69" w:rsidP="00CE62F9">
      <w:pPr>
        <w:pStyle w:val="Encabezado"/>
        <w:tabs>
          <w:tab w:val="clear" w:pos="4252"/>
          <w:tab w:val="center" w:pos="0"/>
        </w:tabs>
        <w:spacing w:before="240" w:line="276" w:lineRule="auto"/>
        <w:jc w:val="both"/>
        <w:rPr>
          <w:rFonts w:cs="Arial"/>
          <w:bCs/>
          <w:color w:val="000000"/>
          <w:sz w:val="24"/>
        </w:rPr>
      </w:pPr>
      <w:r>
        <w:rPr>
          <w:rFonts w:cs="Arial"/>
          <w:bCs/>
          <w:color w:val="000000"/>
          <w:sz w:val="24"/>
        </w:rPr>
        <w:t>El análisis de las bodegas y sitios de almacenamiento por parte de las empresas diagnosticadas, evidenciaron que el 100% de las cumple con los establecido en la normativa legal vigente, ya que todas declararon poseer bodegas para materias primas, insumos y producto terminado,</w:t>
      </w:r>
      <w:r w:rsidR="00381B35">
        <w:rPr>
          <w:rFonts w:cs="Arial"/>
          <w:bCs/>
          <w:color w:val="000000"/>
          <w:sz w:val="24"/>
        </w:rPr>
        <w:t xml:space="preserve"> </w:t>
      </w:r>
      <w:r>
        <w:rPr>
          <w:rFonts w:cs="Arial"/>
          <w:bCs/>
          <w:color w:val="000000"/>
          <w:sz w:val="24"/>
        </w:rPr>
        <w:t xml:space="preserve">residuos no peligrosos, sustancias y residuos peligrosos debidamente normados (Figura 12). </w:t>
      </w:r>
    </w:p>
    <w:p w14:paraId="108B2E3E" w14:textId="77777777" w:rsidR="007B2B69" w:rsidRDefault="007B2B69" w:rsidP="00CE62F9">
      <w:pPr>
        <w:pStyle w:val="Encabezado"/>
        <w:spacing w:before="240"/>
        <w:jc w:val="both"/>
        <w:rPr>
          <w:rFonts w:cs="Arial"/>
          <w:bCs/>
          <w:color w:val="000000"/>
          <w:sz w:val="24"/>
        </w:rPr>
      </w:pPr>
    </w:p>
    <w:p w14:paraId="7906CE8A" w14:textId="77777777" w:rsidR="009D6C1D" w:rsidRDefault="007B2B69" w:rsidP="00CE62F9">
      <w:pPr>
        <w:pStyle w:val="Encabezado"/>
        <w:spacing w:before="240"/>
        <w:jc w:val="both"/>
        <w:rPr>
          <w:rFonts w:cs="Arial"/>
          <w:b/>
          <w:bCs/>
          <w:color w:val="000000"/>
          <w:sz w:val="24"/>
        </w:rPr>
      </w:pPr>
      <w:r>
        <w:rPr>
          <w:noProof/>
          <w:lang w:val="es-CL" w:eastAsia="es-CL"/>
        </w:rPr>
        <w:lastRenderedPageBreak/>
        <w:drawing>
          <wp:inline distT="0" distB="0" distL="0" distR="0" wp14:anchorId="464839E7" wp14:editId="619024D1">
            <wp:extent cx="4191000" cy="4991100"/>
            <wp:effectExtent l="0" t="0" r="19050" b="1905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14:paraId="44C7A382" w14:textId="152E7F65" w:rsidR="007B2B69" w:rsidRDefault="007B2B69" w:rsidP="009D6C1D">
      <w:pPr>
        <w:pStyle w:val="Encabezado"/>
        <w:jc w:val="both"/>
        <w:rPr>
          <w:rFonts w:cs="Arial"/>
          <w:bCs/>
          <w:color w:val="000000"/>
          <w:sz w:val="24"/>
        </w:rPr>
      </w:pPr>
      <w:r>
        <w:rPr>
          <w:rFonts w:cs="Arial"/>
          <w:b/>
          <w:bCs/>
          <w:color w:val="000000"/>
          <w:sz w:val="24"/>
        </w:rPr>
        <w:t>Figura 12</w:t>
      </w:r>
      <w:r w:rsidRPr="007E275F">
        <w:rPr>
          <w:rFonts w:cs="Arial"/>
          <w:b/>
          <w:bCs/>
          <w:color w:val="000000"/>
          <w:sz w:val="24"/>
        </w:rPr>
        <w:t>.</w:t>
      </w:r>
      <w:r>
        <w:rPr>
          <w:rFonts w:cs="Arial"/>
          <w:bCs/>
          <w:color w:val="000000"/>
          <w:sz w:val="24"/>
        </w:rPr>
        <w:t xml:space="preserve"> Empresas que poseen bodegas y/o sitios de almacenamiento.</w:t>
      </w:r>
    </w:p>
    <w:p w14:paraId="184EF555" w14:textId="5ABF97A3" w:rsidR="00190ADE" w:rsidRPr="00ED26C2" w:rsidRDefault="00CE7C87" w:rsidP="00343562">
      <w:pPr>
        <w:pStyle w:val="Ttulo2"/>
        <w:rPr>
          <w:b w:val="0"/>
          <w:sz w:val="32"/>
          <w:szCs w:val="32"/>
        </w:rPr>
      </w:pPr>
      <w:bookmarkStart w:id="25" w:name="_Toc471999536"/>
      <w:r w:rsidRPr="00ED26C2">
        <w:rPr>
          <w:b w:val="0"/>
          <w:sz w:val="32"/>
          <w:szCs w:val="32"/>
        </w:rPr>
        <w:t xml:space="preserve">Aspectos de </w:t>
      </w:r>
      <w:r w:rsidR="00190ADE" w:rsidRPr="00ED26C2">
        <w:rPr>
          <w:b w:val="0"/>
          <w:sz w:val="32"/>
          <w:szCs w:val="32"/>
        </w:rPr>
        <w:t>Seguridad ocupacional</w:t>
      </w:r>
      <w:bookmarkEnd w:id="25"/>
    </w:p>
    <w:p w14:paraId="576379FC" w14:textId="17EF47F0" w:rsidR="004F29DA" w:rsidRDefault="00554965" w:rsidP="00CE62F9">
      <w:pPr>
        <w:pStyle w:val="Encabezado"/>
        <w:spacing w:before="240" w:line="276" w:lineRule="auto"/>
        <w:jc w:val="both"/>
        <w:rPr>
          <w:rFonts w:cs="Arial"/>
          <w:bCs/>
          <w:color w:val="000000"/>
          <w:sz w:val="24"/>
        </w:rPr>
      </w:pPr>
      <w:r w:rsidRPr="00152EEA">
        <w:rPr>
          <w:rFonts w:cs="Arial"/>
          <w:bCs/>
          <w:color w:val="000000"/>
          <w:sz w:val="24"/>
        </w:rPr>
        <w:t>Salud ocupacional es la disciplina encargada de promover y mantener literalmente el más alto grado de bienestar físico, mental y social de los trabajadores, evitando en todo sentido el desmejoramiento de la salud causado por las condiciones de trabajo, protegiendo a los trabajadores en sus empresas de los riesgos resultantes de los agentes nocivos, ubicando y manteniendo a los trabajadores de manera adecuada en todas sus aptitudes fisiológicas y psicológicas.</w:t>
      </w:r>
      <w:r w:rsidRPr="00554965">
        <w:rPr>
          <w:rFonts w:cs="Arial"/>
          <w:bCs/>
          <w:color w:val="000000"/>
          <w:sz w:val="24"/>
        </w:rPr>
        <w:t xml:space="preserve"> </w:t>
      </w:r>
    </w:p>
    <w:p w14:paraId="24A05114" w14:textId="51A77CC8" w:rsidR="00C11CC5" w:rsidRPr="00152EEA" w:rsidRDefault="002E652C" w:rsidP="00CE62F9">
      <w:pPr>
        <w:pStyle w:val="Encabezado"/>
        <w:spacing w:before="240" w:line="276" w:lineRule="auto"/>
        <w:jc w:val="both"/>
        <w:rPr>
          <w:rFonts w:cs="Arial"/>
          <w:bCs/>
          <w:color w:val="000000"/>
          <w:sz w:val="24"/>
        </w:rPr>
      </w:pPr>
      <w:r w:rsidRPr="00152EEA">
        <w:rPr>
          <w:rFonts w:cs="Arial"/>
          <w:bCs/>
          <w:color w:val="000000"/>
          <w:sz w:val="24"/>
        </w:rPr>
        <w:t>L</w:t>
      </w:r>
      <w:r w:rsidR="00C11CC5" w:rsidRPr="00152EEA">
        <w:rPr>
          <w:rFonts w:cs="Arial"/>
          <w:bCs/>
          <w:color w:val="000000"/>
          <w:sz w:val="24"/>
        </w:rPr>
        <w:t>a rel</w:t>
      </w:r>
      <w:r w:rsidR="00527D0B" w:rsidRPr="00152EEA">
        <w:rPr>
          <w:rFonts w:cs="Arial"/>
          <w:bCs/>
          <w:color w:val="000000"/>
          <w:sz w:val="24"/>
        </w:rPr>
        <w:t>ación entre</w:t>
      </w:r>
      <w:r w:rsidR="00AF0CD3">
        <w:rPr>
          <w:rFonts w:cs="Arial"/>
          <w:bCs/>
          <w:color w:val="000000"/>
          <w:sz w:val="24"/>
        </w:rPr>
        <w:t xml:space="preserve"> la</w:t>
      </w:r>
      <w:r w:rsidR="00527D0B" w:rsidRPr="00152EEA">
        <w:rPr>
          <w:rFonts w:cs="Arial"/>
          <w:bCs/>
          <w:color w:val="000000"/>
          <w:sz w:val="24"/>
        </w:rPr>
        <w:t xml:space="preserve"> situación de salud,</w:t>
      </w:r>
      <w:r w:rsidR="00C11CC5" w:rsidRPr="00152EEA">
        <w:rPr>
          <w:rFonts w:cs="Arial"/>
          <w:bCs/>
          <w:color w:val="000000"/>
          <w:sz w:val="24"/>
        </w:rPr>
        <w:t xml:space="preserve"> calidad del empleo y condiciones de trabajo, es hoy en día incuestionable, razón por la </w:t>
      </w:r>
      <w:r w:rsidR="00527D0B" w:rsidRPr="00152EEA">
        <w:rPr>
          <w:rFonts w:cs="Arial"/>
          <w:bCs/>
          <w:color w:val="000000"/>
          <w:sz w:val="24"/>
        </w:rPr>
        <w:t>cual</w:t>
      </w:r>
      <w:r w:rsidR="00C11CC5" w:rsidRPr="00152EEA">
        <w:rPr>
          <w:rFonts w:cs="Arial"/>
          <w:bCs/>
          <w:color w:val="000000"/>
          <w:sz w:val="24"/>
        </w:rPr>
        <w:t xml:space="preserve"> constituye una preocupación primord</w:t>
      </w:r>
      <w:r w:rsidR="00527D0B" w:rsidRPr="00152EEA">
        <w:rPr>
          <w:rFonts w:cs="Arial"/>
          <w:bCs/>
          <w:color w:val="000000"/>
          <w:sz w:val="24"/>
        </w:rPr>
        <w:t>ial para el Ministerio de Salud, cuyo objetivo es velar para que</w:t>
      </w:r>
      <w:r w:rsidR="00C11CC5" w:rsidRPr="00152EEA">
        <w:rPr>
          <w:rFonts w:cs="Arial"/>
          <w:bCs/>
          <w:color w:val="000000"/>
          <w:sz w:val="24"/>
        </w:rPr>
        <w:t xml:space="preserve"> todas las actividades laborales se </w:t>
      </w:r>
      <w:r w:rsidR="00C11CC5" w:rsidRPr="00152EEA">
        <w:rPr>
          <w:rFonts w:cs="Arial"/>
          <w:bCs/>
          <w:color w:val="000000"/>
          <w:sz w:val="24"/>
        </w:rPr>
        <w:lastRenderedPageBreak/>
        <w:t xml:space="preserve">realicen sin deterioro </w:t>
      </w:r>
      <w:r w:rsidR="00527D0B" w:rsidRPr="00152EEA">
        <w:rPr>
          <w:rFonts w:cs="Arial"/>
          <w:bCs/>
          <w:color w:val="000000"/>
          <w:sz w:val="24"/>
        </w:rPr>
        <w:t xml:space="preserve">en la </w:t>
      </w:r>
      <w:r w:rsidR="00C11CC5" w:rsidRPr="00152EEA">
        <w:rPr>
          <w:rFonts w:cs="Arial"/>
          <w:bCs/>
          <w:color w:val="000000"/>
          <w:sz w:val="24"/>
        </w:rPr>
        <w:t>calidad de vida de las personas y se conviertan en un pilar fundamental para su desarrollo.</w:t>
      </w:r>
    </w:p>
    <w:p w14:paraId="68D1FA78" w14:textId="131C9CF4" w:rsidR="00184FFC" w:rsidRDefault="00190ADE" w:rsidP="00CE62F9">
      <w:pPr>
        <w:pStyle w:val="Encabezado"/>
        <w:spacing w:before="240" w:line="276" w:lineRule="auto"/>
        <w:jc w:val="both"/>
        <w:rPr>
          <w:rFonts w:cs="Arial"/>
          <w:bCs/>
          <w:color w:val="000000"/>
          <w:sz w:val="24"/>
        </w:rPr>
      </w:pPr>
      <w:r w:rsidRPr="00152EEA">
        <w:rPr>
          <w:rFonts w:cs="Arial"/>
          <w:bCs/>
          <w:color w:val="000000"/>
          <w:sz w:val="24"/>
        </w:rPr>
        <w:t xml:space="preserve">Al evaluar </w:t>
      </w:r>
      <w:r w:rsidR="00AF0CD3">
        <w:rPr>
          <w:rFonts w:cs="Arial"/>
          <w:bCs/>
          <w:color w:val="000000"/>
          <w:sz w:val="24"/>
        </w:rPr>
        <w:t>diferentes</w:t>
      </w:r>
      <w:r w:rsidRPr="00152EEA">
        <w:rPr>
          <w:rFonts w:cs="Arial"/>
          <w:bCs/>
          <w:color w:val="000000"/>
          <w:sz w:val="24"/>
        </w:rPr>
        <w:t xml:space="preserve"> aspectos </w:t>
      </w:r>
      <w:r w:rsidR="005142DE" w:rsidRPr="00152EEA">
        <w:rPr>
          <w:rFonts w:cs="Arial"/>
          <w:bCs/>
          <w:color w:val="000000"/>
          <w:sz w:val="24"/>
        </w:rPr>
        <w:t>de s</w:t>
      </w:r>
      <w:r w:rsidRPr="00152EEA">
        <w:rPr>
          <w:rFonts w:cs="Arial"/>
          <w:bCs/>
          <w:color w:val="000000"/>
          <w:sz w:val="24"/>
        </w:rPr>
        <w:t xml:space="preserve">alud y seguridad ocupacional, </w:t>
      </w:r>
      <w:r w:rsidR="00AF0CD3">
        <w:rPr>
          <w:rFonts w:cs="Arial"/>
          <w:bCs/>
          <w:color w:val="000000"/>
          <w:sz w:val="24"/>
        </w:rPr>
        <w:t xml:space="preserve">se </w:t>
      </w:r>
      <w:r w:rsidRPr="00152EEA">
        <w:rPr>
          <w:rFonts w:cs="Arial"/>
          <w:bCs/>
          <w:color w:val="000000"/>
          <w:sz w:val="24"/>
        </w:rPr>
        <w:t>destaca que la</w:t>
      </w:r>
      <w:r w:rsidR="005142DE" w:rsidRPr="00152EEA">
        <w:rPr>
          <w:rFonts w:cs="Arial"/>
          <w:bCs/>
          <w:color w:val="000000"/>
          <w:sz w:val="24"/>
        </w:rPr>
        <w:t>s 9</w:t>
      </w:r>
      <w:r w:rsidR="00C11CC5" w:rsidRPr="00152EEA">
        <w:rPr>
          <w:rFonts w:cs="Arial"/>
          <w:bCs/>
          <w:color w:val="000000"/>
          <w:sz w:val="24"/>
        </w:rPr>
        <w:t xml:space="preserve"> empresas </w:t>
      </w:r>
      <w:r w:rsidR="005142DE" w:rsidRPr="00152EEA">
        <w:rPr>
          <w:rFonts w:cs="Arial"/>
          <w:bCs/>
          <w:color w:val="000000"/>
          <w:sz w:val="24"/>
        </w:rPr>
        <w:t xml:space="preserve">diagnosticadas </w:t>
      </w:r>
      <w:r w:rsidR="00C11CC5" w:rsidRPr="00152EEA">
        <w:rPr>
          <w:rFonts w:cs="Arial"/>
          <w:bCs/>
          <w:color w:val="000000"/>
          <w:sz w:val="24"/>
        </w:rPr>
        <w:t xml:space="preserve">cumplen </w:t>
      </w:r>
      <w:r w:rsidRPr="00152EEA">
        <w:rPr>
          <w:rFonts w:cs="Arial"/>
          <w:bCs/>
          <w:color w:val="000000"/>
          <w:sz w:val="24"/>
        </w:rPr>
        <w:t xml:space="preserve">100% con lo establecido </w:t>
      </w:r>
      <w:r w:rsidR="00020D17" w:rsidRPr="00152EEA">
        <w:rPr>
          <w:rFonts w:cs="Arial"/>
          <w:bCs/>
          <w:color w:val="000000"/>
          <w:sz w:val="24"/>
        </w:rPr>
        <w:t xml:space="preserve">en </w:t>
      </w:r>
      <w:r w:rsidRPr="00152EEA">
        <w:rPr>
          <w:rFonts w:cs="Arial"/>
          <w:bCs/>
          <w:color w:val="000000"/>
          <w:sz w:val="24"/>
        </w:rPr>
        <w:t xml:space="preserve">la normativa y legislación vigente, </w:t>
      </w:r>
      <w:r w:rsidR="005142DE" w:rsidRPr="00152EEA">
        <w:rPr>
          <w:rFonts w:cs="Arial"/>
          <w:bCs/>
          <w:color w:val="000000"/>
          <w:sz w:val="24"/>
        </w:rPr>
        <w:t>manteniendo</w:t>
      </w:r>
      <w:r w:rsidRPr="00152EEA">
        <w:rPr>
          <w:rFonts w:cs="Arial"/>
          <w:bCs/>
          <w:color w:val="000000"/>
          <w:sz w:val="24"/>
        </w:rPr>
        <w:t xml:space="preserve"> registros de tasas de accidentabilidad</w:t>
      </w:r>
      <w:r w:rsidR="00116A31" w:rsidRPr="00152EEA">
        <w:rPr>
          <w:rFonts w:cs="Arial"/>
          <w:bCs/>
          <w:color w:val="000000"/>
          <w:sz w:val="24"/>
        </w:rPr>
        <w:t xml:space="preserve">, </w:t>
      </w:r>
      <w:r w:rsidR="00C11CC5" w:rsidRPr="00152EEA">
        <w:rPr>
          <w:rFonts w:cs="Arial"/>
          <w:bCs/>
          <w:color w:val="000000"/>
          <w:sz w:val="24"/>
        </w:rPr>
        <w:t xml:space="preserve">poseen </w:t>
      </w:r>
      <w:r w:rsidR="00116A31" w:rsidRPr="00152EEA">
        <w:rPr>
          <w:rFonts w:cs="Arial"/>
          <w:bCs/>
          <w:color w:val="000000"/>
          <w:sz w:val="24"/>
        </w:rPr>
        <w:t>reglamento interno</w:t>
      </w:r>
      <w:r w:rsidR="00184FFC" w:rsidRPr="00152EEA">
        <w:rPr>
          <w:rFonts w:cs="Arial"/>
          <w:bCs/>
          <w:color w:val="000000"/>
          <w:sz w:val="24"/>
        </w:rPr>
        <w:t xml:space="preserve">, </w:t>
      </w:r>
      <w:r w:rsidR="00116A31" w:rsidRPr="00152EEA">
        <w:rPr>
          <w:rFonts w:cs="Arial"/>
          <w:bCs/>
          <w:color w:val="000000"/>
          <w:sz w:val="24"/>
        </w:rPr>
        <w:t xml:space="preserve">procedimientos de trabajo seguro e identificación de riesgos </w:t>
      </w:r>
      <w:r w:rsidR="00184FFC" w:rsidRPr="00152EEA">
        <w:rPr>
          <w:rFonts w:cs="Arial"/>
          <w:bCs/>
          <w:color w:val="000000"/>
          <w:sz w:val="24"/>
        </w:rPr>
        <w:t>de las etapas del proceso</w:t>
      </w:r>
      <w:r w:rsidR="00116A31" w:rsidRPr="00152EEA">
        <w:rPr>
          <w:rFonts w:cs="Arial"/>
          <w:bCs/>
          <w:color w:val="000000"/>
          <w:sz w:val="24"/>
        </w:rPr>
        <w:t>, según lo establecido en el D.S N°40 que “</w:t>
      </w:r>
      <w:r w:rsidR="00116A31" w:rsidRPr="004A28A7">
        <w:rPr>
          <w:rFonts w:cs="Arial"/>
          <w:bCs/>
          <w:color w:val="000000"/>
          <w:sz w:val="24"/>
        </w:rPr>
        <w:t>Aprueba el reglamento sobre prevención de riesgos profesionales</w:t>
      </w:r>
      <w:r w:rsidR="007C2A2A" w:rsidRPr="004A28A7">
        <w:rPr>
          <w:rFonts w:cs="Arial"/>
          <w:bCs/>
          <w:color w:val="000000"/>
          <w:sz w:val="24"/>
        </w:rPr>
        <w:t xml:space="preserve"> (Figura </w:t>
      </w:r>
      <w:r w:rsidR="009F1F9C" w:rsidRPr="004A28A7">
        <w:rPr>
          <w:rFonts w:cs="Arial"/>
          <w:bCs/>
          <w:color w:val="000000"/>
          <w:sz w:val="24"/>
        </w:rPr>
        <w:t>31</w:t>
      </w:r>
      <w:r w:rsidR="007C2A2A" w:rsidRPr="004A28A7">
        <w:rPr>
          <w:rFonts w:cs="Arial"/>
          <w:bCs/>
          <w:color w:val="000000"/>
          <w:sz w:val="24"/>
        </w:rPr>
        <w:t>).</w:t>
      </w:r>
      <w:r w:rsidR="00116A31">
        <w:rPr>
          <w:rFonts w:cs="Arial"/>
          <w:bCs/>
          <w:color w:val="000000"/>
          <w:sz w:val="24"/>
        </w:rPr>
        <w:t xml:space="preserve"> </w:t>
      </w:r>
    </w:p>
    <w:p w14:paraId="23CC9F4E" w14:textId="4BBDF7C2" w:rsidR="00116A31" w:rsidRDefault="005142DE" w:rsidP="00CE62F9">
      <w:pPr>
        <w:pStyle w:val="Encabezado"/>
        <w:spacing w:before="240" w:line="276" w:lineRule="auto"/>
        <w:jc w:val="both"/>
        <w:rPr>
          <w:rFonts w:cs="Arial"/>
          <w:bCs/>
          <w:color w:val="000000"/>
          <w:sz w:val="24"/>
        </w:rPr>
      </w:pPr>
      <w:r w:rsidRPr="00152EEA">
        <w:rPr>
          <w:rFonts w:cs="Arial"/>
          <w:bCs/>
          <w:color w:val="000000"/>
          <w:sz w:val="24"/>
        </w:rPr>
        <w:t>Por otro lado, e</w:t>
      </w:r>
      <w:r w:rsidR="007C2A2A" w:rsidRPr="00152EEA">
        <w:rPr>
          <w:rFonts w:cs="Arial"/>
          <w:bCs/>
          <w:color w:val="000000"/>
          <w:sz w:val="24"/>
        </w:rPr>
        <w:t xml:space="preserve">l 100% de las empresas </w:t>
      </w:r>
      <w:r w:rsidR="00184FFC" w:rsidRPr="00152EEA">
        <w:rPr>
          <w:rFonts w:cs="Arial"/>
          <w:bCs/>
          <w:color w:val="000000"/>
          <w:sz w:val="24"/>
        </w:rPr>
        <w:t>poseen comité paritario, por lo que cumplen con lo establecido en</w:t>
      </w:r>
      <w:r w:rsidR="00020D17" w:rsidRPr="00152EEA">
        <w:rPr>
          <w:rFonts w:cs="Arial"/>
          <w:bCs/>
          <w:color w:val="000000"/>
          <w:sz w:val="24"/>
        </w:rPr>
        <w:t xml:space="preserve"> el D.S. 54</w:t>
      </w:r>
      <w:r w:rsidR="00116A31" w:rsidRPr="00152EEA">
        <w:rPr>
          <w:rFonts w:cs="Arial"/>
          <w:bCs/>
          <w:color w:val="000000"/>
          <w:sz w:val="24"/>
        </w:rPr>
        <w:t xml:space="preserve">/1985 que “Aprueba Reglamento para la constitución y </w:t>
      </w:r>
      <w:r w:rsidR="00116A31" w:rsidRPr="004A28A7">
        <w:rPr>
          <w:rFonts w:cs="Arial"/>
          <w:bCs/>
          <w:color w:val="000000"/>
          <w:sz w:val="24"/>
        </w:rPr>
        <w:t>funcionamiento de comités pa</w:t>
      </w:r>
      <w:r w:rsidR="007C2A2A" w:rsidRPr="004A28A7">
        <w:rPr>
          <w:rFonts w:cs="Arial"/>
          <w:bCs/>
          <w:color w:val="000000"/>
          <w:sz w:val="24"/>
        </w:rPr>
        <w:t>ritarios de higiene y seguridad”</w:t>
      </w:r>
      <w:r w:rsidR="00CE7C87">
        <w:rPr>
          <w:rFonts w:cs="Arial"/>
          <w:bCs/>
          <w:color w:val="000000"/>
          <w:sz w:val="24"/>
        </w:rPr>
        <w:t xml:space="preserve"> </w:t>
      </w:r>
      <w:r w:rsidR="007C2A2A" w:rsidRPr="004A28A7">
        <w:rPr>
          <w:rFonts w:cs="Arial"/>
          <w:bCs/>
          <w:color w:val="000000"/>
          <w:sz w:val="24"/>
        </w:rPr>
        <w:t xml:space="preserve">(Figura </w:t>
      </w:r>
      <w:r w:rsidR="0068122F">
        <w:rPr>
          <w:rFonts w:cs="Arial"/>
          <w:bCs/>
          <w:color w:val="000000"/>
          <w:sz w:val="24"/>
        </w:rPr>
        <w:t>32</w:t>
      </w:r>
      <w:r w:rsidR="007C2A2A" w:rsidRPr="004A28A7">
        <w:rPr>
          <w:rFonts w:cs="Arial"/>
          <w:bCs/>
          <w:color w:val="000000"/>
          <w:sz w:val="24"/>
        </w:rPr>
        <w:t>).</w:t>
      </w:r>
      <w:r w:rsidR="007C2A2A">
        <w:rPr>
          <w:rFonts w:cs="Arial"/>
          <w:bCs/>
          <w:color w:val="000000"/>
          <w:sz w:val="24"/>
        </w:rPr>
        <w:t xml:space="preserve"> </w:t>
      </w:r>
      <w:r w:rsidR="00190ADE">
        <w:rPr>
          <w:rFonts w:cs="Arial"/>
          <w:bCs/>
          <w:color w:val="000000"/>
          <w:sz w:val="24"/>
        </w:rPr>
        <w:t xml:space="preserve"> </w:t>
      </w:r>
    </w:p>
    <w:p w14:paraId="1BFEEB98" w14:textId="714B8F7F" w:rsidR="00184FFC" w:rsidRDefault="00184FFC" w:rsidP="00CE62F9">
      <w:pPr>
        <w:pStyle w:val="Encabezado"/>
        <w:spacing w:before="240" w:line="276" w:lineRule="auto"/>
        <w:jc w:val="both"/>
        <w:rPr>
          <w:rFonts w:cs="Arial"/>
          <w:bCs/>
          <w:color w:val="000000"/>
          <w:sz w:val="24"/>
        </w:rPr>
      </w:pPr>
      <w:r w:rsidRPr="00152EEA">
        <w:rPr>
          <w:rFonts w:cs="Arial"/>
          <w:bCs/>
          <w:color w:val="000000"/>
          <w:sz w:val="24"/>
        </w:rPr>
        <w:t xml:space="preserve">Al mismo tiempo, las plantas diagnosticadas </w:t>
      </w:r>
      <w:r w:rsidR="00190ADE" w:rsidRPr="00152EEA">
        <w:rPr>
          <w:rFonts w:cs="Arial"/>
          <w:bCs/>
          <w:color w:val="000000"/>
          <w:sz w:val="24"/>
        </w:rPr>
        <w:t>cumplen</w:t>
      </w:r>
      <w:r w:rsidRPr="00152EEA">
        <w:rPr>
          <w:rFonts w:cs="Arial"/>
          <w:bCs/>
          <w:color w:val="000000"/>
          <w:sz w:val="24"/>
        </w:rPr>
        <w:t xml:space="preserve"> 100%</w:t>
      </w:r>
      <w:r w:rsidR="00FA3E0B" w:rsidRPr="00152EEA">
        <w:rPr>
          <w:rFonts w:cs="Arial"/>
          <w:bCs/>
          <w:color w:val="000000"/>
          <w:sz w:val="24"/>
        </w:rPr>
        <w:t xml:space="preserve"> </w:t>
      </w:r>
      <w:r w:rsidR="0068122F">
        <w:rPr>
          <w:rFonts w:cs="Arial"/>
          <w:bCs/>
          <w:color w:val="000000"/>
          <w:sz w:val="24"/>
        </w:rPr>
        <w:t xml:space="preserve">con la </w:t>
      </w:r>
      <w:r w:rsidR="00190ADE" w:rsidRPr="00152EEA">
        <w:rPr>
          <w:rFonts w:cs="Arial"/>
          <w:bCs/>
          <w:color w:val="000000"/>
          <w:sz w:val="24"/>
        </w:rPr>
        <w:t>normativa técnica TMERT</w:t>
      </w:r>
      <w:r w:rsidR="008A2DA6" w:rsidRPr="00152EEA">
        <w:rPr>
          <w:rFonts w:cs="Arial"/>
          <w:bCs/>
          <w:color w:val="000000"/>
          <w:sz w:val="24"/>
        </w:rPr>
        <w:t xml:space="preserve"> (</w:t>
      </w:r>
      <w:r w:rsidR="00190ADE" w:rsidRPr="00152EEA">
        <w:rPr>
          <w:rFonts w:cs="Arial"/>
          <w:bCs/>
          <w:color w:val="000000"/>
          <w:sz w:val="24"/>
        </w:rPr>
        <w:t xml:space="preserve">Trastornos </w:t>
      </w:r>
      <w:proofErr w:type="spellStart"/>
      <w:r w:rsidR="00190ADE" w:rsidRPr="004A28A7">
        <w:rPr>
          <w:rFonts w:cs="Arial"/>
          <w:bCs/>
          <w:color w:val="000000"/>
          <w:sz w:val="24"/>
        </w:rPr>
        <w:t>Muescoloesqueléticos</w:t>
      </w:r>
      <w:proofErr w:type="spellEnd"/>
      <w:r w:rsidR="00190ADE" w:rsidRPr="004A28A7">
        <w:rPr>
          <w:rFonts w:cs="Arial"/>
          <w:bCs/>
          <w:color w:val="000000"/>
          <w:sz w:val="24"/>
        </w:rPr>
        <w:t xml:space="preserve"> de extremidades superio</w:t>
      </w:r>
      <w:r w:rsidRPr="004A28A7">
        <w:rPr>
          <w:rFonts w:cs="Arial"/>
          <w:bCs/>
          <w:color w:val="000000"/>
          <w:sz w:val="24"/>
        </w:rPr>
        <w:t>res relacionadas con el trabajo</w:t>
      </w:r>
      <w:r w:rsidR="008A2DA6" w:rsidRPr="004A28A7">
        <w:rPr>
          <w:rFonts w:cs="Arial"/>
          <w:bCs/>
          <w:color w:val="000000"/>
          <w:sz w:val="24"/>
        </w:rPr>
        <w:t>)</w:t>
      </w:r>
      <w:r w:rsidR="004A28A7">
        <w:rPr>
          <w:rFonts w:cs="Arial"/>
          <w:bCs/>
          <w:color w:val="000000"/>
          <w:sz w:val="24"/>
        </w:rPr>
        <w:t xml:space="preserve"> </w:t>
      </w:r>
      <w:r w:rsidR="0068122F">
        <w:rPr>
          <w:rFonts w:cs="Arial"/>
          <w:bCs/>
          <w:color w:val="000000"/>
          <w:sz w:val="24"/>
        </w:rPr>
        <w:t>(Figura 32</w:t>
      </w:r>
      <w:r w:rsidR="00323FC4" w:rsidRPr="004A28A7">
        <w:rPr>
          <w:rFonts w:cs="Arial"/>
          <w:bCs/>
          <w:color w:val="000000"/>
          <w:sz w:val="24"/>
        </w:rPr>
        <w:t>)</w:t>
      </w:r>
      <w:r w:rsidRPr="004A28A7">
        <w:rPr>
          <w:rFonts w:cs="Arial"/>
          <w:bCs/>
          <w:color w:val="000000"/>
          <w:sz w:val="24"/>
        </w:rPr>
        <w:t xml:space="preserve">. </w:t>
      </w:r>
      <w:r w:rsidRPr="00152EEA">
        <w:rPr>
          <w:rFonts w:cs="Arial"/>
          <w:bCs/>
          <w:color w:val="000000"/>
          <w:sz w:val="24"/>
        </w:rPr>
        <w:t xml:space="preserve">El protocolo TMERT, es un modelo que entrega directrices para la prevención y control de los Trastornos </w:t>
      </w:r>
      <w:proofErr w:type="spellStart"/>
      <w:r w:rsidRPr="00152EEA">
        <w:rPr>
          <w:rFonts w:cs="Arial"/>
          <w:bCs/>
          <w:color w:val="000000"/>
          <w:sz w:val="24"/>
        </w:rPr>
        <w:t>Musculoequeléticos</w:t>
      </w:r>
      <w:proofErr w:type="spellEnd"/>
      <w:r w:rsidRPr="00152EEA">
        <w:rPr>
          <w:rFonts w:cs="Arial"/>
          <w:bCs/>
          <w:color w:val="000000"/>
          <w:sz w:val="24"/>
        </w:rPr>
        <w:t xml:space="preserve"> (TME) de extremidades superiores en las empresas. Contempla la identificación y evaluación de factores de riesgo biomecánicos (repetición, fuerza y postura), organizacionales y psicosociales en los puestos de trabajo/tareas, además de la vigilancia a la salud de los trabajadores expuestos</w:t>
      </w:r>
      <w:r w:rsidR="00EE45EE" w:rsidRPr="00152EEA">
        <w:rPr>
          <w:rFonts w:cs="Arial"/>
          <w:bCs/>
          <w:color w:val="000000"/>
          <w:sz w:val="24"/>
        </w:rPr>
        <w:t xml:space="preserve">. Cabe señalar que dentro de las actividades y/o tareas que realizan los trabajadores en el proceso productivo de </w:t>
      </w:r>
      <w:proofErr w:type="spellStart"/>
      <w:r w:rsidR="00EE45EE" w:rsidRPr="00152EEA">
        <w:rPr>
          <w:rFonts w:cs="Arial"/>
          <w:bCs/>
          <w:color w:val="000000"/>
          <w:sz w:val="24"/>
        </w:rPr>
        <w:t>chorito</w:t>
      </w:r>
      <w:proofErr w:type="spellEnd"/>
      <w:r w:rsidR="00EE45EE" w:rsidRPr="00152EEA">
        <w:rPr>
          <w:rFonts w:cs="Arial"/>
          <w:bCs/>
          <w:color w:val="000000"/>
          <w:sz w:val="24"/>
        </w:rPr>
        <w:t xml:space="preserve"> ejecutan movimientos repetitivos y fuerza, por lo que es necesario evaluar e identificar estos riesgos.</w:t>
      </w:r>
      <w:r w:rsidR="00EE45EE">
        <w:rPr>
          <w:rFonts w:cs="Arial"/>
          <w:bCs/>
          <w:color w:val="000000"/>
          <w:sz w:val="24"/>
        </w:rPr>
        <w:t xml:space="preserve"> </w:t>
      </w:r>
    </w:p>
    <w:p w14:paraId="0DCA10CF" w14:textId="51D6B361" w:rsidR="00FA3E0B" w:rsidRPr="00152EEA" w:rsidRDefault="00EE45EE" w:rsidP="00CE62F9">
      <w:pPr>
        <w:pStyle w:val="Encabezado"/>
        <w:spacing w:before="240" w:line="276" w:lineRule="auto"/>
        <w:jc w:val="both"/>
        <w:rPr>
          <w:rFonts w:cs="Arial"/>
          <w:bCs/>
          <w:color w:val="000000"/>
          <w:sz w:val="24"/>
        </w:rPr>
      </w:pPr>
      <w:r w:rsidRPr="00152EEA">
        <w:rPr>
          <w:rFonts w:cs="Arial"/>
          <w:bCs/>
          <w:color w:val="000000"/>
          <w:sz w:val="24"/>
        </w:rPr>
        <w:t xml:space="preserve">Por su parte, </w:t>
      </w:r>
      <w:r w:rsidR="00FA3E0B" w:rsidRPr="00152EEA">
        <w:rPr>
          <w:rFonts w:cs="Arial"/>
          <w:bCs/>
          <w:color w:val="000000"/>
          <w:sz w:val="24"/>
        </w:rPr>
        <w:t xml:space="preserve">las empresas también cumplen 100% con </w:t>
      </w:r>
      <w:r w:rsidRPr="00152EEA">
        <w:rPr>
          <w:rFonts w:cs="Arial"/>
          <w:bCs/>
          <w:color w:val="000000"/>
          <w:sz w:val="24"/>
        </w:rPr>
        <w:t xml:space="preserve">el </w:t>
      </w:r>
      <w:r w:rsidR="00190ADE" w:rsidRPr="00152EEA">
        <w:rPr>
          <w:rFonts w:cs="Arial"/>
          <w:bCs/>
          <w:color w:val="000000"/>
          <w:sz w:val="24"/>
        </w:rPr>
        <w:t>protocolo PREXOR (Protocolo de exposición ocupacional a ruido)</w:t>
      </w:r>
      <w:r w:rsidR="0068122F">
        <w:rPr>
          <w:rFonts w:cs="Arial"/>
          <w:bCs/>
          <w:color w:val="000000"/>
          <w:sz w:val="24"/>
        </w:rPr>
        <w:t xml:space="preserve"> (Figura 32</w:t>
      </w:r>
      <w:r w:rsidR="004269DD" w:rsidRPr="00152EEA">
        <w:rPr>
          <w:rFonts w:cs="Arial"/>
          <w:bCs/>
          <w:color w:val="000000"/>
          <w:sz w:val="24"/>
        </w:rPr>
        <w:t>)</w:t>
      </w:r>
      <w:r w:rsidR="00FA3E0B" w:rsidRPr="00152EEA">
        <w:rPr>
          <w:rFonts w:cs="Arial"/>
          <w:bCs/>
          <w:color w:val="000000"/>
          <w:sz w:val="24"/>
        </w:rPr>
        <w:t xml:space="preserve">, el cual se aplica a todos los trabajadores y trabajadoras expuestos ocupacionalmente a ruido, quienes debido a la actividad que desempeñan, pueden desarrollar un Hipoacusia </w:t>
      </w:r>
      <w:proofErr w:type="spellStart"/>
      <w:r w:rsidR="00FA3E0B" w:rsidRPr="00152EEA">
        <w:rPr>
          <w:rFonts w:cs="Arial"/>
          <w:bCs/>
          <w:color w:val="000000"/>
          <w:sz w:val="24"/>
        </w:rPr>
        <w:t>Sensorioneural</w:t>
      </w:r>
      <w:proofErr w:type="spellEnd"/>
      <w:r w:rsidR="00FA3E0B" w:rsidRPr="00152EEA">
        <w:rPr>
          <w:rFonts w:cs="Arial"/>
          <w:bCs/>
          <w:color w:val="000000"/>
          <w:sz w:val="24"/>
        </w:rPr>
        <w:t xml:space="preserve"> Laboral (HSNL) por dicha exposición. El objetivo del protocolo PREXOR es establecer criterios comunes sobre el concepto de exposición, para efectuar el seguimiento y establecer los plazos en las acciones preventivas y sanitarias que realicen los administradores de la Ley N° 16.744, las empresas y los establecimientos de salud en general.</w:t>
      </w:r>
      <w:r w:rsidR="004269DD" w:rsidRPr="00152EEA">
        <w:rPr>
          <w:rFonts w:cs="Arial"/>
          <w:bCs/>
          <w:color w:val="000000"/>
          <w:sz w:val="24"/>
        </w:rPr>
        <w:t xml:space="preserve"> Los trabajadores </w:t>
      </w:r>
      <w:r w:rsidR="00210073" w:rsidRPr="00152EEA">
        <w:rPr>
          <w:rFonts w:cs="Arial"/>
          <w:bCs/>
          <w:color w:val="000000"/>
          <w:sz w:val="24"/>
        </w:rPr>
        <w:t>de planta</w:t>
      </w:r>
      <w:r w:rsidR="004269DD" w:rsidRPr="00152EEA">
        <w:rPr>
          <w:rFonts w:cs="Arial"/>
          <w:bCs/>
          <w:color w:val="000000"/>
          <w:sz w:val="24"/>
        </w:rPr>
        <w:t>s de proceso</w:t>
      </w:r>
      <w:r w:rsidR="00210073" w:rsidRPr="00152EEA">
        <w:rPr>
          <w:rFonts w:cs="Arial"/>
          <w:bCs/>
          <w:color w:val="000000"/>
          <w:sz w:val="24"/>
        </w:rPr>
        <w:t xml:space="preserve"> se encuentran</w:t>
      </w:r>
      <w:r w:rsidR="00FA3E0B" w:rsidRPr="00152EEA">
        <w:rPr>
          <w:rFonts w:cs="Arial"/>
          <w:bCs/>
          <w:color w:val="000000"/>
          <w:sz w:val="24"/>
        </w:rPr>
        <w:t xml:space="preserve"> constantemente expuestos durante toda la jornada laboral a las emisiones de ruido</w:t>
      </w:r>
      <w:r w:rsidR="004269DD" w:rsidRPr="00152EEA">
        <w:rPr>
          <w:rFonts w:cs="Arial"/>
          <w:bCs/>
          <w:color w:val="000000"/>
          <w:sz w:val="24"/>
        </w:rPr>
        <w:t>, las cuales son</w:t>
      </w:r>
      <w:r w:rsidR="00FA3E0B" w:rsidRPr="00152EEA">
        <w:rPr>
          <w:rFonts w:cs="Arial"/>
          <w:bCs/>
          <w:color w:val="000000"/>
          <w:sz w:val="24"/>
        </w:rPr>
        <w:t xml:space="preserve"> generadas por equipos y maquinarias </w:t>
      </w:r>
      <w:r w:rsidR="004269DD" w:rsidRPr="00152EEA">
        <w:rPr>
          <w:rFonts w:cs="Arial"/>
          <w:bCs/>
          <w:color w:val="000000"/>
          <w:sz w:val="24"/>
        </w:rPr>
        <w:t>utilizadas e</w:t>
      </w:r>
      <w:r w:rsidR="00210073" w:rsidRPr="00152EEA">
        <w:rPr>
          <w:rFonts w:cs="Arial"/>
          <w:bCs/>
          <w:color w:val="000000"/>
          <w:sz w:val="24"/>
        </w:rPr>
        <w:t xml:space="preserve">n el </w:t>
      </w:r>
      <w:r w:rsidR="00FA3E0B" w:rsidRPr="00152EEA">
        <w:rPr>
          <w:rFonts w:cs="Arial"/>
          <w:bCs/>
          <w:color w:val="000000"/>
          <w:sz w:val="24"/>
        </w:rPr>
        <w:t>proceso</w:t>
      </w:r>
      <w:r w:rsidR="00210073" w:rsidRPr="00152EEA">
        <w:rPr>
          <w:rFonts w:cs="Arial"/>
          <w:bCs/>
          <w:color w:val="000000"/>
          <w:sz w:val="24"/>
        </w:rPr>
        <w:t xml:space="preserve"> productivo</w:t>
      </w:r>
      <w:r w:rsidR="004269DD" w:rsidRPr="00152EEA">
        <w:rPr>
          <w:rFonts w:cs="Arial"/>
          <w:bCs/>
          <w:color w:val="000000"/>
          <w:sz w:val="24"/>
        </w:rPr>
        <w:t>.</w:t>
      </w:r>
    </w:p>
    <w:p w14:paraId="6B65D618" w14:textId="34AC6B47" w:rsidR="00184FFC" w:rsidRPr="00152EEA" w:rsidRDefault="00FA3E0B" w:rsidP="00CE62F9">
      <w:pPr>
        <w:pStyle w:val="Encabezado"/>
        <w:spacing w:before="240" w:line="276" w:lineRule="auto"/>
        <w:jc w:val="both"/>
        <w:rPr>
          <w:rFonts w:cs="Arial"/>
          <w:bCs/>
          <w:color w:val="000000"/>
          <w:sz w:val="24"/>
        </w:rPr>
      </w:pPr>
      <w:r w:rsidRPr="00152EEA">
        <w:rPr>
          <w:rFonts w:cs="Arial"/>
          <w:bCs/>
          <w:color w:val="000000"/>
          <w:sz w:val="24"/>
        </w:rPr>
        <w:t>Al igual que en los dos casos ante</w:t>
      </w:r>
      <w:r w:rsidR="004269DD" w:rsidRPr="00152EEA">
        <w:rPr>
          <w:rFonts w:cs="Arial"/>
          <w:bCs/>
          <w:color w:val="000000"/>
          <w:sz w:val="24"/>
        </w:rPr>
        <w:t xml:space="preserve">riores, las empresas cumplen </w:t>
      </w:r>
      <w:r w:rsidRPr="00152EEA">
        <w:rPr>
          <w:rFonts w:cs="Arial"/>
          <w:bCs/>
          <w:color w:val="000000"/>
          <w:sz w:val="24"/>
        </w:rPr>
        <w:t xml:space="preserve">100% con </w:t>
      </w:r>
      <w:r w:rsidR="00210073" w:rsidRPr="00152EEA">
        <w:rPr>
          <w:rFonts w:cs="Arial"/>
          <w:bCs/>
          <w:color w:val="000000"/>
          <w:sz w:val="24"/>
        </w:rPr>
        <w:t xml:space="preserve">lo establecido en </w:t>
      </w:r>
      <w:r w:rsidRPr="00152EEA">
        <w:rPr>
          <w:rFonts w:cs="Arial"/>
          <w:bCs/>
          <w:color w:val="000000"/>
          <w:sz w:val="24"/>
        </w:rPr>
        <w:t xml:space="preserve">el </w:t>
      </w:r>
      <w:r w:rsidR="00190ADE" w:rsidRPr="00152EEA">
        <w:rPr>
          <w:rFonts w:cs="Arial"/>
          <w:bCs/>
          <w:color w:val="000000"/>
          <w:sz w:val="24"/>
        </w:rPr>
        <w:t>Protocolo Psicosocial</w:t>
      </w:r>
      <w:r w:rsidR="00CE7C87">
        <w:rPr>
          <w:rFonts w:cs="Arial"/>
          <w:bCs/>
          <w:color w:val="000000"/>
          <w:sz w:val="24"/>
        </w:rPr>
        <w:t xml:space="preserve"> </w:t>
      </w:r>
      <w:r w:rsidR="007C2A2A" w:rsidRPr="00152EEA">
        <w:rPr>
          <w:rFonts w:cs="Arial"/>
          <w:bCs/>
          <w:color w:val="000000"/>
          <w:sz w:val="24"/>
        </w:rPr>
        <w:t>(Figura 3</w:t>
      </w:r>
      <w:r w:rsidR="0068122F">
        <w:rPr>
          <w:rFonts w:cs="Arial"/>
          <w:bCs/>
          <w:color w:val="000000"/>
          <w:sz w:val="24"/>
        </w:rPr>
        <w:t>2</w:t>
      </w:r>
      <w:r w:rsidR="007C2A2A" w:rsidRPr="00152EEA">
        <w:rPr>
          <w:rFonts w:cs="Arial"/>
          <w:bCs/>
          <w:color w:val="000000"/>
          <w:sz w:val="24"/>
        </w:rPr>
        <w:t>).</w:t>
      </w:r>
      <w:r w:rsidR="004269DD" w:rsidRPr="00152EEA">
        <w:rPr>
          <w:rFonts w:cs="Arial"/>
          <w:bCs/>
          <w:color w:val="000000"/>
          <w:sz w:val="24"/>
        </w:rPr>
        <w:t xml:space="preserve"> El Protocolo P</w:t>
      </w:r>
      <w:r w:rsidR="00CE6575" w:rsidRPr="00152EEA">
        <w:rPr>
          <w:rFonts w:cs="Arial"/>
          <w:bCs/>
          <w:color w:val="000000"/>
          <w:sz w:val="24"/>
        </w:rPr>
        <w:t xml:space="preserve">sicosocial es una herramienta reglamentaria y unificadora de criterios en el proceso de identificación y evaluación de </w:t>
      </w:r>
      <w:r w:rsidR="00CE6575" w:rsidRPr="00152EEA">
        <w:rPr>
          <w:rFonts w:cs="Arial"/>
          <w:bCs/>
          <w:color w:val="000000"/>
          <w:sz w:val="24"/>
        </w:rPr>
        <w:lastRenderedPageBreak/>
        <w:t>factores de riesgo de las tareas laborales y puestos de trabajo, como también de su control y seguimiento estableciendo una metodología con un estándar mínimo de salud del ambiente psicosocial laboral. El objetivo de</w:t>
      </w:r>
      <w:r w:rsidR="004269DD" w:rsidRPr="00152EEA">
        <w:rPr>
          <w:rFonts w:cs="Arial"/>
          <w:bCs/>
          <w:color w:val="000000"/>
          <w:sz w:val="24"/>
        </w:rPr>
        <w:t>l</w:t>
      </w:r>
      <w:r w:rsidR="00CE6575" w:rsidRPr="00152EEA">
        <w:rPr>
          <w:rFonts w:cs="Arial"/>
          <w:bCs/>
          <w:color w:val="000000"/>
          <w:sz w:val="24"/>
        </w:rPr>
        <w:t xml:space="preserve"> protocolo es identificar la presencia y nivel de exposición a riesgos psicosociales al interior de una organización, empresas, organismos públicos y privados que se </w:t>
      </w:r>
      <w:r w:rsidR="004269DD" w:rsidRPr="00152EEA">
        <w:rPr>
          <w:rFonts w:cs="Arial"/>
          <w:bCs/>
          <w:color w:val="000000"/>
          <w:sz w:val="24"/>
        </w:rPr>
        <w:t xml:space="preserve">encuentren </w:t>
      </w:r>
      <w:r w:rsidR="00CE6575" w:rsidRPr="00152EEA">
        <w:rPr>
          <w:rFonts w:cs="Arial"/>
          <w:bCs/>
          <w:color w:val="000000"/>
          <w:sz w:val="24"/>
        </w:rPr>
        <w:t>legal y forma</w:t>
      </w:r>
      <w:r w:rsidR="004269DD" w:rsidRPr="00152EEA">
        <w:rPr>
          <w:rFonts w:cs="Arial"/>
          <w:bCs/>
          <w:color w:val="000000"/>
          <w:sz w:val="24"/>
        </w:rPr>
        <w:t xml:space="preserve">lmente constituidas, </w:t>
      </w:r>
      <w:r w:rsidR="00CE6575" w:rsidRPr="00152EEA">
        <w:rPr>
          <w:rFonts w:cs="Arial"/>
          <w:bCs/>
          <w:color w:val="000000"/>
          <w:sz w:val="24"/>
        </w:rPr>
        <w:t>con independencia del rubro o sector de la producción en la cual participen, o del número de sus trabajadores.</w:t>
      </w:r>
      <w:r w:rsidR="00CE6575" w:rsidRPr="00152EEA">
        <w:t xml:space="preserve"> </w:t>
      </w:r>
    </w:p>
    <w:p w14:paraId="7DE63EA2" w14:textId="5AF09E28" w:rsidR="00190ADE" w:rsidRDefault="00190ADE" w:rsidP="00CE62F9">
      <w:pPr>
        <w:pStyle w:val="Encabezado"/>
        <w:spacing w:before="240" w:line="276" w:lineRule="auto"/>
        <w:jc w:val="both"/>
        <w:rPr>
          <w:rFonts w:cs="Arial"/>
          <w:bCs/>
          <w:color w:val="000000"/>
          <w:sz w:val="24"/>
        </w:rPr>
      </w:pPr>
      <w:r w:rsidRPr="00152EEA">
        <w:rPr>
          <w:rFonts w:cs="Arial"/>
          <w:bCs/>
          <w:color w:val="000000"/>
          <w:sz w:val="24"/>
        </w:rPr>
        <w:t>Los factores psicosociales en el trabajo pueden ser elementos positivos que llevan al bienestar de los trabajadores, y secundariamente a un aumento de su rendimiento laboral, así como también elementos negativos, constituyéndose en este caso en riesgos para la salud y relacionados entre otros</w:t>
      </w:r>
      <w:r w:rsidR="00B97DE4" w:rsidRPr="00152EEA">
        <w:rPr>
          <w:rFonts w:cs="Arial"/>
          <w:bCs/>
          <w:color w:val="000000"/>
          <w:sz w:val="24"/>
        </w:rPr>
        <w:t>. Cabe señalar, que los</w:t>
      </w:r>
      <w:r w:rsidRPr="00152EEA">
        <w:rPr>
          <w:rFonts w:cs="Arial"/>
          <w:bCs/>
          <w:color w:val="000000"/>
          <w:sz w:val="24"/>
        </w:rPr>
        <w:t xml:space="preserve"> protocolos</w:t>
      </w:r>
      <w:r w:rsidR="00B97DE4" w:rsidRPr="00152EEA">
        <w:rPr>
          <w:rFonts w:cs="Arial"/>
          <w:bCs/>
          <w:color w:val="000000"/>
          <w:sz w:val="24"/>
        </w:rPr>
        <w:t xml:space="preserve"> mencionados anteriormente</w:t>
      </w:r>
      <w:r w:rsidRPr="00152EEA">
        <w:rPr>
          <w:rFonts w:cs="Arial"/>
          <w:bCs/>
          <w:color w:val="000000"/>
          <w:sz w:val="24"/>
        </w:rPr>
        <w:t xml:space="preserve"> están sien</w:t>
      </w:r>
      <w:r w:rsidR="00B97DE4" w:rsidRPr="00152EEA">
        <w:rPr>
          <w:rFonts w:cs="Arial"/>
          <w:bCs/>
          <w:color w:val="000000"/>
          <w:sz w:val="24"/>
        </w:rPr>
        <w:t>do fiscalizados fuertemente</w:t>
      </w:r>
      <w:r w:rsidRPr="00152EEA">
        <w:rPr>
          <w:rFonts w:cs="Arial"/>
          <w:bCs/>
          <w:color w:val="000000"/>
          <w:sz w:val="24"/>
        </w:rPr>
        <w:t xml:space="preserve"> el último tiempo</w:t>
      </w:r>
      <w:r w:rsidR="00CE6575" w:rsidRPr="00152EEA">
        <w:rPr>
          <w:rFonts w:cs="Arial"/>
          <w:bCs/>
          <w:color w:val="000000"/>
          <w:sz w:val="24"/>
        </w:rPr>
        <w:t xml:space="preserve"> por la Autoridad Sanitaria e</w:t>
      </w:r>
      <w:r w:rsidRPr="00152EEA">
        <w:rPr>
          <w:rFonts w:cs="Arial"/>
          <w:bCs/>
          <w:color w:val="000000"/>
          <w:sz w:val="24"/>
        </w:rPr>
        <w:t xml:space="preserve"> inspección de Trabajo.</w:t>
      </w:r>
    </w:p>
    <w:p w14:paraId="3B9817E7" w14:textId="77777777" w:rsidR="000771D5" w:rsidRDefault="007C2A2A" w:rsidP="00CE62F9">
      <w:pPr>
        <w:spacing w:before="240"/>
        <w:rPr>
          <w:rFonts w:cs="Arial"/>
          <w:bCs/>
          <w:color w:val="000000"/>
          <w:sz w:val="24"/>
        </w:rPr>
      </w:pPr>
      <w:r w:rsidRPr="007A53AB">
        <w:rPr>
          <w:noProof/>
          <w:lang w:val="es-CL" w:eastAsia="es-CL"/>
        </w:rPr>
        <w:lastRenderedPageBreak/>
        <w:drawing>
          <wp:inline distT="0" distB="0" distL="0" distR="0" wp14:anchorId="2A613BE9" wp14:editId="61F774D3">
            <wp:extent cx="5698156" cy="5900287"/>
            <wp:effectExtent l="0" t="0" r="17145" b="24765"/>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r w:rsidRPr="007F6A01">
        <w:rPr>
          <w:rFonts w:cs="Arial"/>
          <w:b/>
          <w:bCs/>
          <w:color w:val="000000"/>
          <w:sz w:val="24"/>
        </w:rPr>
        <w:t xml:space="preserve">Figura </w:t>
      </w:r>
      <w:r w:rsidR="0068122F">
        <w:rPr>
          <w:rFonts w:cs="Arial"/>
          <w:b/>
          <w:bCs/>
          <w:color w:val="000000"/>
          <w:sz w:val="24"/>
        </w:rPr>
        <w:t>32</w:t>
      </w:r>
      <w:r w:rsidRPr="007F6A01">
        <w:rPr>
          <w:rFonts w:cs="Arial"/>
          <w:b/>
          <w:bCs/>
          <w:color w:val="000000"/>
          <w:sz w:val="24"/>
        </w:rPr>
        <w:t>.</w:t>
      </w:r>
      <w:r>
        <w:rPr>
          <w:rFonts w:cs="Arial"/>
          <w:bCs/>
          <w:color w:val="000000"/>
          <w:sz w:val="24"/>
        </w:rPr>
        <w:t xml:space="preserve"> Seguridad ocupacional</w:t>
      </w:r>
    </w:p>
    <w:p w14:paraId="662EBEF9" w14:textId="6484ACEC" w:rsidR="007C2A2A" w:rsidRPr="00ED26C2" w:rsidRDefault="000771D5" w:rsidP="00343562">
      <w:pPr>
        <w:pStyle w:val="Ttulo2"/>
        <w:rPr>
          <w:b w:val="0"/>
          <w:sz w:val="32"/>
          <w:szCs w:val="32"/>
        </w:rPr>
      </w:pPr>
      <w:bookmarkStart w:id="26" w:name="_Toc471999537"/>
      <w:r w:rsidRPr="00ED26C2">
        <w:rPr>
          <w:b w:val="0"/>
          <w:sz w:val="32"/>
          <w:szCs w:val="32"/>
        </w:rPr>
        <w:t>Conclusiones</w:t>
      </w:r>
      <w:bookmarkEnd w:id="26"/>
    </w:p>
    <w:p w14:paraId="23FE21B7" w14:textId="77777777" w:rsidR="0097787A" w:rsidRDefault="0097787A" w:rsidP="0097787A">
      <w:pPr>
        <w:pStyle w:val="Encabezado"/>
        <w:spacing w:before="240"/>
        <w:jc w:val="both"/>
        <w:rPr>
          <w:rFonts w:cs="Arial"/>
          <w:bCs/>
          <w:color w:val="000000"/>
          <w:sz w:val="24"/>
        </w:rPr>
      </w:pPr>
      <w:r w:rsidRPr="0097787A">
        <w:rPr>
          <w:rFonts w:cs="Arial"/>
          <w:bCs/>
          <w:color w:val="000000"/>
          <w:sz w:val="24"/>
        </w:rPr>
        <w:t>Las siguientes conclusiones se refieren al universo muestreado, 9 plantas, y considerando los datos productivos del año 2015.</w:t>
      </w:r>
    </w:p>
    <w:p w14:paraId="397AED41" w14:textId="77777777" w:rsidR="0097787A" w:rsidRPr="0097787A" w:rsidRDefault="0097787A" w:rsidP="0097787A">
      <w:pPr>
        <w:pStyle w:val="Encabezado"/>
        <w:spacing w:before="240"/>
        <w:jc w:val="both"/>
        <w:rPr>
          <w:rFonts w:cs="Arial"/>
          <w:bCs/>
          <w:color w:val="000000"/>
          <w:sz w:val="24"/>
        </w:rPr>
      </w:pPr>
    </w:p>
    <w:p w14:paraId="7F4BE590" w14:textId="77777777" w:rsidR="0097787A" w:rsidRDefault="0097787A" w:rsidP="00724EA7">
      <w:pPr>
        <w:spacing w:after="0" w:line="240" w:lineRule="auto"/>
        <w:jc w:val="both"/>
        <w:rPr>
          <w:sz w:val="24"/>
          <w:szCs w:val="24"/>
          <w:u w:val="single"/>
          <w:lang w:eastAsia="es-CL"/>
        </w:rPr>
      </w:pPr>
      <w:r w:rsidRPr="0097787A">
        <w:rPr>
          <w:sz w:val="24"/>
          <w:szCs w:val="24"/>
          <w:u w:val="single"/>
          <w:lang w:eastAsia="es-CL"/>
        </w:rPr>
        <w:t>Fuerza laboral</w:t>
      </w:r>
    </w:p>
    <w:p w14:paraId="43735793" w14:textId="479A0734" w:rsidR="0097787A" w:rsidRPr="0097787A" w:rsidRDefault="0097787A" w:rsidP="00724EA7">
      <w:pPr>
        <w:spacing w:after="0" w:line="240" w:lineRule="auto"/>
        <w:jc w:val="both"/>
        <w:rPr>
          <w:sz w:val="24"/>
          <w:szCs w:val="24"/>
          <w:u w:val="single"/>
          <w:lang w:eastAsia="es-CL"/>
        </w:rPr>
      </w:pPr>
      <w:r w:rsidRPr="0097787A">
        <w:rPr>
          <w:rFonts w:cs="Arial"/>
          <w:bCs/>
          <w:color w:val="000000"/>
          <w:sz w:val="24"/>
        </w:rPr>
        <w:t>•</w:t>
      </w:r>
      <w:r w:rsidR="00724EA7">
        <w:rPr>
          <w:rFonts w:cs="Arial"/>
          <w:bCs/>
          <w:color w:val="000000"/>
          <w:sz w:val="24"/>
        </w:rPr>
        <w:t xml:space="preserve"> </w:t>
      </w:r>
      <w:r w:rsidRPr="0097787A">
        <w:rPr>
          <w:rFonts w:cs="Arial"/>
          <w:bCs/>
          <w:color w:val="000000"/>
          <w:sz w:val="24"/>
        </w:rPr>
        <w:t xml:space="preserve">Durante el mes </w:t>
      </w:r>
      <w:proofErr w:type="spellStart"/>
      <w:r w:rsidRPr="0097787A">
        <w:rPr>
          <w:rFonts w:cs="Arial"/>
          <w:bCs/>
          <w:color w:val="000000"/>
          <w:sz w:val="24"/>
        </w:rPr>
        <w:t>peak</w:t>
      </w:r>
      <w:proofErr w:type="spellEnd"/>
      <w:r w:rsidRPr="0097787A">
        <w:rPr>
          <w:rFonts w:cs="Arial"/>
          <w:bCs/>
          <w:color w:val="000000"/>
          <w:sz w:val="24"/>
        </w:rPr>
        <w:t xml:space="preserve"> de producción, Marzo, las plantas mantuvieron 354 trabajadores en promedio. Un 60% de estos fueron mujeres y el restante 40% hombres. </w:t>
      </w:r>
    </w:p>
    <w:p w14:paraId="3AF36AB5" w14:textId="7B13240A" w:rsidR="0097787A" w:rsidRPr="0097787A" w:rsidRDefault="0097787A" w:rsidP="00724EA7">
      <w:pPr>
        <w:pStyle w:val="Encabezado"/>
        <w:jc w:val="both"/>
        <w:rPr>
          <w:rFonts w:cs="Arial"/>
          <w:bCs/>
          <w:color w:val="000000"/>
          <w:sz w:val="24"/>
        </w:rPr>
      </w:pPr>
      <w:r w:rsidRPr="0097787A">
        <w:rPr>
          <w:rFonts w:cs="Arial"/>
          <w:bCs/>
          <w:color w:val="000000"/>
          <w:sz w:val="24"/>
        </w:rPr>
        <w:lastRenderedPageBreak/>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Un 39% de los trabajadores cuentan con contrato indefinido, el restante 61% cuenta con contrato temporal.</w:t>
      </w:r>
    </w:p>
    <w:p w14:paraId="27518676" w14:textId="285A7EC8" w:rsidR="0097787A" w:rsidRPr="0097787A" w:rsidRDefault="0097787A" w:rsidP="00724EA7">
      <w:pPr>
        <w:pStyle w:val="Encabezado"/>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 xml:space="preserve">El 44% de plantas que informaron el nivel de escolaridad de sus trabajadores indicaron que un 52% ha cursado la educación básica, un 33% la enseñanza media y un 7% enseñanza profesional técnica y estudios superiores. </w:t>
      </w:r>
    </w:p>
    <w:p w14:paraId="0157C95E" w14:textId="32BE8EC1" w:rsidR="0097787A" w:rsidRPr="0097787A" w:rsidRDefault="0097787A" w:rsidP="00724EA7">
      <w:pPr>
        <w:pStyle w:val="Encabezado"/>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Al considerar los datos de producción de las plantas se obtienen una relación promedio de 16 ton de producto final producidas por un trabajador.</w:t>
      </w:r>
    </w:p>
    <w:p w14:paraId="6B4B0E6B" w14:textId="77777777" w:rsidR="0097787A" w:rsidRDefault="0097787A" w:rsidP="00724EA7">
      <w:pPr>
        <w:spacing w:before="240" w:line="240" w:lineRule="auto"/>
        <w:jc w:val="both"/>
        <w:rPr>
          <w:sz w:val="24"/>
          <w:szCs w:val="24"/>
          <w:u w:val="single"/>
          <w:lang w:eastAsia="es-CL"/>
        </w:rPr>
      </w:pPr>
    </w:p>
    <w:p w14:paraId="2BF9E7EF" w14:textId="77777777" w:rsidR="0097787A" w:rsidRDefault="0097787A" w:rsidP="00724EA7">
      <w:pPr>
        <w:spacing w:after="0" w:line="240" w:lineRule="auto"/>
        <w:jc w:val="both"/>
        <w:rPr>
          <w:sz w:val="24"/>
          <w:szCs w:val="24"/>
          <w:u w:val="single"/>
          <w:lang w:eastAsia="es-CL"/>
        </w:rPr>
      </w:pPr>
      <w:r w:rsidRPr="0097787A">
        <w:rPr>
          <w:sz w:val="24"/>
          <w:szCs w:val="24"/>
          <w:u w:val="single"/>
          <w:lang w:eastAsia="es-CL"/>
        </w:rPr>
        <w:t>Insumos</w:t>
      </w:r>
    </w:p>
    <w:p w14:paraId="42AE5A4C" w14:textId="260F45CE" w:rsidR="0097787A" w:rsidRPr="0097787A" w:rsidRDefault="0097787A" w:rsidP="00724EA7">
      <w:pPr>
        <w:spacing w:after="0" w:line="240" w:lineRule="auto"/>
        <w:jc w:val="both"/>
        <w:rPr>
          <w:rFonts w:cs="Arial"/>
          <w:bCs/>
          <w:color w:val="000000"/>
          <w:sz w:val="24"/>
        </w:rPr>
      </w:pPr>
      <w:r w:rsidRPr="0097787A">
        <w:rPr>
          <w:rFonts w:cs="Arial"/>
          <w:bCs/>
          <w:color w:val="000000"/>
          <w:sz w:val="24"/>
        </w:rPr>
        <w:t>•</w:t>
      </w:r>
      <w:r w:rsidR="00724EA7">
        <w:rPr>
          <w:rFonts w:cs="Arial"/>
          <w:bCs/>
          <w:color w:val="000000"/>
          <w:sz w:val="24"/>
        </w:rPr>
        <w:t xml:space="preserve"> </w:t>
      </w:r>
      <w:r w:rsidRPr="0097787A">
        <w:rPr>
          <w:rFonts w:cs="Arial"/>
          <w:bCs/>
          <w:color w:val="000000"/>
          <w:sz w:val="24"/>
        </w:rPr>
        <w:t xml:space="preserve">La mayor parte de los insumos utilizados por las plantas de proceso están relacionados con insumos de producción, específicamente los de empaque, los que mayoritariamente provienen de materiales plásticos y cartón, los que posteriormente pasan a formar parte de los residuos sólidos de las empresas. </w:t>
      </w:r>
    </w:p>
    <w:p w14:paraId="35CAF1A9" w14:textId="32F5B3B9" w:rsidR="0097787A" w:rsidRPr="0097787A" w:rsidRDefault="0097787A" w:rsidP="00724EA7">
      <w:pPr>
        <w:pStyle w:val="Encabezado"/>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 xml:space="preserve">Los principales insumos en promedio utilizados fueron: bolsas plásticas (355.598 u/Mil Ton PF), etiquetas (345.394 u/ Mil Ton PF), cajas de cartón (154.794 u/ Mil Ton PF), mallas (59.318 u/ Mil Ton PF). </w:t>
      </w:r>
    </w:p>
    <w:p w14:paraId="45A5ACAC" w14:textId="77777777" w:rsidR="0097787A" w:rsidRPr="0097787A" w:rsidRDefault="0097787A" w:rsidP="00724EA7">
      <w:pPr>
        <w:pStyle w:val="Encabezado"/>
        <w:spacing w:before="240"/>
        <w:jc w:val="both"/>
        <w:rPr>
          <w:rFonts w:cs="Arial"/>
          <w:bCs/>
          <w:color w:val="000000"/>
          <w:sz w:val="24"/>
        </w:rPr>
      </w:pPr>
    </w:p>
    <w:p w14:paraId="60655438" w14:textId="77777777" w:rsidR="0097787A" w:rsidRDefault="0097787A" w:rsidP="00724EA7">
      <w:pPr>
        <w:spacing w:after="0" w:line="240" w:lineRule="auto"/>
        <w:jc w:val="both"/>
        <w:rPr>
          <w:sz w:val="24"/>
          <w:szCs w:val="24"/>
          <w:u w:val="single"/>
          <w:lang w:eastAsia="es-CL"/>
        </w:rPr>
      </w:pPr>
      <w:r w:rsidRPr="0097787A">
        <w:rPr>
          <w:sz w:val="24"/>
          <w:szCs w:val="24"/>
          <w:u w:val="single"/>
          <w:lang w:eastAsia="es-CL"/>
        </w:rPr>
        <w:t>Agua</w:t>
      </w:r>
    </w:p>
    <w:p w14:paraId="066D33C7" w14:textId="71306CBD" w:rsidR="0097787A" w:rsidRPr="0097787A" w:rsidRDefault="0097787A" w:rsidP="00724EA7">
      <w:pPr>
        <w:spacing w:after="0" w:line="240" w:lineRule="auto"/>
        <w:jc w:val="both"/>
        <w:rPr>
          <w:rFonts w:cs="Arial"/>
          <w:bCs/>
          <w:color w:val="000000"/>
          <w:sz w:val="24"/>
        </w:rPr>
      </w:pPr>
      <w:r w:rsidRPr="0097787A">
        <w:rPr>
          <w:rFonts w:cs="Arial"/>
          <w:bCs/>
          <w:color w:val="000000"/>
          <w:sz w:val="24"/>
        </w:rPr>
        <w:t>•</w:t>
      </w:r>
      <w:r w:rsidR="00724EA7">
        <w:rPr>
          <w:rFonts w:cs="Arial"/>
          <w:bCs/>
          <w:color w:val="000000"/>
          <w:sz w:val="24"/>
        </w:rPr>
        <w:t xml:space="preserve"> </w:t>
      </w:r>
      <w:r w:rsidRPr="0097787A">
        <w:rPr>
          <w:rFonts w:cs="Arial"/>
          <w:bCs/>
          <w:color w:val="000000"/>
          <w:sz w:val="24"/>
        </w:rPr>
        <w:t xml:space="preserve">El consumo de agua promedio de las plantas es de 506.737 (M3). De este promedio 265.418 (M3) corresponde a agua dulce, la cual es utilizada por el 100% de las plantas, y 241.319 (M3) corresponde a agua de mar, la cual les utilizada por un 56% de las plantas. </w:t>
      </w:r>
    </w:p>
    <w:p w14:paraId="26680A13" w14:textId="69C88891" w:rsidR="0097787A" w:rsidRPr="0097787A" w:rsidRDefault="0097787A" w:rsidP="00724EA7">
      <w:pPr>
        <w:pStyle w:val="Encabezado"/>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 xml:space="preserve">Para producir una tonelada de producto final las plantas consumen, en promedio, 115 (M3/Ton) de agua. </w:t>
      </w:r>
    </w:p>
    <w:p w14:paraId="005737E6" w14:textId="4D2C10E5" w:rsidR="0097787A" w:rsidRPr="0097787A" w:rsidRDefault="0097787A" w:rsidP="00724EA7">
      <w:pPr>
        <w:pStyle w:val="Encabezado"/>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Solo una planta utiliza un sistema de recirculación de agua el que le permite reducir sus consumos.</w:t>
      </w:r>
    </w:p>
    <w:p w14:paraId="52E87E50" w14:textId="77777777" w:rsidR="00FB2053" w:rsidRDefault="00FB2053" w:rsidP="00724EA7">
      <w:pPr>
        <w:spacing w:before="240" w:line="240" w:lineRule="auto"/>
        <w:jc w:val="both"/>
        <w:rPr>
          <w:sz w:val="24"/>
          <w:szCs w:val="24"/>
          <w:u w:val="single"/>
          <w:lang w:eastAsia="es-CL"/>
        </w:rPr>
      </w:pPr>
    </w:p>
    <w:p w14:paraId="55CA8B82" w14:textId="77777777" w:rsidR="00FB2053" w:rsidRDefault="00FB2053" w:rsidP="00724EA7">
      <w:pPr>
        <w:spacing w:after="0" w:line="240" w:lineRule="auto"/>
        <w:jc w:val="both"/>
        <w:rPr>
          <w:sz w:val="24"/>
          <w:szCs w:val="24"/>
          <w:u w:val="single"/>
          <w:lang w:eastAsia="es-CL"/>
        </w:rPr>
      </w:pPr>
      <w:r>
        <w:rPr>
          <w:sz w:val="24"/>
          <w:szCs w:val="24"/>
          <w:u w:val="single"/>
          <w:lang w:eastAsia="es-CL"/>
        </w:rPr>
        <w:t>Consumo de Energía Eléctrica</w:t>
      </w:r>
    </w:p>
    <w:p w14:paraId="5CEBC3A1" w14:textId="0C17C6C7" w:rsidR="0097787A" w:rsidRPr="0097787A" w:rsidRDefault="0097787A" w:rsidP="00724EA7">
      <w:pPr>
        <w:spacing w:after="0" w:line="240" w:lineRule="auto"/>
        <w:jc w:val="both"/>
        <w:rPr>
          <w:rFonts w:cs="Arial"/>
          <w:bCs/>
          <w:color w:val="000000"/>
          <w:sz w:val="24"/>
        </w:rPr>
      </w:pPr>
      <w:r w:rsidRPr="0097787A">
        <w:rPr>
          <w:rFonts w:cs="Arial"/>
          <w:bCs/>
          <w:color w:val="000000"/>
          <w:sz w:val="24"/>
        </w:rPr>
        <w:t>•</w:t>
      </w:r>
      <w:r w:rsidR="00724EA7">
        <w:rPr>
          <w:rFonts w:cs="Arial"/>
          <w:bCs/>
          <w:color w:val="000000"/>
          <w:sz w:val="24"/>
        </w:rPr>
        <w:t xml:space="preserve"> </w:t>
      </w:r>
      <w:r w:rsidRPr="0097787A">
        <w:rPr>
          <w:rFonts w:cs="Arial"/>
          <w:bCs/>
          <w:color w:val="000000"/>
          <w:sz w:val="24"/>
        </w:rPr>
        <w:t>El consumo promedio de energía eléctrica utilizada por las plantas fue de 4.030.245(</w:t>
      </w:r>
      <w:proofErr w:type="spellStart"/>
      <w:r w:rsidRPr="0097787A">
        <w:rPr>
          <w:rFonts w:cs="Arial"/>
          <w:bCs/>
          <w:color w:val="000000"/>
          <w:sz w:val="24"/>
        </w:rPr>
        <w:t>KWh</w:t>
      </w:r>
      <w:proofErr w:type="spellEnd"/>
      <w:r w:rsidRPr="0097787A">
        <w:rPr>
          <w:rFonts w:cs="Arial"/>
          <w:bCs/>
          <w:color w:val="000000"/>
          <w:sz w:val="24"/>
        </w:rPr>
        <w:t xml:space="preserve">). Para producir una tonelada de producto final las plantas utilizaron, en promedio, 852 </w:t>
      </w:r>
      <w:proofErr w:type="spellStart"/>
      <w:r w:rsidRPr="0097787A">
        <w:rPr>
          <w:rFonts w:cs="Arial"/>
          <w:bCs/>
          <w:color w:val="000000"/>
          <w:sz w:val="24"/>
        </w:rPr>
        <w:t>KWh</w:t>
      </w:r>
      <w:proofErr w:type="spellEnd"/>
      <w:r w:rsidRPr="0097787A">
        <w:rPr>
          <w:rFonts w:cs="Arial"/>
          <w:bCs/>
          <w:color w:val="000000"/>
          <w:sz w:val="24"/>
        </w:rPr>
        <w:t>/Ton.</w:t>
      </w:r>
    </w:p>
    <w:p w14:paraId="374F3A72" w14:textId="77777777" w:rsidR="0097787A" w:rsidRPr="0097787A" w:rsidRDefault="0097787A" w:rsidP="00724EA7">
      <w:pPr>
        <w:pStyle w:val="Encabezado"/>
        <w:spacing w:before="240"/>
        <w:jc w:val="both"/>
        <w:rPr>
          <w:rFonts w:cs="Arial"/>
          <w:bCs/>
          <w:color w:val="000000"/>
          <w:sz w:val="24"/>
        </w:rPr>
      </w:pPr>
    </w:p>
    <w:p w14:paraId="1198B082" w14:textId="77777777" w:rsidR="00FB2053" w:rsidRDefault="0097787A" w:rsidP="00724EA7">
      <w:pPr>
        <w:spacing w:after="0" w:line="240" w:lineRule="auto"/>
        <w:jc w:val="both"/>
        <w:rPr>
          <w:sz w:val="24"/>
          <w:szCs w:val="24"/>
          <w:u w:val="single"/>
          <w:lang w:eastAsia="es-CL"/>
        </w:rPr>
      </w:pPr>
      <w:r w:rsidRPr="0097787A">
        <w:rPr>
          <w:sz w:val="24"/>
          <w:szCs w:val="24"/>
          <w:u w:val="single"/>
          <w:lang w:eastAsia="es-CL"/>
        </w:rPr>
        <w:t>Consumo de Combustible</w:t>
      </w:r>
    </w:p>
    <w:p w14:paraId="15C1FFF2" w14:textId="113B66D5" w:rsidR="0097787A" w:rsidRPr="0097787A" w:rsidRDefault="0097787A" w:rsidP="00724EA7">
      <w:pPr>
        <w:spacing w:after="0" w:line="240" w:lineRule="auto"/>
        <w:jc w:val="both"/>
        <w:rPr>
          <w:rFonts w:cs="Arial"/>
          <w:bCs/>
          <w:color w:val="000000"/>
          <w:sz w:val="24"/>
        </w:rPr>
      </w:pPr>
      <w:r w:rsidRPr="0097787A">
        <w:rPr>
          <w:rFonts w:cs="Arial"/>
          <w:bCs/>
          <w:color w:val="000000"/>
          <w:sz w:val="24"/>
        </w:rPr>
        <w:t>•</w:t>
      </w:r>
      <w:r w:rsidR="00724EA7">
        <w:rPr>
          <w:rFonts w:cs="Arial"/>
          <w:bCs/>
          <w:color w:val="000000"/>
          <w:sz w:val="24"/>
        </w:rPr>
        <w:t xml:space="preserve"> </w:t>
      </w:r>
      <w:r w:rsidRPr="0097787A">
        <w:rPr>
          <w:rFonts w:cs="Arial"/>
          <w:bCs/>
          <w:color w:val="000000"/>
          <w:sz w:val="24"/>
        </w:rPr>
        <w:t>El diésel es utilizado por un 78% de las plantas como combustible para algunos de sus procesos, mientras que el gas y la leña es utilizado solo por un 11% de las plantas respectivamente. Para producir una tonelada de producto final las plantas utilizan, en promedio, 111 L/ton de petróleo, 6 L/Ton de bencina, 12 L/Ton de gas y 0,16 Mt/Ton de Lena….esta dato debe ser confirmado respecto a mi consulta en el reporte.</w:t>
      </w:r>
    </w:p>
    <w:p w14:paraId="4E84A687" w14:textId="2EE4C1C3" w:rsidR="0097787A" w:rsidRPr="0097787A" w:rsidRDefault="0097787A" w:rsidP="00724EA7">
      <w:pPr>
        <w:pStyle w:val="Encabezado"/>
        <w:spacing w:before="240"/>
        <w:jc w:val="both"/>
        <w:rPr>
          <w:rFonts w:cs="Arial"/>
          <w:bCs/>
          <w:color w:val="000000"/>
          <w:sz w:val="24"/>
        </w:rPr>
      </w:pPr>
      <w:r w:rsidRPr="0097787A">
        <w:rPr>
          <w:rFonts w:cs="Arial"/>
          <w:bCs/>
          <w:color w:val="000000"/>
          <w:sz w:val="24"/>
        </w:rPr>
        <w:lastRenderedPageBreak/>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 xml:space="preserve">Se evidenció que las plantas, en general, no cuentan en sus líneas de producción con medidores de caudal o </w:t>
      </w:r>
      <w:proofErr w:type="spellStart"/>
      <w:r w:rsidRPr="0097787A">
        <w:rPr>
          <w:rFonts w:cs="Arial"/>
          <w:bCs/>
          <w:color w:val="000000"/>
          <w:sz w:val="24"/>
        </w:rPr>
        <w:t>flujómetros</w:t>
      </w:r>
      <w:proofErr w:type="spellEnd"/>
      <w:r w:rsidRPr="0097787A">
        <w:rPr>
          <w:rFonts w:cs="Arial"/>
          <w:bCs/>
          <w:color w:val="000000"/>
          <w:sz w:val="24"/>
        </w:rPr>
        <w:t>, instrumento utilizado para la medir el caudal o gasto volumétrico de un fluido.</w:t>
      </w:r>
    </w:p>
    <w:p w14:paraId="51F56B0C" w14:textId="77777777" w:rsidR="0097787A" w:rsidRPr="0097787A" w:rsidRDefault="0097787A" w:rsidP="00724EA7">
      <w:pPr>
        <w:pStyle w:val="Encabezado"/>
        <w:spacing w:before="240"/>
        <w:jc w:val="both"/>
        <w:rPr>
          <w:rFonts w:cs="Arial"/>
          <w:bCs/>
          <w:color w:val="000000"/>
          <w:sz w:val="24"/>
        </w:rPr>
      </w:pPr>
    </w:p>
    <w:p w14:paraId="1A0F011F" w14:textId="77777777" w:rsidR="00FB2053" w:rsidRDefault="0097787A" w:rsidP="00724EA7">
      <w:pPr>
        <w:spacing w:after="0" w:line="240" w:lineRule="auto"/>
        <w:jc w:val="both"/>
        <w:rPr>
          <w:sz w:val="24"/>
          <w:szCs w:val="24"/>
          <w:u w:val="single"/>
          <w:lang w:eastAsia="es-CL"/>
        </w:rPr>
      </w:pPr>
      <w:r w:rsidRPr="0097787A">
        <w:rPr>
          <w:sz w:val="24"/>
          <w:szCs w:val="24"/>
          <w:u w:val="single"/>
          <w:lang w:eastAsia="es-CL"/>
        </w:rPr>
        <w:t>Residuos</w:t>
      </w:r>
    </w:p>
    <w:p w14:paraId="7E192066" w14:textId="68205B51" w:rsidR="0097787A" w:rsidRPr="0097787A" w:rsidRDefault="0097787A" w:rsidP="00724EA7">
      <w:pPr>
        <w:spacing w:after="0" w:line="240" w:lineRule="auto"/>
        <w:jc w:val="both"/>
        <w:rPr>
          <w:rFonts w:cs="Arial"/>
          <w:bCs/>
          <w:color w:val="000000"/>
          <w:sz w:val="24"/>
        </w:rPr>
      </w:pPr>
      <w:r w:rsidRPr="0097787A">
        <w:rPr>
          <w:rFonts w:cs="Arial"/>
          <w:bCs/>
          <w:color w:val="000000"/>
          <w:sz w:val="24"/>
        </w:rPr>
        <w:t>•</w:t>
      </w:r>
      <w:r w:rsidR="00724EA7">
        <w:rPr>
          <w:rFonts w:cs="Arial"/>
          <w:bCs/>
          <w:color w:val="000000"/>
          <w:sz w:val="24"/>
        </w:rPr>
        <w:t xml:space="preserve"> </w:t>
      </w:r>
      <w:r w:rsidRPr="0097787A">
        <w:rPr>
          <w:rFonts w:cs="Arial"/>
          <w:bCs/>
          <w:color w:val="000000"/>
          <w:sz w:val="24"/>
        </w:rPr>
        <w:t>La mayor parte de los residuos generados por las plantas de proceso están relacionados con residuos de producción y corresponden mayoritariamente a residuos líquidos, RILES (97,4 M3/Ton), seguido por residuos sólidos, mayoritariamente conchillas (2,3 M3/Ton), materiales de empaque (cartón y plásticos) y basura domiciliaria (1,9 M3/Ton) y residuos peligrosos (0,6 Kg/Ton).</w:t>
      </w:r>
    </w:p>
    <w:p w14:paraId="24FCE01E" w14:textId="3C5C1C73" w:rsidR="0097787A" w:rsidRPr="0097787A" w:rsidRDefault="0097787A" w:rsidP="00724EA7">
      <w:pPr>
        <w:pStyle w:val="Encabezado"/>
        <w:spacing w:before="240"/>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Con respecto a los residuos líquidos, un 89% de las plantas descarga sus RILES fuera de la zona de protección litoral y, por lo tanto, deben cumplir con lo establecido en la Tabla N°4 del D.S 90/2000. El restante 11% de las plantas realiza la descarga dentro la zona de protección litoral, regida por la Tabla N°5. El volumen total de RILES generados por las plantas fue de 3.840.249 M3 y, en promedio, 548.607 M3.</w:t>
      </w:r>
    </w:p>
    <w:p w14:paraId="142EAA81" w14:textId="34BC4271" w:rsidR="0097787A" w:rsidRPr="0097787A" w:rsidRDefault="0097787A" w:rsidP="00724EA7">
      <w:pPr>
        <w:pStyle w:val="Encabezado"/>
        <w:spacing w:before="240"/>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Con respecto a los residuos sólidos generados, las conchillas fueron mencionadas por un 86% de las plantas, seguido de los materiales de empaque (cartón y plásticos), mencionados un 57%, basura domiciliaria, un 43%, fauna acompañante y chatarra, un 29%, y pecheras y guantes, mencionados por un 14% la las plantas. El volumen total de residuos sólidos generados por las plantas fue de 84.811 (M3), y 10.601 (M3) en promedio.</w:t>
      </w:r>
    </w:p>
    <w:p w14:paraId="5D4FD4E7" w14:textId="354DBAA6" w:rsidR="0097787A" w:rsidRPr="0097787A" w:rsidRDefault="0097787A" w:rsidP="00724EA7">
      <w:pPr>
        <w:pStyle w:val="Encabezado"/>
        <w:spacing w:before="240"/>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Se evidenció que todas las plantas identifican los componentes de sus residuos sólidos, sin embargo, sólo algunas los separan, ya sea para reciclaje, reutilización o para destino final.</w:t>
      </w:r>
    </w:p>
    <w:p w14:paraId="5AA78B0B" w14:textId="77777777" w:rsidR="0097787A" w:rsidRPr="0097787A" w:rsidRDefault="0097787A" w:rsidP="00724EA7">
      <w:pPr>
        <w:pStyle w:val="Encabezado"/>
        <w:spacing w:before="240"/>
        <w:jc w:val="both"/>
        <w:rPr>
          <w:rFonts w:cs="Arial"/>
          <w:bCs/>
          <w:color w:val="000000"/>
          <w:sz w:val="24"/>
        </w:rPr>
      </w:pPr>
    </w:p>
    <w:p w14:paraId="754FA15D" w14:textId="77777777" w:rsidR="00FB2053" w:rsidRDefault="0097787A" w:rsidP="00724EA7">
      <w:pPr>
        <w:spacing w:after="0" w:line="240" w:lineRule="auto"/>
        <w:jc w:val="both"/>
        <w:rPr>
          <w:sz w:val="24"/>
          <w:szCs w:val="24"/>
          <w:u w:val="single"/>
          <w:lang w:eastAsia="es-CL"/>
        </w:rPr>
      </w:pPr>
      <w:r w:rsidRPr="0097787A">
        <w:rPr>
          <w:sz w:val="24"/>
          <w:szCs w:val="24"/>
          <w:u w:val="single"/>
          <w:lang w:eastAsia="es-CL"/>
        </w:rPr>
        <w:t>Conchillas</w:t>
      </w:r>
    </w:p>
    <w:p w14:paraId="298D53E4" w14:textId="129F65EB" w:rsidR="0097787A" w:rsidRPr="0097787A" w:rsidRDefault="0097787A" w:rsidP="00724EA7">
      <w:pPr>
        <w:spacing w:after="0" w:line="240" w:lineRule="auto"/>
        <w:jc w:val="both"/>
        <w:rPr>
          <w:rFonts w:cs="Arial"/>
          <w:bCs/>
          <w:color w:val="000000"/>
          <w:sz w:val="24"/>
        </w:rPr>
      </w:pPr>
      <w:r w:rsidRPr="0097787A">
        <w:rPr>
          <w:rFonts w:cs="Arial"/>
          <w:bCs/>
          <w:color w:val="000000"/>
          <w:sz w:val="24"/>
        </w:rPr>
        <w:t>•</w:t>
      </w:r>
      <w:r w:rsidR="00724EA7">
        <w:rPr>
          <w:rFonts w:cs="Arial"/>
          <w:bCs/>
          <w:color w:val="000000"/>
          <w:sz w:val="24"/>
        </w:rPr>
        <w:t xml:space="preserve"> </w:t>
      </w:r>
      <w:r w:rsidRPr="0097787A">
        <w:rPr>
          <w:rFonts w:cs="Arial"/>
          <w:bCs/>
          <w:color w:val="000000"/>
          <w:sz w:val="24"/>
        </w:rPr>
        <w:t xml:space="preserve">El destino final de las conchillas mencionado por un 63% de las plantas fue Cal Austral, empresa que procesó un 27% de las conchillas generada por la industria. Los otros destinatarios mencionados fueron una empresa particular no identificada, </w:t>
      </w:r>
      <w:proofErr w:type="spellStart"/>
      <w:r w:rsidRPr="0097787A">
        <w:rPr>
          <w:rFonts w:cs="Arial"/>
          <w:bCs/>
          <w:color w:val="000000"/>
          <w:sz w:val="24"/>
        </w:rPr>
        <w:t>Resiter</w:t>
      </w:r>
      <w:proofErr w:type="spellEnd"/>
      <w:r w:rsidRPr="0097787A">
        <w:rPr>
          <w:rFonts w:cs="Arial"/>
          <w:bCs/>
          <w:color w:val="000000"/>
          <w:sz w:val="24"/>
        </w:rPr>
        <w:t xml:space="preserve"> y la planta de cal propia de una de las plantas procesadoras, alternativa, esta última, que favorece la revalorización del residuo en forma interna, disminuyendo los gastos de transporte, servicio de retiro y disposición final de las conchillas.</w:t>
      </w:r>
    </w:p>
    <w:p w14:paraId="2DD81FC1" w14:textId="77777777" w:rsidR="0097787A" w:rsidRPr="0097787A" w:rsidRDefault="0097787A" w:rsidP="00724EA7">
      <w:pPr>
        <w:pStyle w:val="Encabezado"/>
        <w:spacing w:before="240"/>
        <w:jc w:val="both"/>
        <w:rPr>
          <w:rFonts w:cs="Arial"/>
          <w:bCs/>
          <w:color w:val="000000"/>
          <w:sz w:val="24"/>
        </w:rPr>
      </w:pPr>
    </w:p>
    <w:p w14:paraId="558039D6" w14:textId="77777777" w:rsidR="00FB2053" w:rsidRDefault="0097787A" w:rsidP="00724EA7">
      <w:pPr>
        <w:spacing w:after="0" w:line="240" w:lineRule="auto"/>
        <w:jc w:val="both"/>
        <w:rPr>
          <w:sz w:val="24"/>
          <w:szCs w:val="24"/>
          <w:u w:val="single"/>
          <w:lang w:eastAsia="es-CL"/>
        </w:rPr>
      </w:pPr>
      <w:r w:rsidRPr="0097787A">
        <w:rPr>
          <w:sz w:val="24"/>
          <w:szCs w:val="24"/>
          <w:u w:val="single"/>
          <w:lang w:eastAsia="es-CL"/>
        </w:rPr>
        <w:t>Residuos Peligrosos</w:t>
      </w:r>
    </w:p>
    <w:p w14:paraId="5AA55085" w14:textId="439DB341" w:rsidR="0097787A" w:rsidRPr="0097787A" w:rsidRDefault="0097787A" w:rsidP="00724EA7">
      <w:pPr>
        <w:spacing w:after="0" w:line="240" w:lineRule="auto"/>
        <w:jc w:val="both"/>
        <w:rPr>
          <w:rFonts w:cs="Arial"/>
          <w:bCs/>
          <w:color w:val="000000"/>
          <w:sz w:val="24"/>
        </w:rPr>
      </w:pPr>
      <w:r w:rsidRPr="0097787A">
        <w:rPr>
          <w:rFonts w:cs="Arial"/>
          <w:bCs/>
          <w:color w:val="000000"/>
          <w:sz w:val="24"/>
        </w:rPr>
        <w:t>•</w:t>
      </w:r>
      <w:r w:rsidR="00724EA7">
        <w:rPr>
          <w:rFonts w:cs="Arial"/>
          <w:bCs/>
          <w:color w:val="000000"/>
          <w:sz w:val="24"/>
        </w:rPr>
        <w:t xml:space="preserve"> </w:t>
      </w:r>
      <w:r w:rsidRPr="0097787A">
        <w:rPr>
          <w:rFonts w:cs="Arial"/>
          <w:bCs/>
          <w:color w:val="000000"/>
          <w:sz w:val="24"/>
        </w:rPr>
        <w:t>Los aceites son los residuos peligrosos mencionados mayoritariamente por las plantas, un 75%, seguido por tubos fluorescentes y baterías, un 50%, paños, pilas, envases de pintura y diluyente, un 38%, y, finalmente, filtros y bombonas de refrigerantes, un 25%. El volumen total de residuos peligrosos generados por las empresas fue 30.698 (Kg) y, en promedio, cada planta de proceso generó alrededor de 3.411 (Kg).</w:t>
      </w:r>
    </w:p>
    <w:p w14:paraId="6B4BF4DD" w14:textId="77777777" w:rsidR="00724EA7" w:rsidRDefault="00724EA7" w:rsidP="00724EA7">
      <w:pPr>
        <w:spacing w:after="0" w:line="240" w:lineRule="auto"/>
        <w:jc w:val="both"/>
        <w:rPr>
          <w:sz w:val="24"/>
          <w:szCs w:val="24"/>
          <w:u w:val="single"/>
          <w:lang w:eastAsia="es-CL"/>
        </w:rPr>
      </w:pPr>
    </w:p>
    <w:p w14:paraId="59B60477" w14:textId="77777777" w:rsidR="00FB2053" w:rsidRDefault="0097787A" w:rsidP="00724EA7">
      <w:pPr>
        <w:spacing w:after="0" w:line="240" w:lineRule="auto"/>
        <w:jc w:val="both"/>
        <w:rPr>
          <w:sz w:val="24"/>
          <w:szCs w:val="24"/>
          <w:u w:val="single"/>
          <w:lang w:eastAsia="es-CL"/>
        </w:rPr>
      </w:pPr>
      <w:r w:rsidRPr="0097787A">
        <w:rPr>
          <w:sz w:val="24"/>
          <w:szCs w:val="24"/>
          <w:u w:val="single"/>
          <w:lang w:eastAsia="es-CL"/>
        </w:rPr>
        <w:t>Energía y Eficiencia Energética</w:t>
      </w:r>
    </w:p>
    <w:p w14:paraId="3C5BFEA2" w14:textId="5ABEBBF4" w:rsidR="0097787A" w:rsidRPr="0097787A" w:rsidRDefault="0097787A" w:rsidP="00724EA7">
      <w:pPr>
        <w:spacing w:after="0" w:line="240" w:lineRule="auto"/>
        <w:jc w:val="both"/>
        <w:rPr>
          <w:rFonts w:cs="Arial"/>
          <w:bCs/>
          <w:color w:val="000000"/>
          <w:sz w:val="24"/>
        </w:rPr>
      </w:pPr>
      <w:r w:rsidRPr="0097787A">
        <w:rPr>
          <w:rFonts w:cs="Arial"/>
          <w:bCs/>
          <w:color w:val="000000"/>
          <w:sz w:val="24"/>
        </w:rPr>
        <w:lastRenderedPageBreak/>
        <w:t>•</w:t>
      </w:r>
      <w:r w:rsidR="00724EA7">
        <w:rPr>
          <w:rFonts w:cs="Arial"/>
          <w:bCs/>
          <w:color w:val="000000"/>
          <w:sz w:val="24"/>
        </w:rPr>
        <w:t xml:space="preserve"> </w:t>
      </w:r>
      <w:r w:rsidRPr="0097787A">
        <w:rPr>
          <w:rFonts w:cs="Arial"/>
          <w:bCs/>
          <w:color w:val="000000"/>
          <w:sz w:val="24"/>
        </w:rPr>
        <w:t>Al convertir todos los consumos energéticos a una unidad estandarizada de energía, MJ/Ton, se observa que para elaborar una tonelada de producto final la leña utilizó 13.300 (MJ/Ton), el diésel 4.250 MJ/Ton, la electricidad 3.067 (MJ/Ton) y el gas 1.029 (MJ/Ton), siendo esta última fuente la que requiere una menor cantidad de energía para producir una tonelada de producto final.</w:t>
      </w:r>
    </w:p>
    <w:p w14:paraId="2C5B1DCA" w14:textId="77777777" w:rsidR="00724EA7" w:rsidRDefault="0097787A" w:rsidP="00724EA7">
      <w:pPr>
        <w:pStyle w:val="Encabezado"/>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 xml:space="preserve">Solo un 33% de las plantas </w:t>
      </w:r>
      <w:proofErr w:type="spellStart"/>
      <w:proofErr w:type="gramStart"/>
      <w:r w:rsidRPr="0097787A">
        <w:rPr>
          <w:rFonts w:cs="Arial"/>
          <w:bCs/>
          <w:color w:val="000000"/>
          <w:sz w:val="24"/>
        </w:rPr>
        <w:t>a</w:t>
      </w:r>
      <w:proofErr w:type="spellEnd"/>
      <w:proofErr w:type="gramEnd"/>
      <w:r w:rsidRPr="0097787A">
        <w:rPr>
          <w:rFonts w:cs="Arial"/>
          <w:bCs/>
          <w:color w:val="000000"/>
          <w:sz w:val="24"/>
        </w:rPr>
        <w:t xml:space="preserve"> realizado acciones de innovación respecto a mejorar la eficiencia energética lo que les ha llevado a reducir los consumos. La principal innovación se relaciona con el uso de sistemas de iluminación de bajo consumo, como las luces </w:t>
      </w:r>
      <w:proofErr w:type="spellStart"/>
      <w:r w:rsidRPr="0097787A">
        <w:rPr>
          <w:rFonts w:cs="Arial"/>
          <w:bCs/>
          <w:color w:val="000000"/>
          <w:sz w:val="24"/>
        </w:rPr>
        <w:t>led</w:t>
      </w:r>
      <w:proofErr w:type="spellEnd"/>
      <w:r w:rsidRPr="0097787A">
        <w:rPr>
          <w:rFonts w:cs="Arial"/>
          <w:bCs/>
          <w:color w:val="000000"/>
          <w:sz w:val="24"/>
        </w:rPr>
        <w:t>, acción que representa un 78% de las innovaciones.</w:t>
      </w:r>
    </w:p>
    <w:p w14:paraId="4B5DE363" w14:textId="3E929245" w:rsidR="0097787A" w:rsidRPr="0097787A" w:rsidRDefault="0097787A" w:rsidP="00724EA7">
      <w:pPr>
        <w:pStyle w:val="Encabezado"/>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Solo una planta utiliza tecnología de paneles solares como alternativa de energía no convencional la cual es utilizada para luminarias.</w:t>
      </w:r>
    </w:p>
    <w:p w14:paraId="6BE920A8" w14:textId="77777777" w:rsidR="0097787A" w:rsidRPr="0097787A" w:rsidRDefault="0097787A" w:rsidP="00724EA7">
      <w:pPr>
        <w:pStyle w:val="Encabezado"/>
        <w:spacing w:before="240"/>
        <w:jc w:val="both"/>
        <w:rPr>
          <w:rFonts w:cs="Arial"/>
          <w:bCs/>
          <w:color w:val="000000"/>
          <w:sz w:val="24"/>
        </w:rPr>
      </w:pPr>
    </w:p>
    <w:p w14:paraId="134568D4" w14:textId="77777777" w:rsidR="00FB2053" w:rsidRDefault="0097787A" w:rsidP="00724EA7">
      <w:pPr>
        <w:spacing w:after="0" w:line="240" w:lineRule="auto"/>
        <w:jc w:val="both"/>
        <w:rPr>
          <w:sz w:val="24"/>
          <w:szCs w:val="24"/>
          <w:u w:val="single"/>
          <w:lang w:eastAsia="es-CL"/>
        </w:rPr>
      </w:pPr>
      <w:r w:rsidRPr="0097787A">
        <w:rPr>
          <w:sz w:val="24"/>
          <w:szCs w:val="24"/>
          <w:u w:val="single"/>
          <w:lang w:eastAsia="es-CL"/>
        </w:rPr>
        <w:t>Valoración de residuos</w:t>
      </w:r>
    </w:p>
    <w:p w14:paraId="58AE2F95" w14:textId="7EB8D717" w:rsidR="0097787A" w:rsidRPr="0097787A" w:rsidRDefault="0097787A" w:rsidP="00724EA7">
      <w:pPr>
        <w:spacing w:after="0" w:line="240" w:lineRule="auto"/>
        <w:jc w:val="both"/>
        <w:rPr>
          <w:rFonts w:cs="Arial"/>
          <w:bCs/>
          <w:color w:val="000000"/>
          <w:sz w:val="24"/>
        </w:rPr>
      </w:pPr>
      <w:r w:rsidRPr="0097787A">
        <w:rPr>
          <w:rFonts w:cs="Arial"/>
          <w:bCs/>
          <w:color w:val="000000"/>
          <w:sz w:val="24"/>
        </w:rPr>
        <w:t>•</w:t>
      </w:r>
      <w:r w:rsidR="00724EA7">
        <w:rPr>
          <w:rFonts w:cs="Arial"/>
          <w:bCs/>
          <w:color w:val="000000"/>
          <w:sz w:val="24"/>
        </w:rPr>
        <w:t xml:space="preserve"> </w:t>
      </w:r>
      <w:r w:rsidRPr="0097787A">
        <w:rPr>
          <w:rFonts w:cs="Arial"/>
          <w:bCs/>
          <w:color w:val="000000"/>
          <w:sz w:val="24"/>
        </w:rPr>
        <w:t>Sólo dos plantas, un 22%, reutilizan en forma interna sus residuos, mientras que un 89%, 8 plantas, valorizan sus residuos externamente.</w:t>
      </w:r>
    </w:p>
    <w:p w14:paraId="2D643D00" w14:textId="142098CD" w:rsidR="0097787A" w:rsidRPr="0097787A" w:rsidRDefault="0097787A" w:rsidP="00724EA7">
      <w:pPr>
        <w:pStyle w:val="Encabezado"/>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 xml:space="preserve">Solo un 33% de las plantas tienen propuestas para valorizar sus residuos mientras que el restante 67 % no tienen propuestas. </w:t>
      </w:r>
    </w:p>
    <w:p w14:paraId="7984E29E" w14:textId="4192A54C" w:rsidR="0097787A" w:rsidRPr="0097787A" w:rsidRDefault="0097787A" w:rsidP="00724EA7">
      <w:pPr>
        <w:pStyle w:val="Encabezado"/>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Dentro de las propuestas destacó la necesidad de trabajar en la valorización de los desechos de carne, bisos y líquidos de cocción.</w:t>
      </w:r>
    </w:p>
    <w:p w14:paraId="79F6BB62" w14:textId="31DC309F" w:rsidR="0097787A" w:rsidRPr="0097787A" w:rsidRDefault="00724EA7" w:rsidP="00724EA7">
      <w:pPr>
        <w:pStyle w:val="Encabezado"/>
        <w:spacing w:before="240"/>
        <w:jc w:val="both"/>
        <w:rPr>
          <w:rFonts w:cs="Arial"/>
          <w:bCs/>
          <w:color w:val="000000"/>
          <w:sz w:val="24"/>
        </w:rPr>
      </w:pPr>
      <w:r>
        <w:rPr>
          <w:rFonts w:cs="Arial"/>
          <w:bCs/>
          <w:color w:val="000000"/>
          <w:sz w:val="24"/>
        </w:rPr>
        <w:t xml:space="preserve"> </w:t>
      </w:r>
    </w:p>
    <w:p w14:paraId="0155E06C" w14:textId="77777777" w:rsidR="00FB2053" w:rsidRDefault="0097787A" w:rsidP="00724EA7">
      <w:pPr>
        <w:spacing w:after="0" w:line="240" w:lineRule="auto"/>
        <w:jc w:val="both"/>
        <w:rPr>
          <w:sz w:val="24"/>
          <w:szCs w:val="24"/>
          <w:u w:val="single"/>
          <w:lang w:eastAsia="es-CL"/>
        </w:rPr>
      </w:pPr>
      <w:r w:rsidRPr="0097787A">
        <w:rPr>
          <w:sz w:val="24"/>
          <w:szCs w:val="24"/>
          <w:u w:val="single"/>
          <w:lang w:eastAsia="es-CL"/>
        </w:rPr>
        <w:t>Gestión de Emisiones Atmosféricas</w:t>
      </w:r>
    </w:p>
    <w:p w14:paraId="01048AB0" w14:textId="6EC6EAFE" w:rsidR="0097787A" w:rsidRPr="0097787A" w:rsidRDefault="0097787A" w:rsidP="00724EA7">
      <w:pPr>
        <w:spacing w:after="0" w:line="240" w:lineRule="auto"/>
        <w:jc w:val="both"/>
        <w:rPr>
          <w:rFonts w:cs="Arial"/>
          <w:bCs/>
          <w:color w:val="000000"/>
          <w:sz w:val="24"/>
        </w:rPr>
      </w:pPr>
      <w:r w:rsidRPr="0097787A">
        <w:rPr>
          <w:rFonts w:cs="Arial"/>
          <w:bCs/>
          <w:color w:val="000000"/>
          <w:sz w:val="24"/>
        </w:rPr>
        <w:t>•</w:t>
      </w:r>
      <w:r w:rsidR="00724EA7">
        <w:rPr>
          <w:rFonts w:cs="Arial"/>
          <w:bCs/>
          <w:color w:val="000000"/>
          <w:sz w:val="24"/>
        </w:rPr>
        <w:t xml:space="preserve"> </w:t>
      </w:r>
      <w:r w:rsidRPr="0097787A">
        <w:rPr>
          <w:rFonts w:cs="Arial"/>
          <w:bCs/>
          <w:color w:val="000000"/>
          <w:sz w:val="24"/>
        </w:rPr>
        <w:t xml:space="preserve">El 100% de las plantas genera emisiones atmosféricas y un 67% posee caracterización de estas emisiones. </w:t>
      </w:r>
    </w:p>
    <w:p w14:paraId="2649406E" w14:textId="603211BA" w:rsidR="0097787A" w:rsidRPr="0097787A" w:rsidRDefault="0097787A" w:rsidP="00724EA7">
      <w:pPr>
        <w:pStyle w:val="Encabezado"/>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El 100% de las plantas ha implementado tecnologías de tratamiento, pero solo un 38% cuenta con un sistema de registro de emisiones, sin embargo, un 89% (8 plantas) cuentan con procedimientos para controlar las emisiones los que están basados, principalmente, en mantenciones preventivas en las calderas y equipos y maquinarias involucradas en el proceso de producción.</w:t>
      </w:r>
    </w:p>
    <w:p w14:paraId="6339822B" w14:textId="77777777" w:rsidR="0097787A" w:rsidRPr="0097787A" w:rsidRDefault="0097787A" w:rsidP="00724EA7">
      <w:pPr>
        <w:pStyle w:val="Encabezado"/>
        <w:spacing w:before="240"/>
        <w:jc w:val="both"/>
        <w:rPr>
          <w:rFonts w:cs="Arial"/>
          <w:bCs/>
          <w:color w:val="000000"/>
          <w:sz w:val="24"/>
        </w:rPr>
      </w:pPr>
    </w:p>
    <w:p w14:paraId="7F5ABCB4" w14:textId="77777777" w:rsidR="00FB2053" w:rsidRDefault="0097787A" w:rsidP="00724EA7">
      <w:pPr>
        <w:spacing w:after="0" w:line="240" w:lineRule="auto"/>
        <w:jc w:val="both"/>
        <w:rPr>
          <w:sz w:val="24"/>
          <w:szCs w:val="24"/>
          <w:u w:val="single"/>
          <w:lang w:eastAsia="es-CL"/>
        </w:rPr>
      </w:pPr>
      <w:r w:rsidRPr="0097787A">
        <w:rPr>
          <w:sz w:val="24"/>
          <w:szCs w:val="24"/>
          <w:u w:val="single"/>
          <w:lang w:eastAsia="es-CL"/>
        </w:rPr>
        <w:t>Gestión Ambiental</w:t>
      </w:r>
    </w:p>
    <w:p w14:paraId="2C3F60AA" w14:textId="0BE860D1" w:rsidR="0097787A" w:rsidRPr="0097787A" w:rsidRDefault="0097787A" w:rsidP="00724EA7">
      <w:pPr>
        <w:spacing w:after="0" w:line="240" w:lineRule="auto"/>
        <w:jc w:val="both"/>
        <w:rPr>
          <w:rFonts w:cs="Arial"/>
          <w:bCs/>
          <w:color w:val="000000"/>
          <w:sz w:val="24"/>
        </w:rPr>
      </w:pPr>
      <w:r w:rsidRPr="0097787A">
        <w:rPr>
          <w:rFonts w:cs="Arial"/>
          <w:bCs/>
          <w:color w:val="000000"/>
          <w:sz w:val="24"/>
        </w:rPr>
        <w:t>•</w:t>
      </w:r>
      <w:r w:rsidR="00724EA7">
        <w:rPr>
          <w:rFonts w:cs="Arial"/>
          <w:bCs/>
          <w:color w:val="000000"/>
          <w:sz w:val="24"/>
        </w:rPr>
        <w:t xml:space="preserve"> </w:t>
      </w:r>
      <w:r w:rsidRPr="0097787A">
        <w:rPr>
          <w:rFonts w:cs="Arial"/>
          <w:bCs/>
          <w:color w:val="000000"/>
          <w:sz w:val="24"/>
        </w:rPr>
        <w:t xml:space="preserve">El 56% de las plantas no poseen datos anteriores de evaluación ambiental y tampoco mantienen un estándar ambiental interno, sin embargo, el 89% de las plantas asigna recursos financieros a la gestión ambiental, capacitación del personal en el manejo y prevención de la contaminación y en el manejo de residuos sólidos. </w:t>
      </w:r>
    </w:p>
    <w:p w14:paraId="166C29A2" w14:textId="6CD6E241" w:rsidR="0097787A" w:rsidRPr="0097787A" w:rsidRDefault="0097787A" w:rsidP="00724EA7">
      <w:pPr>
        <w:pStyle w:val="Encabezado"/>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El 56% de las plantas poseen registros de algún incidente ambiental y, con respecto a la existencia de procedimientos para prevenir problemas ambientales y la mantención y control de la documentación de relevancia ambiental, el 78% (7 plantas) los posee.</w:t>
      </w:r>
    </w:p>
    <w:p w14:paraId="4E85F774" w14:textId="0AB2B786" w:rsidR="0097787A" w:rsidRPr="0097787A" w:rsidRDefault="0097787A" w:rsidP="00724EA7">
      <w:pPr>
        <w:pStyle w:val="Encabezado"/>
        <w:spacing w:before="240"/>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Un 78% de las plantas no posee un procedimiento de transporte entre el centro de cultivo y planta, que evite el escurrimiento de agua de la materia prima cosechada, condición que se destaca por su importancia respecto al impacto que esta acción tiene sobre comunidades donde se desarrolla la actividad y la imagen de la industria.</w:t>
      </w:r>
    </w:p>
    <w:p w14:paraId="0473018C" w14:textId="77777777" w:rsidR="0097787A" w:rsidRPr="0097787A" w:rsidRDefault="0097787A" w:rsidP="00724EA7">
      <w:pPr>
        <w:pStyle w:val="Encabezado"/>
        <w:spacing w:before="240"/>
        <w:jc w:val="both"/>
        <w:rPr>
          <w:rFonts w:cs="Arial"/>
          <w:bCs/>
          <w:color w:val="000000"/>
          <w:sz w:val="24"/>
        </w:rPr>
      </w:pPr>
    </w:p>
    <w:p w14:paraId="24548B5D" w14:textId="77777777" w:rsidR="00FB2053" w:rsidRDefault="0097787A" w:rsidP="00724EA7">
      <w:pPr>
        <w:spacing w:after="0" w:line="240" w:lineRule="auto"/>
        <w:jc w:val="both"/>
        <w:rPr>
          <w:sz w:val="24"/>
          <w:szCs w:val="24"/>
          <w:u w:val="single"/>
          <w:lang w:eastAsia="es-CL"/>
        </w:rPr>
      </w:pPr>
      <w:r w:rsidRPr="0097787A">
        <w:rPr>
          <w:sz w:val="24"/>
          <w:szCs w:val="24"/>
          <w:u w:val="single"/>
          <w:lang w:eastAsia="es-CL"/>
        </w:rPr>
        <w:t>Emisiones Acústicas</w:t>
      </w:r>
    </w:p>
    <w:p w14:paraId="1D7D1989" w14:textId="36F80619" w:rsidR="0097787A" w:rsidRPr="0097787A" w:rsidRDefault="0097787A" w:rsidP="00724EA7">
      <w:pPr>
        <w:spacing w:after="0" w:line="240" w:lineRule="auto"/>
        <w:jc w:val="both"/>
        <w:rPr>
          <w:rFonts w:cs="Arial"/>
          <w:bCs/>
          <w:color w:val="000000"/>
          <w:sz w:val="24"/>
        </w:rPr>
      </w:pPr>
      <w:r w:rsidRPr="0097787A">
        <w:rPr>
          <w:rFonts w:cs="Arial"/>
          <w:bCs/>
          <w:color w:val="000000"/>
          <w:sz w:val="24"/>
        </w:rPr>
        <w:t>•</w:t>
      </w:r>
      <w:r w:rsidR="00724EA7">
        <w:rPr>
          <w:rFonts w:cs="Arial"/>
          <w:bCs/>
          <w:color w:val="000000"/>
          <w:sz w:val="24"/>
        </w:rPr>
        <w:t xml:space="preserve"> </w:t>
      </w:r>
      <w:r w:rsidRPr="0097787A">
        <w:rPr>
          <w:rFonts w:cs="Arial"/>
          <w:bCs/>
          <w:color w:val="000000"/>
          <w:sz w:val="24"/>
        </w:rPr>
        <w:t>El 100% de las plantas cumple con la normativa aplicable a emisiones acústicas lo que se traduce en que realizan mediciones de ruido en el ambiente de trabajo y fuera de la planta y en que mantienen registros.</w:t>
      </w:r>
    </w:p>
    <w:p w14:paraId="63495317" w14:textId="77777777" w:rsidR="0097787A" w:rsidRPr="0097787A" w:rsidRDefault="0097787A" w:rsidP="00724EA7">
      <w:pPr>
        <w:pStyle w:val="Encabezado"/>
        <w:spacing w:before="240"/>
        <w:jc w:val="both"/>
        <w:rPr>
          <w:rFonts w:cs="Arial"/>
          <w:bCs/>
          <w:color w:val="000000"/>
          <w:sz w:val="24"/>
        </w:rPr>
      </w:pPr>
    </w:p>
    <w:p w14:paraId="27800AE6" w14:textId="77777777" w:rsidR="00FB2053" w:rsidRDefault="0097787A" w:rsidP="00724EA7">
      <w:pPr>
        <w:spacing w:after="0" w:line="240" w:lineRule="auto"/>
        <w:jc w:val="both"/>
        <w:rPr>
          <w:sz w:val="24"/>
          <w:szCs w:val="24"/>
          <w:u w:val="single"/>
          <w:lang w:eastAsia="es-CL"/>
        </w:rPr>
      </w:pPr>
      <w:r w:rsidRPr="0097787A">
        <w:rPr>
          <w:sz w:val="24"/>
          <w:szCs w:val="24"/>
          <w:u w:val="single"/>
          <w:lang w:eastAsia="es-CL"/>
        </w:rPr>
        <w:t>Luminancia e iluminancia</w:t>
      </w:r>
    </w:p>
    <w:p w14:paraId="6317C92F" w14:textId="2300FF4B" w:rsidR="0097787A" w:rsidRPr="0097787A" w:rsidRDefault="0097787A" w:rsidP="00724EA7">
      <w:pPr>
        <w:spacing w:after="0" w:line="240" w:lineRule="auto"/>
        <w:jc w:val="both"/>
        <w:rPr>
          <w:rFonts w:cs="Arial"/>
          <w:bCs/>
          <w:color w:val="000000"/>
          <w:sz w:val="24"/>
        </w:rPr>
      </w:pPr>
      <w:r w:rsidRPr="0097787A">
        <w:rPr>
          <w:rFonts w:cs="Arial"/>
          <w:bCs/>
          <w:color w:val="000000"/>
          <w:sz w:val="24"/>
        </w:rPr>
        <w:t>•</w:t>
      </w:r>
      <w:r w:rsidR="00724EA7">
        <w:rPr>
          <w:rFonts w:cs="Arial"/>
          <w:bCs/>
          <w:color w:val="000000"/>
          <w:sz w:val="24"/>
        </w:rPr>
        <w:t xml:space="preserve"> </w:t>
      </w:r>
      <w:r w:rsidRPr="0097787A">
        <w:rPr>
          <w:rFonts w:cs="Arial"/>
          <w:bCs/>
          <w:color w:val="000000"/>
          <w:sz w:val="24"/>
        </w:rPr>
        <w:t>El 100% de las plantas cumple con la normativa aplicable a luminancia e iluminancia de los lugares de trabajo, lo que se traduce en que realizan mediciones de luminancia e iluminancia y en que mantienen los registros.</w:t>
      </w:r>
    </w:p>
    <w:p w14:paraId="228DEC8A" w14:textId="77777777" w:rsidR="0097787A" w:rsidRPr="0097787A" w:rsidRDefault="0097787A" w:rsidP="00724EA7">
      <w:pPr>
        <w:pStyle w:val="Encabezado"/>
        <w:spacing w:before="240"/>
        <w:jc w:val="both"/>
        <w:rPr>
          <w:rFonts w:cs="Arial"/>
          <w:bCs/>
          <w:color w:val="000000"/>
          <w:sz w:val="24"/>
        </w:rPr>
      </w:pPr>
    </w:p>
    <w:p w14:paraId="32B44600" w14:textId="77777777" w:rsidR="00FB2053" w:rsidRDefault="0097787A" w:rsidP="00724EA7">
      <w:pPr>
        <w:spacing w:after="0" w:line="240" w:lineRule="auto"/>
        <w:jc w:val="both"/>
        <w:rPr>
          <w:sz w:val="24"/>
          <w:szCs w:val="24"/>
          <w:u w:val="single"/>
          <w:lang w:eastAsia="es-CL"/>
        </w:rPr>
      </w:pPr>
      <w:r w:rsidRPr="0097787A">
        <w:rPr>
          <w:sz w:val="24"/>
          <w:szCs w:val="24"/>
          <w:u w:val="single"/>
          <w:lang w:eastAsia="es-CL"/>
        </w:rPr>
        <w:t>Certificaciones</w:t>
      </w:r>
    </w:p>
    <w:p w14:paraId="682971C5" w14:textId="7A496915" w:rsidR="0097787A" w:rsidRPr="0097787A" w:rsidRDefault="0097787A" w:rsidP="00724EA7">
      <w:pPr>
        <w:spacing w:after="0" w:line="240" w:lineRule="auto"/>
        <w:jc w:val="both"/>
        <w:rPr>
          <w:rFonts w:cs="Arial"/>
          <w:bCs/>
          <w:color w:val="000000"/>
          <w:sz w:val="24"/>
        </w:rPr>
      </w:pPr>
      <w:r w:rsidRPr="0097787A">
        <w:rPr>
          <w:rFonts w:cs="Arial"/>
          <w:bCs/>
          <w:color w:val="000000"/>
          <w:sz w:val="24"/>
        </w:rPr>
        <w:t>•</w:t>
      </w:r>
      <w:r w:rsidR="00724EA7">
        <w:rPr>
          <w:rFonts w:cs="Arial"/>
          <w:bCs/>
          <w:color w:val="000000"/>
          <w:sz w:val="24"/>
        </w:rPr>
        <w:t xml:space="preserve"> </w:t>
      </w:r>
      <w:r w:rsidRPr="0097787A">
        <w:rPr>
          <w:rFonts w:cs="Arial"/>
          <w:bCs/>
          <w:color w:val="000000"/>
          <w:sz w:val="24"/>
        </w:rPr>
        <w:t>El 100% de las plantas cuentan con certificaciones de seguridad alimentaria (BRC 100%, IFS 38%).</w:t>
      </w:r>
    </w:p>
    <w:p w14:paraId="18FE9445" w14:textId="6D513EB1" w:rsidR="0097787A" w:rsidRPr="0097787A" w:rsidRDefault="0097787A" w:rsidP="00724EA7">
      <w:pPr>
        <w:pStyle w:val="Encabezado"/>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Con respecto a certificaciones relacionadas con sustentabilidad, un 38% de las plantas cuentan con la certificación ASC y un igual porcentaje se encuentra en proceso de su implementación, mientras que un 25% cuenta con la certificación MSC, certificación que no está considerada dentro de los objetivos de un 75% de las plantas.</w:t>
      </w:r>
    </w:p>
    <w:p w14:paraId="798ADEA6" w14:textId="64466CC5" w:rsidR="0097787A" w:rsidRPr="0097787A" w:rsidRDefault="0097787A" w:rsidP="00724EA7">
      <w:pPr>
        <w:pStyle w:val="Encabezado"/>
        <w:jc w:val="both"/>
        <w:rPr>
          <w:rFonts w:cs="Arial"/>
          <w:bCs/>
          <w:color w:val="000000"/>
          <w:sz w:val="24"/>
        </w:rPr>
      </w:pPr>
      <w:r w:rsidRPr="0097787A">
        <w:rPr>
          <w:rFonts w:cs="Arial"/>
          <w:bCs/>
          <w:color w:val="000000"/>
          <w:sz w:val="24"/>
        </w:rPr>
        <w:t>•</w:t>
      </w:r>
      <w:r w:rsidR="00724EA7">
        <w:rPr>
          <w:rFonts w:cs="Arial"/>
          <w:bCs/>
          <w:color w:val="000000"/>
          <w:sz w:val="24"/>
        </w:rPr>
        <w:t xml:space="preserve"> </w:t>
      </w:r>
      <w:r w:rsidRPr="0097787A">
        <w:rPr>
          <w:rFonts w:cs="Arial"/>
          <w:bCs/>
          <w:color w:val="000000"/>
          <w:sz w:val="24"/>
        </w:rPr>
        <w:t xml:space="preserve">Un 43% de plantas poseen la certificación </w:t>
      </w:r>
      <w:proofErr w:type="spellStart"/>
      <w:r w:rsidRPr="0097787A">
        <w:rPr>
          <w:rFonts w:cs="Arial"/>
          <w:bCs/>
          <w:color w:val="000000"/>
          <w:sz w:val="24"/>
        </w:rPr>
        <w:t>Halal</w:t>
      </w:r>
      <w:proofErr w:type="spellEnd"/>
      <w:r w:rsidRPr="0097787A">
        <w:rPr>
          <w:rFonts w:cs="Arial"/>
          <w:bCs/>
          <w:color w:val="000000"/>
          <w:sz w:val="24"/>
        </w:rPr>
        <w:t>.</w:t>
      </w:r>
    </w:p>
    <w:p w14:paraId="5F8C805C" w14:textId="7CC7A2AC" w:rsidR="0097787A" w:rsidRPr="0097787A" w:rsidRDefault="0097787A" w:rsidP="00724EA7">
      <w:pPr>
        <w:pStyle w:val="Encabezado"/>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 xml:space="preserve">Un 14% de las plantas poseen algún tipo de certificación orgánica. </w:t>
      </w:r>
    </w:p>
    <w:p w14:paraId="2C254594" w14:textId="11B889E9" w:rsidR="0097787A" w:rsidRDefault="0097787A" w:rsidP="00724EA7">
      <w:pPr>
        <w:pStyle w:val="Encabezado"/>
        <w:jc w:val="both"/>
        <w:rPr>
          <w:rFonts w:cs="Arial"/>
          <w:bCs/>
          <w:color w:val="000000"/>
          <w:sz w:val="24"/>
        </w:rPr>
      </w:pPr>
      <w:r w:rsidRPr="0097787A">
        <w:rPr>
          <w:rFonts w:cs="Arial"/>
          <w:bCs/>
          <w:color w:val="000000"/>
          <w:sz w:val="24"/>
        </w:rPr>
        <w:t>•</w:t>
      </w:r>
      <w:r w:rsidRPr="0097787A">
        <w:rPr>
          <w:rFonts w:cs="Arial"/>
          <w:bCs/>
          <w:color w:val="000000"/>
          <w:sz w:val="24"/>
        </w:rPr>
        <w:tab/>
      </w:r>
      <w:r w:rsidR="00724EA7">
        <w:rPr>
          <w:rFonts w:cs="Arial"/>
          <w:bCs/>
          <w:color w:val="000000"/>
          <w:sz w:val="24"/>
        </w:rPr>
        <w:t xml:space="preserve">  </w:t>
      </w:r>
      <w:r w:rsidRPr="0097787A">
        <w:rPr>
          <w:rFonts w:cs="Arial"/>
          <w:bCs/>
          <w:color w:val="000000"/>
          <w:sz w:val="24"/>
        </w:rPr>
        <w:t xml:space="preserve">Respecto a certificaciones de calidad, un 50% de las plantas utilizan la norma </w:t>
      </w:r>
      <w:proofErr w:type="spellStart"/>
      <w:r w:rsidRPr="0097787A">
        <w:rPr>
          <w:rFonts w:cs="Arial"/>
          <w:bCs/>
          <w:color w:val="000000"/>
          <w:sz w:val="24"/>
        </w:rPr>
        <w:t>NCh</w:t>
      </w:r>
      <w:proofErr w:type="spellEnd"/>
      <w:r w:rsidRPr="0097787A">
        <w:rPr>
          <w:rFonts w:cs="Arial"/>
          <w:bCs/>
          <w:color w:val="000000"/>
          <w:sz w:val="24"/>
        </w:rPr>
        <w:t xml:space="preserve"> 3361/2014.</w:t>
      </w:r>
    </w:p>
    <w:p w14:paraId="2CEB17C8" w14:textId="77777777" w:rsidR="0097787A" w:rsidRPr="0097787A" w:rsidRDefault="0097787A" w:rsidP="00724EA7">
      <w:pPr>
        <w:pStyle w:val="Encabezado"/>
        <w:spacing w:before="240"/>
        <w:jc w:val="both"/>
        <w:rPr>
          <w:rFonts w:cs="Arial"/>
          <w:bCs/>
          <w:color w:val="000000"/>
          <w:sz w:val="24"/>
        </w:rPr>
      </w:pPr>
    </w:p>
    <w:p w14:paraId="385376D6" w14:textId="77777777" w:rsidR="00FB2053" w:rsidRDefault="0097787A" w:rsidP="00724EA7">
      <w:pPr>
        <w:spacing w:after="0" w:line="240" w:lineRule="auto"/>
        <w:jc w:val="both"/>
        <w:rPr>
          <w:sz w:val="24"/>
          <w:szCs w:val="24"/>
          <w:u w:val="single"/>
          <w:lang w:eastAsia="es-CL"/>
        </w:rPr>
      </w:pPr>
      <w:r w:rsidRPr="0097787A">
        <w:rPr>
          <w:sz w:val="24"/>
          <w:szCs w:val="24"/>
          <w:u w:val="single"/>
          <w:lang w:eastAsia="es-CL"/>
        </w:rPr>
        <w:t>Bodegas o Sitios de Almacenamiento</w:t>
      </w:r>
    </w:p>
    <w:p w14:paraId="5133C0C6" w14:textId="21090B4A" w:rsidR="0097787A" w:rsidRPr="0097787A" w:rsidRDefault="00724EA7" w:rsidP="00724EA7">
      <w:pPr>
        <w:spacing w:after="0" w:line="240" w:lineRule="auto"/>
        <w:jc w:val="both"/>
        <w:rPr>
          <w:rFonts w:cs="Arial"/>
          <w:bCs/>
          <w:color w:val="000000"/>
          <w:sz w:val="24"/>
        </w:rPr>
      </w:pPr>
      <w:r>
        <w:rPr>
          <w:rFonts w:cs="Arial"/>
          <w:bCs/>
          <w:color w:val="000000"/>
          <w:sz w:val="24"/>
        </w:rPr>
        <w:t xml:space="preserve">• </w:t>
      </w:r>
      <w:r w:rsidR="0097787A" w:rsidRPr="0097787A">
        <w:rPr>
          <w:rFonts w:cs="Arial"/>
          <w:bCs/>
          <w:color w:val="000000"/>
          <w:sz w:val="24"/>
        </w:rPr>
        <w:t>El 100% de las plantas cumple con la normativa legal vigente, lo que se traduce en que poseen bodegas para materias primas, insumos y producto terminado, residuos no peligrosos, sustancias y residuos peligrosos debidamente normados.</w:t>
      </w:r>
    </w:p>
    <w:p w14:paraId="49775C66" w14:textId="77777777" w:rsidR="0097787A" w:rsidRPr="0097787A" w:rsidRDefault="0097787A" w:rsidP="00724EA7">
      <w:pPr>
        <w:pStyle w:val="Encabezado"/>
        <w:spacing w:before="240"/>
        <w:jc w:val="both"/>
        <w:rPr>
          <w:rFonts w:cs="Arial"/>
          <w:bCs/>
          <w:color w:val="000000"/>
          <w:sz w:val="24"/>
        </w:rPr>
      </w:pPr>
    </w:p>
    <w:p w14:paraId="0E3921CD" w14:textId="77777777" w:rsidR="00FB2053" w:rsidRDefault="0097787A" w:rsidP="00724EA7">
      <w:pPr>
        <w:spacing w:after="0" w:line="240" w:lineRule="auto"/>
        <w:jc w:val="both"/>
        <w:rPr>
          <w:sz w:val="24"/>
          <w:szCs w:val="24"/>
          <w:u w:val="single"/>
          <w:lang w:eastAsia="es-CL"/>
        </w:rPr>
      </w:pPr>
      <w:r w:rsidRPr="0097787A">
        <w:rPr>
          <w:sz w:val="24"/>
          <w:szCs w:val="24"/>
          <w:u w:val="single"/>
          <w:lang w:eastAsia="es-CL"/>
        </w:rPr>
        <w:t>Aspectos de Seguridad ocupacional</w:t>
      </w:r>
    </w:p>
    <w:p w14:paraId="1108B088" w14:textId="40D27071" w:rsidR="0097787A" w:rsidRPr="0097787A" w:rsidRDefault="0097787A" w:rsidP="00724EA7">
      <w:pPr>
        <w:spacing w:after="0" w:line="240" w:lineRule="auto"/>
        <w:jc w:val="both"/>
        <w:rPr>
          <w:rFonts w:cs="Arial"/>
          <w:bCs/>
          <w:color w:val="000000"/>
          <w:sz w:val="24"/>
        </w:rPr>
      </w:pPr>
      <w:r w:rsidRPr="0097787A">
        <w:rPr>
          <w:rFonts w:cs="Arial"/>
          <w:bCs/>
          <w:color w:val="000000"/>
          <w:sz w:val="24"/>
        </w:rPr>
        <w:t>•</w:t>
      </w:r>
      <w:r w:rsidRPr="0097787A">
        <w:rPr>
          <w:rFonts w:cs="Arial"/>
          <w:bCs/>
          <w:color w:val="000000"/>
          <w:sz w:val="24"/>
        </w:rPr>
        <w:tab/>
        <w:t xml:space="preserve">El 100% de las plantas cumple con la normativa legal vigente, lo que se traduce en que mantienen registros de tasas de accidentabilidad, poseen reglamento interno, comité paritario, procedimientos de trabajo seguro, identificación de riesgos de las etapas del proceso. </w:t>
      </w:r>
    </w:p>
    <w:p w14:paraId="32F7FE6A" w14:textId="15691DB0" w:rsidR="007C2A2A" w:rsidRPr="00F35F29" w:rsidRDefault="0097787A" w:rsidP="00724EA7">
      <w:pPr>
        <w:pStyle w:val="Encabezado"/>
        <w:jc w:val="both"/>
        <w:rPr>
          <w:rFonts w:cs="Arial"/>
          <w:bCs/>
          <w:color w:val="000000"/>
          <w:sz w:val="24"/>
        </w:rPr>
      </w:pPr>
      <w:r w:rsidRPr="0097787A">
        <w:rPr>
          <w:rFonts w:cs="Arial"/>
          <w:bCs/>
          <w:color w:val="000000"/>
          <w:sz w:val="24"/>
        </w:rPr>
        <w:t>•</w:t>
      </w:r>
      <w:r w:rsidRPr="0097787A">
        <w:rPr>
          <w:rFonts w:cs="Arial"/>
          <w:bCs/>
          <w:color w:val="000000"/>
          <w:sz w:val="24"/>
        </w:rPr>
        <w:tab/>
        <w:t xml:space="preserve">El 100% de las plantas cumplen con la normativa técnica TMERT (trastornos </w:t>
      </w:r>
      <w:proofErr w:type="spellStart"/>
      <w:r w:rsidRPr="0097787A">
        <w:rPr>
          <w:rFonts w:cs="Arial"/>
          <w:bCs/>
          <w:color w:val="000000"/>
          <w:sz w:val="24"/>
        </w:rPr>
        <w:t>muescoloesqueléticos</w:t>
      </w:r>
      <w:proofErr w:type="spellEnd"/>
      <w:r w:rsidRPr="0097787A">
        <w:rPr>
          <w:rFonts w:cs="Arial"/>
          <w:bCs/>
          <w:color w:val="000000"/>
          <w:sz w:val="24"/>
        </w:rPr>
        <w:t xml:space="preserve"> de extremidades superiores relacionadas con el trabajo), el protocolo PREXOR (protocolo de exposición ocupacional a ruido) y el Protocolo Psicosocial.</w:t>
      </w:r>
    </w:p>
    <w:p w14:paraId="0FF461AD" w14:textId="77777777" w:rsidR="00190ADE" w:rsidRDefault="00190ADE" w:rsidP="00724EA7">
      <w:pPr>
        <w:pStyle w:val="Encabezado"/>
        <w:spacing w:before="240"/>
        <w:jc w:val="both"/>
        <w:rPr>
          <w:rFonts w:cs="Arial"/>
          <w:bCs/>
          <w:color w:val="000000"/>
          <w:sz w:val="24"/>
        </w:rPr>
      </w:pPr>
    </w:p>
    <w:p w14:paraId="3258C826" w14:textId="77777777" w:rsidR="00190ADE" w:rsidRDefault="00190ADE" w:rsidP="00724EA7">
      <w:pPr>
        <w:pStyle w:val="Encabezado"/>
        <w:spacing w:before="240"/>
        <w:jc w:val="both"/>
        <w:rPr>
          <w:rFonts w:cs="Arial"/>
          <w:bCs/>
          <w:color w:val="000000"/>
          <w:sz w:val="24"/>
        </w:rPr>
      </w:pPr>
    </w:p>
    <w:p w14:paraId="791B3E10" w14:textId="77777777" w:rsidR="00190ADE" w:rsidRPr="0043455F" w:rsidRDefault="00190ADE" w:rsidP="00724EA7">
      <w:pPr>
        <w:pStyle w:val="Encabezado"/>
        <w:spacing w:before="240"/>
        <w:jc w:val="both"/>
        <w:rPr>
          <w:rFonts w:cs="Arial"/>
          <w:bCs/>
          <w:color w:val="000000"/>
          <w:sz w:val="24"/>
        </w:rPr>
      </w:pPr>
    </w:p>
    <w:sectPr w:rsidR="00190ADE" w:rsidRPr="0043455F" w:rsidSect="001A208D">
      <w:footerReference w:type="even" r:id="rId66"/>
      <w:footerReference w:type="default" r:id="rId67"/>
      <w:pgSz w:w="12240" w:h="15840" w:code="1"/>
      <w:pgMar w:top="1417" w:right="1701" w:bottom="1843" w:left="1701" w:header="708" w:footer="708" w:gutter="0"/>
      <w:cols w:space="708"/>
      <w:titlePg/>
      <w:docGrid w:linePitch="435"/>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D2DF3C" w15:done="0"/>
  <w15:commentEx w15:paraId="4080783B" w15:done="0"/>
  <w15:commentEx w15:paraId="10F0ECF7" w15:done="0"/>
  <w15:commentEx w15:paraId="5553F027" w15:done="0"/>
  <w15:commentEx w15:paraId="48EF18C4" w15:done="0"/>
  <w15:commentEx w15:paraId="6A7CA1EF" w15:done="0"/>
  <w15:commentEx w15:paraId="687F366E" w15:paraIdParent="6A7CA1EF" w15:done="0"/>
  <w15:commentEx w15:paraId="5146DD34" w15:done="0"/>
  <w15:commentEx w15:paraId="12216251" w15:done="0"/>
  <w15:commentEx w15:paraId="393F180A" w15:done="0"/>
  <w15:commentEx w15:paraId="34862AD0" w15:done="0"/>
  <w15:commentEx w15:paraId="60D00A85" w15:done="0"/>
  <w15:commentEx w15:paraId="589BFB28" w15:done="0"/>
  <w15:commentEx w15:paraId="0CE2ECB1" w15:done="0"/>
  <w15:commentEx w15:paraId="67E59872" w15:done="0"/>
  <w15:commentEx w15:paraId="10CB5A8D" w15:done="0"/>
  <w15:commentEx w15:paraId="725D8364" w15:done="0"/>
  <w15:commentEx w15:paraId="64509F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AE816" w14:textId="77777777" w:rsidR="00433A6D" w:rsidRDefault="00433A6D" w:rsidP="00B81524">
      <w:pPr>
        <w:spacing w:after="0" w:line="240" w:lineRule="auto"/>
      </w:pPr>
      <w:r>
        <w:separator/>
      </w:r>
    </w:p>
  </w:endnote>
  <w:endnote w:type="continuationSeparator" w:id="0">
    <w:p w14:paraId="209C923B" w14:textId="77777777" w:rsidR="00433A6D" w:rsidRDefault="00433A6D" w:rsidP="00B81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Light">
    <w:altName w:val="Courier New"/>
    <w:charset w:val="00"/>
    <w:family w:val="auto"/>
    <w:pitch w:val="variable"/>
    <w:sig w:usb0="00000001" w:usb1="00000001" w:usb2="00000000" w:usb3="00000000" w:csb0="00000093" w:csb1="00000000"/>
  </w:font>
  <w:font w:name="Calibri">
    <w:panose1 w:val="020F0502020204030204"/>
    <w:charset w:val="00"/>
    <w:family w:val="swiss"/>
    <w:pitch w:val="variable"/>
    <w:sig w:usb0="E0002AFF" w:usb1="C000247B" w:usb2="00000009" w:usb3="00000000" w:csb0="000001FF" w:csb1="00000000"/>
  </w:font>
  <w:font w:name="Titilliu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tillium Bd">
    <w:altName w:val="Courier New"/>
    <w:charset w:val="00"/>
    <w:family w:val="auto"/>
    <w:pitch w:val="variable"/>
    <w:sig w:usb0="00000001" w:usb1="00000001" w:usb2="00000000" w:usb3="00000000" w:csb0="00000093"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7B79F" w14:textId="77777777" w:rsidR="00474B36" w:rsidRDefault="00474B36" w:rsidP="00492B0C">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932D7AA" w14:textId="77777777" w:rsidR="00474B36" w:rsidRDefault="00474B36" w:rsidP="00630A52">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C0289" w14:textId="32EDE5A8" w:rsidR="00474B36" w:rsidRPr="00630A52" w:rsidRDefault="00474B36" w:rsidP="000C7BAD">
    <w:pPr>
      <w:pStyle w:val="Piedepgina"/>
      <w:framePr w:wrap="none" w:vAnchor="text" w:hAnchor="page" w:x="9803" w:y="49"/>
      <w:rPr>
        <w:rStyle w:val="Nmerodepgina"/>
        <w:color w:val="FFFFFF" w:themeColor="background1"/>
      </w:rPr>
    </w:pPr>
    <w:r w:rsidRPr="00630A52">
      <w:rPr>
        <w:rStyle w:val="Nmerodepgina"/>
        <w:color w:val="FFFFFF" w:themeColor="background1"/>
      </w:rPr>
      <w:fldChar w:fldCharType="begin"/>
    </w:r>
    <w:r w:rsidRPr="00630A52">
      <w:rPr>
        <w:rStyle w:val="Nmerodepgina"/>
        <w:color w:val="FFFFFF" w:themeColor="background1"/>
      </w:rPr>
      <w:instrText xml:space="preserve">PAGE  </w:instrText>
    </w:r>
    <w:r w:rsidRPr="00630A52">
      <w:rPr>
        <w:rStyle w:val="Nmerodepgina"/>
        <w:color w:val="FFFFFF" w:themeColor="background1"/>
      </w:rPr>
      <w:fldChar w:fldCharType="separate"/>
    </w:r>
    <w:r w:rsidR="008B753B">
      <w:rPr>
        <w:rStyle w:val="Nmerodepgina"/>
        <w:noProof/>
        <w:color w:val="FFFFFF" w:themeColor="background1"/>
      </w:rPr>
      <w:t>2</w:t>
    </w:r>
    <w:r w:rsidRPr="00630A52">
      <w:rPr>
        <w:rStyle w:val="Nmerodepgina"/>
        <w:color w:val="FFFFFF" w:themeColor="background1"/>
      </w:rPr>
      <w:fldChar w:fldCharType="end"/>
    </w:r>
  </w:p>
  <w:p w14:paraId="1506EF59" w14:textId="1F92133D" w:rsidR="00474B36" w:rsidRDefault="00474B36" w:rsidP="00F249D4">
    <w:pPr>
      <w:pStyle w:val="Piedepgina"/>
      <w:ind w:right="360"/>
      <w:rPr>
        <w:color w:val="262626" w:themeColor="text1" w:themeTint="D9"/>
        <w:sz w:val="18"/>
      </w:rPr>
    </w:pPr>
    <w:r w:rsidRPr="00630A52">
      <w:rPr>
        <w:noProof/>
        <w:color w:val="262626" w:themeColor="text1" w:themeTint="D9"/>
        <w:sz w:val="18"/>
        <w:lang w:val="es-CL" w:eastAsia="es-CL"/>
      </w:rPr>
      <mc:AlternateContent>
        <mc:Choice Requires="wps">
          <w:drawing>
            <wp:anchor distT="0" distB="0" distL="114300" distR="114300" simplePos="0" relativeHeight="251659264" behindDoc="1" locked="0" layoutInCell="1" allowOverlap="1" wp14:anchorId="298868EB" wp14:editId="16B9D87B">
              <wp:simplePos x="0" y="0"/>
              <wp:positionH relativeFrom="column">
                <wp:posOffset>5080001</wp:posOffset>
              </wp:positionH>
              <wp:positionV relativeFrom="paragraph">
                <wp:posOffset>-139783</wp:posOffset>
              </wp:positionV>
              <wp:extent cx="405848" cy="552450"/>
              <wp:effectExtent l="0" t="0" r="635" b="6350"/>
              <wp:wrapNone/>
              <wp:docPr id="453" name="Rectángulo 453"/>
              <wp:cNvGraphicFramePr/>
              <a:graphic xmlns:a="http://schemas.openxmlformats.org/drawingml/2006/main">
                <a:graphicData uri="http://schemas.microsoft.com/office/word/2010/wordprocessingShape">
                  <wps:wsp>
                    <wps:cNvSpPr/>
                    <wps:spPr>
                      <a:xfrm>
                        <a:off x="0" y="0"/>
                        <a:ext cx="405848" cy="552450"/>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8CBFE9A" id="Rectángulo 453" o:spid="_x0000_s1026" style="position:absolute;margin-left:400pt;margin-top:-11pt;width:31.95pt;height: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" fillcolor="#e36c0a [2409]" stroked="f" strokeweight="2pt"/>
          </w:pict>
        </mc:Fallback>
      </mc:AlternateContent>
    </w:r>
    <w:r>
      <w:rPr>
        <w:color w:val="262626" w:themeColor="text1" w:themeTint="D9"/>
        <w:sz w:val="18"/>
      </w:rPr>
      <w:t xml:space="preserve"> </w:t>
    </w:r>
  </w:p>
  <w:p w14:paraId="6D19DAE7" w14:textId="31B3F1E6" w:rsidR="00474B36" w:rsidRPr="00F249D4" w:rsidRDefault="00474B36" w:rsidP="00F249D4">
    <w:pPr>
      <w:pStyle w:val="Piedepgina"/>
      <w:ind w:right="360"/>
      <w:jc w:val="both"/>
      <w:rPr>
        <w:color w:val="262626" w:themeColor="text1" w:themeTint="D9"/>
        <w:sz w:val="18"/>
      </w:rPr>
    </w:pPr>
    <w:r w:rsidRPr="00F249D4">
      <w:rPr>
        <w:color w:val="262626" w:themeColor="text1" w:themeTint="D9"/>
        <w:sz w:val="18"/>
      </w:rPr>
      <w:t xml:space="preserve">                                                                                                                             </w:t>
    </w:r>
    <w:r>
      <w:rPr>
        <w:color w:val="262626" w:themeColor="text1" w:themeTint="D9"/>
        <w:sz w:val="18"/>
      </w:rPr>
      <w:t xml:space="preserve">                                              La </w:t>
    </w:r>
    <w:proofErr w:type="spellStart"/>
    <w:r w:rsidRPr="00F249D4">
      <w:rPr>
        <w:color w:val="262626" w:themeColor="text1" w:themeTint="D9"/>
        <w:sz w:val="18"/>
      </w:rPr>
      <w:t>Mitilicult</w:t>
    </w:r>
    <w:r>
      <w:rPr>
        <w:color w:val="262626" w:themeColor="text1" w:themeTint="D9"/>
        <w:sz w:val="18"/>
      </w:rPr>
      <w:t>u</w:t>
    </w:r>
    <w:r w:rsidRPr="00F249D4">
      <w:rPr>
        <w:color w:val="262626" w:themeColor="text1" w:themeTint="D9"/>
        <w:sz w:val="18"/>
      </w:rPr>
      <w:t>ra</w:t>
    </w:r>
    <w:proofErr w:type="spellEnd"/>
    <w:r>
      <w:rPr>
        <w:color w:val="262626" w:themeColor="text1" w:themeTint="D9"/>
        <w:sz w:val="18"/>
      </w:rPr>
      <w:t xml:space="preserve"> </w:t>
    </w:r>
    <w:r w:rsidRPr="00F249D4">
      <w:rPr>
        <w:color w:val="262626" w:themeColor="text1" w:themeTint="D9"/>
        <w:sz w:val="18"/>
      </w:rPr>
      <w:t>en Chile</w:t>
    </w:r>
    <w:r>
      <w:rPr>
        <w:color w:val="262626" w:themeColor="text1" w:themeTint="D9"/>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5CFEDE" w14:textId="77777777" w:rsidR="00433A6D" w:rsidRDefault="00433A6D" w:rsidP="00B81524">
      <w:pPr>
        <w:spacing w:after="0" w:line="240" w:lineRule="auto"/>
      </w:pPr>
      <w:r>
        <w:separator/>
      </w:r>
    </w:p>
  </w:footnote>
  <w:footnote w:type="continuationSeparator" w:id="0">
    <w:p w14:paraId="7237AB1C" w14:textId="77777777" w:rsidR="00433A6D" w:rsidRDefault="00433A6D" w:rsidP="00B815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666B7"/>
    <w:multiLevelType w:val="hybridMultilevel"/>
    <w:tmpl w:val="7466D6D8"/>
    <w:lvl w:ilvl="0" w:tplc="040A000F">
      <w:start w:val="1"/>
      <w:numFmt w:val="decimal"/>
      <w:lvlText w:val="%1."/>
      <w:lvlJc w:val="left"/>
      <w:pPr>
        <w:ind w:left="502"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17996BCB"/>
    <w:multiLevelType w:val="multilevel"/>
    <w:tmpl w:val="6ED2FA96"/>
    <w:lvl w:ilvl="0">
      <w:start w:val="1"/>
      <w:numFmt w:val="decimal"/>
      <w:lvlText w:val="%1."/>
      <w:lvlJc w:val="left"/>
      <w:pPr>
        <w:ind w:left="720" w:hanging="360"/>
      </w:pPr>
      <w:rPr>
        <w:rFonts w:ascii="Times New Roman" w:hAnsi="Times New Roman" w:cs="Times New Roman"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3691DD8"/>
    <w:multiLevelType w:val="hybridMultilevel"/>
    <w:tmpl w:val="D92E3480"/>
    <w:lvl w:ilvl="0" w:tplc="99CE1066">
      <w:start w:val="1"/>
      <w:numFmt w:val="decimal"/>
      <w:lvlText w:val="%1."/>
      <w:lvlJc w:val="left"/>
      <w:pPr>
        <w:ind w:left="1080" w:hanging="360"/>
      </w:pPr>
      <w:rPr>
        <w:rFonts w:hint="default"/>
        <w:color w:val="E36C0A" w:themeColor="accent6" w:themeShade="BF"/>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
    <w:nsid w:val="27ED7068"/>
    <w:multiLevelType w:val="hybridMultilevel"/>
    <w:tmpl w:val="D1BA874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322D1391"/>
    <w:multiLevelType w:val="hybridMultilevel"/>
    <w:tmpl w:val="BF0264A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2FC272B"/>
    <w:multiLevelType w:val="hybridMultilevel"/>
    <w:tmpl w:val="473AD63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3AB5214"/>
    <w:multiLevelType w:val="hybridMultilevel"/>
    <w:tmpl w:val="909C5D3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B2F3BCC"/>
    <w:multiLevelType w:val="hybridMultilevel"/>
    <w:tmpl w:val="D9647B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0DC72BD"/>
    <w:multiLevelType w:val="hybridMultilevel"/>
    <w:tmpl w:val="2C286B2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9">
    <w:nsid w:val="4116255F"/>
    <w:multiLevelType w:val="hybridMultilevel"/>
    <w:tmpl w:val="D1CE4C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43F83F26"/>
    <w:multiLevelType w:val="hybridMultilevel"/>
    <w:tmpl w:val="A1D629A8"/>
    <w:lvl w:ilvl="0" w:tplc="DA684864">
      <w:start w:val="1"/>
      <w:numFmt w:val="decimal"/>
      <w:lvlText w:val="(%1)"/>
      <w:lvlJc w:val="left"/>
      <w:pPr>
        <w:ind w:left="765" w:hanging="405"/>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nsid w:val="46DD3ED6"/>
    <w:multiLevelType w:val="hybridMultilevel"/>
    <w:tmpl w:val="2766BC74"/>
    <w:lvl w:ilvl="0" w:tplc="63F4E468">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81E638C"/>
    <w:multiLevelType w:val="hybridMultilevel"/>
    <w:tmpl w:val="6EE246B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48936D11"/>
    <w:multiLevelType w:val="hybridMultilevel"/>
    <w:tmpl w:val="E7960E88"/>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4">
    <w:nsid w:val="5285045B"/>
    <w:multiLevelType w:val="hybridMultilevel"/>
    <w:tmpl w:val="78827EF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50564E6"/>
    <w:multiLevelType w:val="hybridMultilevel"/>
    <w:tmpl w:val="061A6CC0"/>
    <w:lvl w:ilvl="0" w:tplc="93C44C50">
      <w:start w:val="1"/>
      <w:numFmt w:val="decimal"/>
      <w:lvlText w:val="%1)"/>
      <w:lvlJc w:val="left"/>
      <w:pPr>
        <w:ind w:left="360" w:hanging="360"/>
      </w:pPr>
      <w:rPr>
        <w:rFonts w:ascii="Titillium Light" w:hAnsi="Titillium Light" w:hint="default"/>
        <w:color w:val="F79646" w:themeColor="accent6"/>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6">
    <w:nsid w:val="71BE4673"/>
    <w:multiLevelType w:val="hybridMultilevel"/>
    <w:tmpl w:val="4D762A7E"/>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7">
    <w:nsid w:val="76F61206"/>
    <w:multiLevelType w:val="hybridMultilevel"/>
    <w:tmpl w:val="2E0874F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nsid w:val="7A91649E"/>
    <w:multiLevelType w:val="hybridMultilevel"/>
    <w:tmpl w:val="B4EC3878"/>
    <w:lvl w:ilvl="0" w:tplc="340A0001">
      <w:start w:val="1"/>
      <w:numFmt w:val="bullet"/>
      <w:lvlText w:val=""/>
      <w:lvlJc w:val="left"/>
      <w:pPr>
        <w:ind w:left="5889" w:hanging="360"/>
      </w:pPr>
      <w:rPr>
        <w:rFonts w:ascii="Symbol" w:hAnsi="Symbol" w:hint="default"/>
      </w:rPr>
    </w:lvl>
    <w:lvl w:ilvl="1" w:tplc="340A0003" w:tentative="1">
      <w:start w:val="1"/>
      <w:numFmt w:val="bullet"/>
      <w:lvlText w:val="o"/>
      <w:lvlJc w:val="left"/>
      <w:pPr>
        <w:ind w:left="6609" w:hanging="360"/>
      </w:pPr>
      <w:rPr>
        <w:rFonts w:ascii="Courier New" w:hAnsi="Courier New" w:cs="Courier New" w:hint="default"/>
      </w:rPr>
    </w:lvl>
    <w:lvl w:ilvl="2" w:tplc="340A0005" w:tentative="1">
      <w:start w:val="1"/>
      <w:numFmt w:val="bullet"/>
      <w:lvlText w:val=""/>
      <w:lvlJc w:val="left"/>
      <w:pPr>
        <w:ind w:left="7329" w:hanging="360"/>
      </w:pPr>
      <w:rPr>
        <w:rFonts w:ascii="Wingdings" w:hAnsi="Wingdings" w:hint="default"/>
      </w:rPr>
    </w:lvl>
    <w:lvl w:ilvl="3" w:tplc="340A0001" w:tentative="1">
      <w:start w:val="1"/>
      <w:numFmt w:val="bullet"/>
      <w:lvlText w:val=""/>
      <w:lvlJc w:val="left"/>
      <w:pPr>
        <w:ind w:left="8049" w:hanging="360"/>
      </w:pPr>
      <w:rPr>
        <w:rFonts w:ascii="Symbol" w:hAnsi="Symbol" w:hint="default"/>
      </w:rPr>
    </w:lvl>
    <w:lvl w:ilvl="4" w:tplc="340A0003" w:tentative="1">
      <w:start w:val="1"/>
      <w:numFmt w:val="bullet"/>
      <w:lvlText w:val="o"/>
      <w:lvlJc w:val="left"/>
      <w:pPr>
        <w:ind w:left="8769" w:hanging="360"/>
      </w:pPr>
      <w:rPr>
        <w:rFonts w:ascii="Courier New" w:hAnsi="Courier New" w:cs="Courier New" w:hint="default"/>
      </w:rPr>
    </w:lvl>
    <w:lvl w:ilvl="5" w:tplc="340A0005" w:tentative="1">
      <w:start w:val="1"/>
      <w:numFmt w:val="bullet"/>
      <w:lvlText w:val=""/>
      <w:lvlJc w:val="left"/>
      <w:pPr>
        <w:ind w:left="9489" w:hanging="360"/>
      </w:pPr>
      <w:rPr>
        <w:rFonts w:ascii="Wingdings" w:hAnsi="Wingdings" w:hint="default"/>
      </w:rPr>
    </w:lvl>
    <w:lvl w:ilvl="6" w:tplc="340A0001" w:tentative="1">
      <w:start w:val="1"/>
      <w:numFmt w:val="bullet"/>
      <w:lvlText w:val=""/>
      <w:lvlJc w:val="left"/>
      <w:pPr>
        <w:ind w:left="10209" w:hanging="360"/>
      </w:pPr>
      <w:rPr>
        <w:rFonts w:ascii="Symbol" w:hAnsi="Symbol" w:hint="default"/>
      </w:rPr>
    </w:lvl>
    <w:lvl w:ilvl="7" w:tplc="340A0003" w:tentative="1">
      <w:start w:val="1"/>
      <w:numFmt w:val="bullet"/>
      <w:lvlText w:val="o"/>
      <w:lvlJc w:val="left"/>
      <w:pPr>
        <w:ind w:left="10929" w:hanging="360"/>
      </w:pPr>
      <w:rPr>
        <w:rFonts w:ascii="Courier New" w:hAnsi="Courier New" w:cs="Courier New" w:hint="default"/>
      </w:rPr>
    </w:lvl>
    <w:lvl w:ilvl="8" w:tplc="340A0005" w:tentative="1">
      <w:start w:val="1"/>
      <w:numFmt w:val="bullet"/>
      <w:lvlText w:val=""/>
      <w:lvlJc w:val="left"/>
      <w:pPr>
        <w:ind w:left="11649" w:hanging="360"/>
      </w:pPr>
      <w:rPr>
        <w:rFonts w:ascii="Wingdings" w:hAnsi="Wingdings" w:hint="default"/>
      </w:rPr>
    </w:lvl>
  </w:abstractNum>
  <w:num w:numId="1">
    <w:abstractNumId w:val="11"/>
  </w:num>
  <w:num w:numId="2">
    <w:abstractNumId w:val="4"/>
  </w:num>
  <w:num w:numId="3">
    <w:abstractNumId w:val="6"/>
  </w:num>
  <w:num w:numId="4">
    <w:abstractNumId w:val="16"/>
  </w:num>
  <w:num w:numId="5">
    <w:abstractNumId w:val="8"/>
  </w:num>
  <w:num w:numId="6">
    <w:abstractNumId w:val="13"/>
  </w:num>
  <w:num w:numId="7">
    <w:abstractNumId w:val="5"/>
  </w:num>
  <w:num w:numId="8">
    <w:abstractNumId w:val="7"/>
  </w:num>
  <w:num w:numId="9">
    <w:abstractNumId w:val="14"/>
  </w:num>
  <w:num w:numId="10">
    <w:abstractNumId w:val="9"/>
  </w:num>
  <w:num w:numId="11">
    <w:abstractNumId w:val="0"/>
  </w:num>
  <w:num w:numId="12">
    <w:abstractNumId w:val="17"/>
  </w:num>
  <w:num w:numId="13">
    <w:abstractNumId w:val="1"/>
  </w:num>
  <w:num w:numId="14">
    <w:abstractNumId w:val="2"/>
  </w:num>
  <w:num w:numId="15">
    <w:abstractNumId w:val="10"/>
  </w:num>
  <w:num w:numId="16">
    <w:abstractNumId w:val="3"/>
  </w:num>
  <w:num w:numId="17">
    <w:abstractNumId w:val="2"/>
    <w:lvlOverride w:ilvl="0">
      <w:startOverride w:val="1"/>
    </w:lvlOverride>
  </w:num>
  <w:num w:numId="18">
    <w:abstractNumId w:val="15"/>
  </w:num>
  <w:num w:numId="19">
    <w:abstractNumId w:val="12"/>
  </w:num>
  <w:num w:numId="20">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anco Papic">
    <w15:presenceInfo w15:providerId="None" w15:userId="Branco Papi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160"/>
  <w:drawingGridVerticalSpacing w:val="435"/>
  <w:displayHorizontalDrawingGridEvery w:val="2"/>
  <w:characterSpacingControl w:val="doNotCompress"/>
  <w:hdrShapeDefaults>
    <o:shapedefaults v:ext="edit" spidmax="2049">
      <o:colormru v:ext="edit" colors="#ffc,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ACE"/>
    <w:rsid w:val="00000B20"/>
    <w:rsid w:val="00001C3E"/>
    <w:rsid w:val="00001D72"/>
    <w:rsid w:val="000021AE"/>
    <w:rsid w:val="00002ACE"/>
    <w:rsid w:val="00004F8F"/>
    <w:rsid w:val="00005C2B"/>
    <w:rsid w:val="00005D29"/>
    <w:rsid w:val="000068A6"/>
    <w:rsid w:val="00014F85"/>
    <w:rsid w:val="00016A0E"/>
    <w:rsid w:val="00020774"/>
    <w:rsid w:val="00020D17"/>
    <w:rsid w:val="00023B3E"/>
    <w:rsid w:val="000263D6"/>
    <w:rsid w:val="00027880"/>
    <w:rsid w:val="00031DDB"/>
    <w:rsid w:val="00033BC8"/>
    <w:rsid w:val="00033C1E"/>
    <w:rsid w:val="0003618D"/>
    <w:rsid w:val="000362E7"/>
    <w:rsid w:val="00040686"/>
    <w:rsid w:val="000453AD"/>
    <w:rsid w:val="00046BBD"/>
    <w:rsid w:val="000479F1"/>
    <w:rsid w:val="00047B4E"/>
    <w:rsid w:val="00051D3B"/>
    <w:rsid w:val="0005272D"/>
    <w:rsid w:val="00052876"/>
    <w:rsid w:val="0005620E"/>
    <w:rsid w:val="0005710D"/>
    <w:rsid w:val="000573CD"/>
    <w:rsid w:val="000606B4"/>
    <w:rsid w:val="0006133E"/>
    <w:rsid w:val="00061647"/>
    <w:rsid w:val="00062754"/>
    <w:rsid w:val="00063FC9"/>
    <w:rsid w:val="00070838"/>
    <w:rsid w:val="00071277"/>
    <w:rsid w:val="00071804"/>
    <w:rsid w:val="00071885"/>
    <w:rsid w:val="00071CFB"/>
    <w:rsid w:val="000721E1"/>
    <w:rsid w:val="00074006"/>
    <w:rsid w:val="0007468B"/>
    <w:rsid w:val="00075C09"/>
    <w:rsid w:val="000767B3"/>
    <w:rsid w:val="000770A0"/>
    <w:rsid w:val="000771D5"/>
    <w:rsid w:val="00077564"/>
    <w:rsid w:val="00080A3B"/>
    <w:rsid w:val="00080E2E"/>
    <w:rsid w:val="00082B2B"/>
    <w:rsid w:val="000849B1"/>
    <w:rsid w:val="00085D0E"/>
    <w:rsid w:val="00085DF5"/>
    <w:rsid w:val="00085E84"/>
    <w:rsid w:val="000864DC"/>
    <w:rsid w:val="00086DF8"/>
    <w:rsid w:val="00095E27"/>
    <w:rsid w:val="00095EFB"/>
    <w:rsid w:val="00096AC3"/>
    <w:rsid w:val="0009774D"/>
    <w:rsid w:val="000A0161"/>
    <w:rsid w:val="000A16F7"/>
    <w:rsid w:val="000A2C00"/>
    <w:rsid w:val="000A3F67"/>
    <w:rsid w:val="000A48B3"/>
    <w:rsid w:val="000A5506"/>
    <w:rsid w:val="000A676C"/>
    <w:rsid w:val="000A7719"/>
    <w:rsid w:val="000B2056"/>
    <w:rsid w:val="000B3AD8"/>
    <w:rsid w:val="000B46FE"/>
    <w:rsid w:val="000B4DFD"/>
    <w:rsid w:val="000B4FA6"/>
    <w:rsid w:val="000B5B93"/>
    <w:rsid w:val="000C1580"/>
    <w:rsid w:val="000C4731"/>
    <w:rsid w:val="000C6DFC"/>
    <w:rsid w:val="000C7099"/>
    <w:rsid w:val="000C77F3"/>
    <w:rsid w:val="000C7A45"/>
    <w:rsid w:val="000C7BAD"/>
    <w:rsid w:val="000D1C8F"/>
    <w:rsid w:val="000D1C99"/>
    <w:rsid w:val="000D23CE"/>
    <w:rsid w:val="000D3FDC"/>
    <w:rsid w:val="000D7271"/>
    <w:rsid w:val="000D7F78"/>
    <w:rsid w:val="000E1B31"/>
    <w:rsid w:val="000E39EF"/>
    <w:rsid w:val="000E4A52"/>
    <w:rsid w:val="000E5220"/>
    <w:rsid w:val="000F1223"/>
    <w:rsid w:val="000F293F"/>
    <w:rsid w:val="000F2BAF"/>
    <w:rsid w:val="000F390D"/>
    <w:rsid w:val="000F6188"/>
    <w:rsid w:val="000F70CD"/>
    <w:rsid w:val="000F7199"/>
    <w:rsid w:val="00100095"/>
    <w:rsid w:val="001026DA"/>
    <w:rsid w:val="00105982"/>
    <w:rsid w:val="00111E24"/>
    <w:rsid w:val="00112572"/>
    <w:rsid w:val="00112C2D"/>
    <w:rsid w:val="001132A4"/>
    <w:rsid w:val="00115527"/>
    <w:rsid w:val="00116403"/>
    <w:rsid w:val="00116A31"/>
    <w:rsid w:val="00117297"/>
    <w:rsid w:val="00117F96"/>
    <w:rsid w:val="00117FE6"/>
    <w:rsid w:val="00122004"/>
    <w:rsid w:val="001226E3"/>
    <w:rsid w:val="00122D33"/>
    <w:rsid w:val="001231CC"/>
    <w:rsid w:val="00125C38"/>
    <w:rsid w:val="00127A4A"/>
    <w:rsid w:val="00127DCD"/>
    <w:rsid w:val="001307E5"/>
    <w:rsid w:val="00140134"/>
    <w:rsid w:val="00140631"/>
    <w:rsid w:val="001414E6"/>
    <w:rsid w:val="00141A8B"/>
    <w:rsid w:val="00145D55"/>
    <w:rsid w:val="001462F0"/>
    <w:rsid w:val="001507D3"/>
    <w:rsid w:val="00151887"/>
    <w:rsid w:val="00152EEA"/>
    <w:rsid w:val="0015331F"/>
    <w:rsid w:val="00153640"/>
    <w:rsid w:val="00156EDD"/>
    <w:rsid w:val="00157909"/>
    <w:rsid w:val="00160A84"/>
    <w:rsid w:val="001637BE"/>
    <w:rsid w:val="0016461A"/>
    <w:rsid w:val="00166291"/>
    <w:rsid w:val="0016726D"/>
    <w:rsid w:val="001707D7"/>
    <w:rsid w:val="00171324"/>
    <w:rsid w:val="00174C6E"/>
    <w:rsid w:val="001756F6"/>
    <w:rsid w:val="001802A6"/>
    <w:rsid w:val="00180B9D"/>
    <w:rsid w:val="00182676"/>
    <w:rsid w:val="001829A7"/>
    <w:rsid w:val="0018421B"/>
    <w:rsid w:val="001848D6"/>
    <w:rsid w:val="00184FFC"/>
    <w:rsid w:val="001852D4"/>
    <w:rsid w:val="00185381"/>
    <w:rsid w:val="00186911"/>
    <w:rsid w:val="00186980"/>
    <w:rsid w:val="00186989"/>
    <w:rsid w:val="00187969"/>
    <w:rsid w:val="00190ADE"/>
    <w:rsid w:val="001910DA"/>
    <w:rsid w:val="00191C6E"/>
    <w:rsid w:val="00192632"/>
    <w:rsid w:val="00193122"/>
    <w:rsid w:val="00197DDA"/>
    <w:rsid w:val="001A208D"/>
    <w:rsid w:val="001A2406"/>
    <w:rsid w:val="001A4333"/>
    <w:rsid w:val="001A443C"/>
    <w:rsid w:val="001A4E98"/>
    <w:rsid w:val="001A6664"/>
    <w:rsid w:val="001B3FCD"/>
    <w:rsid w:val="001B6116"/>
    <w:rsid w:val="001C137B"/>
    <w:rsid w:val="001C62D0"/>
    <w:rsid w:val="001C73DE"/>
    <w:rsid w:val="001C7B6E"/>
    <w:rsid w:val="001D1B3C"/>
    <w:rsid w:val="001D2361"/>
    <w:rsid w:val="001D3602"/>
    <w:rsid w:val="001D41B0"/>
    <w:rsid w:val="001D4D13"/>
    <w:rsid w:val="001D62CF"/>
    <w:rsid w:val="001D6333"/>
    <w:rsid w:val="001D7126"/>
    <w:rsid w:val="001E0FD7"/>
    <w:rsid w:val="001E1AB2"/>
    <w:rsid w:val="001E2047"/>
    <w:rsid w:val="001E570F"/>
    <w:rsid w:val="001E5C54"/>
    <w:rsid w:val="001E7919"/>
    <w:rsid w:val="001F030E"/>
    <w:rsid w:val="001F20A6"/>
    <w:rsid w:val="001F6176"/>
    <w:rsid w:val="001F65E8"/>
    <w:rsid w:val="001F6605"/>
    <w:rsid w:val="001F730C"/>
    <w:rsid w:val="001F7F66"/>
    <w:rsid w:val="00200E13"/>
    <w:rsid w:val="00201A30"/>
    <w:rsid w:val="00202346"/>
    <w:rsid w:val="00202C0A"/>
    <w:rsid w:val="00204A4F"/>
    <w:rsid w:val="00205F71"/>
    <w:rsid w:val="0020657C"/>
    <w:rsid w:val="00210073"/>
    <w:rsid w:val="002106CD"/>
    <w:rsid w:val="00210FB9"/>
    <w:rsid w:val="002163C8"/>
    <w:rsid w:val="0021701B"/>
    <w:rsid w:val="002172D3"/>
    <w:rsid w:val="00223140"/>
    <w:rsid w:val="00224353"/>
    <w:rsid w:val="002245D5"/>
    <w:rsid w:val="002302CC"/>
    <w:rsid w:val="00230493"/>
    <w:rsid w:val="00231AAF"/>
    <w:rsid w:val="00234340"/>
    <w:rsid w:val="00235045"/>
    <w:rsid w:val="0023547B"/>
    <w:rsid w:val="00235569"/>
    <w:rsid w:val="00236046"/>
    <w:rsid w:val="00236809"/>
    <w:rsid w:val="00237D9E"/>
    <w:rsid w:val="002409A5"/>
    <w:rsid w:val="0024247A"/>
    <w:rsid w:val="002442BC"/>
    <w:rsid w:val="00244CE1"/>
    <w:rsid w:val="00245123"/>
    <w:rsid w:val="00245BEF"/>
    <w:rsid w:val="00246095"/>
    <w:rsid w:val="0025077C"/>
    <w:rsid w:val="00251B02"/>
    <w:rsid w:val="0025380D"/>
    <w:rsid w:val="00253F47"/>
    <w:rsid w:val="00253FC8"/>
    <w:rsid w:val="0025542D"/>
    <w:rsid w:val="0025645E"/>
    <w:rsid w:val="002570BC"/>
    <w:rsid w:val="00262851"/>
    <w:rsid w:val="0026448D"/>
    <w:rsid w:val="002647BB"/>
    <w:rsid w:val="00266628"/>
    <w:rsid w:val="00266A38"/>
    <w:rsid w:val="0026778B"/>
    <w:rsid w:val="002677E0"/>
    <w:rsid w:val="00272D16"/>
    <w:rsid w:val="00272FBA"/>
    <w:rsid w:val="00273D1A"/>
    <w:rsid w:val="002754C9"/>
    <w:rsid w:val="002830D4"/>
    <w:rsid w:val="002875D3"/>
    <w:rsid w:val="002878D8"/>
    <w:rsid w:val="00287EE6"/>
    <w:rsid w:val="00290999"/>
    <w:rsid w:val="00291AAC"/>
    <w:rsid w:val="00292B51"/>
    <w:rsid w:val="00295065"/>
    <w:rsid w:val="00296E12"/>
    <w:rsid w:val="00297F2B"/>
    <w:rsid w:val="002A26C2"/>
    <w:rsid w:val="002A342E"/>
    <w:rsid w:val="002A3919"/>
    <w:rsid w:val="002A56E6"/>
    <w:rsid w:val="002B4EF6"/>
    <w:rsid w:val="002B5697"/>
    <w:rsid w:val="002B570B"/>
    <w:rsid w:val="002C0A6D"/>
    <w:rsid w:val="002C2335"/>
    <w:rsid w:val="002D0226"/>
    <w:rsid w:val="002D12E0"/>
    <w:rsid w:val="002D192D"/>
    <w:rsid w:val="002E25FB"/>
    <w:rsid w:val="002E2EAC"/>
    <w:rsid w:val="002E3901"/>
    <w:rsid w:val="002E3A31"/>
    <w:rsid w:val="002E4FB1"/>
    <w:rsid w:val="002E5E1B"/>
    <w:rsid w:val="002E62C5"/>
    <w:rsid w:val="002E63C7"/>
    <w:rsid w:val="002E652C"/>
    <w:rsid w:val="002F0B65"/>
    <w:rsid w:val="002F130B"/>
    <w:rsid w:val="002F18D9"/>
    <w:rsid w:val="002F5101"/>
    <w:rsid w:val="002F578B"/>
    <w:rsid w:val="002F6968"/>
    <w:rsid w:val="002F6D52"/>
    <w:rsid w:val="002F72C7"/>
    <w:rsid w:val="002F7E9A"/>
    <w:rsid w:val="00301CAE"/>
    <w:rsid w:val="00304780"/>
    <w:rsid w:val="0031000E"/>
    <w:rsid w:val="00313B13"/>
    <w:rsid w:val="00320A8A"/>
    <w:rsid w:val="00320D71"/>
    <w:rsid w:val="00320D9F"/>
    <w:rsid w:val="00322592"/>
    <w:rsid w:val="00322EFC"/>
    <w:rsid w:val="00323FC4"/>
    <w:rsid w:val="003242EA"/>
    <w:rsid w:val="003328FE"/>
    <w:rsid w:val="00333FC8"/>
    <w:rsid w:val="00342F1D"/>
    <w:rsid w:val="0034318A"/>
    <w:rsid w:val="00343562"/>
    <w:rsid w:val="00343748"/>
    <w:rsid w:val="0034584A"/>
    <w:rsid w:val="003466B2"/>
    <w:rsid w:val="00352C45"/>
    <w:rsid w:val="00352F02"/>
    <w:rsid w:val="003539DB"/>
    <w:rsid w:val="00355844"/>
    <w:rsid w:val="00357024"/>
    <w:rsid w:val="003603BA"/>
    <w:rsid w:val="0036351A"/>
    <w:rsid w:val="00363AD7"/>
    <w:rsid w:val="003641DA"/>
    <w:rsid w:val="00365F2A"/>
    <w:rsid w:val="003676FE"/>
    <w:rsid w:val="0037043A"/>
    <w:rsid w:val="0037131E"/>
    <w:rsid w:val="003724C5"/>
    <w:rsid w:val="003726B8"/>
    <w:rsid w:val="003760F2"/>
    <w:rsid w:val="0037632E"/>
    <w:rsid w:val="003767D1"/>
    <w:rsid w:val="00377A28"/>
    <w:rsid w:val="00380863"/>
    <w:rsid w:val="00381B35"/>
    <w:rsid w:val="003825FE"/>
    <w:rsid w:val="00383FDA"/>
    <w:rsid w:val="00384883"/>
    <w:rsid w:val="0038641B"/>
    <w:rsid w:val="00387512"/>
    <w:rsid w:val="00390594"/>
    <w:rsid w:val="003921A6"/>
    <w:rsid w:val="00396541"/>
    <w:rsid w:val="003978A9"/>
    <w:rsid w:val="003A6E1A"/>
    <w:rsid w:val="003B0F76"/>
    <w:rsid w:val="003B2014"/>
    <w:rsid w:val="003B2AA5"/>
    <w:rsid w:val="003B34FC"/>
    <w:rsid w:val="003B5F36"/>
    <w:rsid w:val="003B64A8"/>
    <w:rsid w:val="003B6F98"/>
    <w:rsid w:val="003B708F"/>
    <w:rsid w:val="003B78B5"/>
    <w:rsid w:val="003C3EFA"/>
    <w:rsid w:val="003C4CEC"/>
    <w:rsid w:val="003D1429"/>
    <w:rsid w:val="003D218D"/>
    <w:rsid w:val="003D2E4E"/>
    <w:rsid w:val="003D2FAD"/>
    <w:rsid w:val="003D304B"/>
    <w:rsid w:val="003D3DD5"/>
    <w:rsid w:val="003E0B80"/>
    <w:rsid w:val="003E2C96"/>
    <w:rsid w:val="003E3D1D"/>
    <w:rsid w:val="003E40E6"/>
    <w:rsid w:val="003E636E"/>
    <w:rsid w:val="003E6E09"/>
    <w:rsid w:val="003E6E93"/>
    <w:rsid w:val="003E7FEC"/>
    <w:rsid w:val="003F19C8"/>
    <w:rsid w:val="003F1BD3"/>
    <w:rsid w:val="003F32C5"/>
    <w:rsid w:val="003F64E9"/>
    <w:rsid w:val="003F6953"/>
    <w:rsid w:val="00402A8C"/>
    <w:rsid w:val="00402BBB"/>
    <w:rsid w:val="0040372C"/>
    <w:rsid w:val="00404120"/>
    <w:rsid w:val="00404256"/>
    <w:rsid w:val="0040466B"/>
    <w:rsid w:val="00405867"/>
    <w:rsid w:val="00406FC6"/>
    <w:rsid w:val="00407FAF"/>
    <w:rsid w:val="00412391"/>
    <w:rsid w:val="00412E84"/>
    <w:rsid w:val="00415235"/>
    <w:rsid w:val="00415976"/>
    <w:rsid w:val="0041652E"/>
    <w:rsid w:val="00416AD6"/>
    <w:rsid w:val="00420723"/>
    <w:rsid w:val="00420F23"/>
    <w:rsid w:val="0042272E"/>
    <w:rsid w:val="00422CF0"/>
    <w:rsid w:val="0042366C"/>
    <w:rsid w:val="00423F42"/>
    <w:rsid w:val="00424365"/>
    <w:rsid w:val="0042437C"/>
    <w:rsid w:val="004243BD"/>
    <w:rsid w:val="00425961"/>
    <w:rsid w:val="00426859"/>
    <w:rsid w:val="004269DD"/>
    <w:rsid w:val="00431E85"/>
    <w:rsid w:val="00432114"/>
    <w:rsid w:val="0043300B"/>
    <w:rsid w:val="00433A6D"/>
    <w:rsid w:val="0043455F"/>
    <w:rsid w:val="00434FE7"/>
    <w:rsid w:val="004356D0"/>
    <w:rsid w:val="00436D53"/>
    <w:rsid w:val="004377CC"/>
    <w:rsid w:val="00440A11"/>
    <w:rsid w:val="00441FFA"/>
    <w:rsid w:val="00442310"/>
    <w:rsid w:val="0044604D"/>
    <w:rsid w:val="0044629F"/>
    <w:rsid w:val="00446A40"/>
    <w:rsid w:val="004522FE"/>
    <w:rsid w:val="0045338B"/>
    <w:rsid w:val="00454912"/>
    <w:rsid w:val="004564AD"/>
    <w:rsid w:val="00462D68"/>
    <w:rsid w:val="004633B8"/>
    <w:rsid w:val="0047018B"/>
    <w:rsid w:val="0047037A"/>
    <w:rsid w:val="00470C11"/>
    <w:rsid w:val="00471137"/>
    <w:rsid w:val="004729C0"/>
    <w:rsid w:val="00472E38"/>
    <w:rsid w:val="0047345B"/>
    <w:rsid w:val="00474B36"/>
    <w:rsid w:val="004844BC"/>
    <w:rsid w:val="00485490"/>
    <w:rsid w:val="004927E1"/>
    <w:rsid w:val="00492B0C"/>
    <w:rsid w:val="00492C3A"/>
    <w:rsid w:val="0049331F"/>
    <w:rsid w:val="00494B67"/>
    <w:rsid w:val="004A066C"/>
    <w:rsid w:val="004A0A11"/>
    <w:rsid w:val="004A1167"/>
    <w:rsid w:val="004A177F"/>
    <w:rsid w:val="004A28A7"/>
    <w:rsid w:val="004A3355"/>
    <w:rsid w:val="004B1180"/>
    <w:rsid w:val="004B4E5E"/>
    <w:rsid w:val="004C002E"/>
    <w:rsid w:val="004C1AFB"/>
    <w:rsid w:val="004C3D12"/>
    <w:rsid w:val="004C45FC"/>
    <w:rsid w:val="004C4E79"/>
    <w:rsid w:val="004C5139"/>
    <w:rsid w:val="004C577A"/>
    <w:rsid w:val="004C5A06"/>
    <w:rsid w:val="004C5F99"/>
    <w:rsid w:val="004C6DCF"/>
    <w:rsid w:val="004D0064"/>
    <w:rsid w:val="004D0501"/>
    <w:rsid w:val="004D1576"/>
    <w:rsid w:val="004D361B"/>
    <w:rsid w:val="004D4450"/>
    <w:rsid w:val="004D46C8"/>
    <w:rsid w:val="004D4B51"/>
    <w:rsid w:val="004D5896"/>
    <w:rsid w:val="004D656A"/>
    <w:rsid w:val="004D6AF4"/>
    <w:rsid w:val="004E0070"/>
    <w:rsid w:val="004E161C"/>
    <w:rsid w:val="004E38E3"/>
    <w:rsid w:val="004E5A2D"/>
    <w:rsid w:val="004E6775"/>
    <w:rsid w:val="004E7F59"/>
    <w:rsid w:val="004F026C"/>
    <w:rsid w:val="004F090D"/>
    <w:rsid w:val="004F29DA"/>
    <w:rsid w:val="004F2A9D"/>
    <w:rsid w:val="004F54F3"/>
    <w:rsid w:val="00500CD9"/>
    <w:rsid w:val="00502BBF"/>
    <w:rsid w:val="00505B2A"/>
    <w:rsid w:val="00507B9B"/>
    <w:rsid w:val="00510351"/>
    <w:rsid w:val="00510686"/>
    <w:rsid w:val="0051293F"/>
    <w:rsid w:val="005141AA"/>
    <w:rsid w:val="005142DE"/>
    <w:rsid w:val="00514647"/>
    <w:rsid w:val="00514A55"/>
    <w:rsid w:val="00515034"/>
    <w:rsid w:val="00520847"/>
    <w:rsid w:val="00526E1C"/>
    <w:rsid w:val="005273B0"/>
    <w:rsid w:val="00527D0B"/>
    <w:rsid w:val="005302F7"/>
    <w:rsid w:val="00535766"/>
    <w:rsid w:val="00536236"/>
    <w:rsid w:val="00537CF1"/>
    <w:rsid w:val="00540F89"/>
    <w:rsid w:val="00541C73"/>
    <w:rsid w:val="005429B8"/>
    <w:rsid w:val="00543E93"/>
    <w:rsid w:val="00545B4C"/>
    <w:rsid w:val="00546610"/>
    <w:rsid w:val="0055025D"/>
    <w:rsid w:val="005521DA"/>
    <w:rsid w:val="0055426B"/>
    <w:rsid w:val="00554965"/>
    <w:rsid w:val="00554C45"/>
    <w:rsid w:val="005552AA"/>
    <w:rsid w:val="00557245"/>
    <w:rsid w:val="005577BA"/>
    <w:rsid w:val="00560141"/>
    <w:rsid w:val="00562F4F"/>
    <w:rsid w:val="00563416"/>
    <w:rsid w:val="00573B89"/>
    <w:rsid w:val="0057494A"/>
    <w:rsid w:val="00582FDE"/>
    <w:rsid w:val="0058339E"/>
    <w:rsid w:val="00586B55"/>
    <w:rsid w:val="00590658"/>
    <w:rsid w:val="0059092C"/>
    <w:rsid w:val="005914BC"/>
    <w:rsid w:val="00594B0B"/>
    <w:rsid w:val="00595774"/>
    <w:rsid w:val="00595DC1"/>
    <w:rsid w:val="005A00EF"/>
    <w:rsid w:val="005A2E26"/>
    <w:rsid w:val="005A42B8"/>
    <w:rsid w:val="005A5F28"/>
    <w:rsid w:val="005A5F4B"/>
    <w:rsid w:val="005A6D89"/>
    <w:rsid w:val="005A6EB7"/>
    <w:rsid w:val="005A7AE9"/>
    <w:rsid w:val="005B098D"/>
    <w:rsid w:val="005B2CA5"/>
    <w:rsid w:val="005B5344"/>
    <w:rsid w:val="005B585B"/>
    <w:rsid w:val="005B7605"/>
    <w:rsid w:val="005B7761"/>
    <w:rsid w:val="005C382F"/>
    <w:rsid w:val="005C383A"/>
    <w:rsid w:val="005C3F90"/>
    <w:rsid w:val="005C4B10"/>
    <w:rsid w:val="005C4D64"/>
    <w:rsid w:val="005C7DEC"/>
    <w:rsid w:val="005D0A83"/>
    <w:rsid w:val="005D0CCA"/>
    <w:rsid w:val="005D2109"/>
    <w:rsid w:val="005D4925"/>
    <w:rsid w:val="005D49A4"/>
    <w:rsid w:val="005D5924"/>
    <w:rsid w:val="005D6F88"/>
    <w:rsid w:val="005E1706"/>
    <w:rsid w:val="005E1B54"/>
    <w:rsid w:val="005E6371"/>
    <w:rsid w:val="005E6BCC"/>
    <w:rsid w:val="005E7939"/>
    <w:rsid w:val="005F1F07"/>
    <w:rsid w:val="005F54B5"/>
    <w:rsid w:val="005F5F40"/>
    <w:rsid w:val="005F6B1C"/>
    <w:rsid w:val="00602B01"/>
    <w:rsid w:val="006054FE"/>
    <w:rsid w:val="00607430"/>
    <w:rsid w:val="0061095D"/>
    <w:rsid w:val="00612B24"/>
    <w:rsid w:val="0061363A"/>
    <w:rsid w:val="0061425E"/>
    <w:rsid w:val="00615421"/>
    <w:rsid w:val="00615E14"/>
    <w:rsid w:val="00620569"/>
    <w:rsid w:val="006218DD"/>
    <w:rsid w:val="00623C42"/>
    <w:rsid w:val="006247FC"/>
    <w:rsid w:val="0062600C"/>
    <w:rsid w:val="00630A52"/>
    <w:rsid w:val="00630FD8"/>
    <w:rsid w:val="006326EA"/>
    <w:rsid w:val="00634683"/>
    <w:rsid w:val="00635E7A"/>
    <w:rsid w:val="006365D9"/>
    <w:rsid w:val="006420E2"/>
    <w:rsid w:val="00642ABE"/>
    <w:rsid w:val="006436A5"/>
    <w:rsid w:val="00643799"/>
    <w:rsid w:val="00643A2E"/>
    <w:rsid w:val="00644FB5"/>
    <w:rsid w:val="006461FE"/>
    <w:rsid w:val="006530A7"/>
    <w:rsid w:val="0065762F"/>
    <w:rsid w:val="00657DBA"/>
    <w:rsid w:val="00660CB9"/>
    <w:rsid w:val="00662C5C"/>
    <w:rsid w:val="006643C4"/>
    <w:rsid w:val="006717D3"/>
    <w:rsid w:val="00672816"/>
    <w:rsid w:val="006734A6"/>
    <w:rsid w:val="00674782"/>
    <w:rsid w:val="00676900"/>
    <w:rsid w:val="0068122F"/>
    <w:rsid w:val="00681559"/>
    <w:rsid w:val="00682857"/>
    <w:rsid w:val="00682CEE"/>
    <w:rsid w:val="00684171"/>
    <w:rsid w:val="0068432B"/>
    <w:rsid w:val="00685600"/>
    <w:rsid w:val="00685F07"/>
    <w:rsid w:val="006875C1"/>
    <w:rsid w:val="00691794"/>
    <w:rsid w:val="00692C78"/>
    <w:rsid w:val="00692DA4"/>
    <w:rsid w:val="00692DB9"/>
    <w:rsid w:val="00692E77"/>
    <w:rsid w:val="00697BA2"/>
    <w:rsid w:val="00697CA9"/>
    <w:rsid w:val="006A081C"/>
    <w:rsid w:val="006A09A8"/>
    <w:rsid w:val="006A0D6A"/>
    <w:rsid w:val="006A0F2A"/>
    <w:rsid w:val="006A199D"/>
    <w:rsid w:val="006A1CFD"/>
    <w:rsid w:val="006A3038"/>
    <w:rsid w:val="006A449B"/>
    <w:rsid w:val="006B1A85"/>
    <w:rsid w:val="006B2B6E"/>
    <w:rsid w:val="006B3FC2"/>
    <w:rsid w:val="006B40FC"/>
    <w:rsid w:val="006B5599"/>
    <w:rsid w:val="006B5BC8"/>
    <w:rsid w:val="006B66CD"/>
    <w:rsid w:val="006C028F"/>
    <w:rsid w:val="006C1175"/>
    <w:rsid w:val="006C1A9A"/>
    <w:rsid w:val="006C1E2F"/>
    <w:rsid w:val="006C2B53"/>
    <w:rsid w:val="006C302A"/>
    <w:rsid w:val="006C3712"/>
    <w:rsid w:val="006C529F"/>
    <w:rsid w:val="006C5618"/>
    <w:rsid w:val="006C58B0"/>
    <w:rsid w:val="006C5B2D"/>
    <w:rsid w:val="006C7251"/>
    <w:rsid w:val="006C751F"/>
    <w:rsid w:val="006C7F6E"/>
    <w:rsid w:val="006D0A66"/>
    <w:rsid w:val="006D1E56"/>
    <w:rsid w:val="006D2D9E"/>
    <w:rsid w:val="006D6228"/>
    <w:rsid w:val="006D7692"/>
    <w:rsid w:val="006D7DAF"/>
    <w:rsid w:val="006E13A7"/>
    <w:rsid w:val="006E17A7"/>
    <w:rsid w:val="006E32F8"/>
    <w:rsid w:val="006E61FA"/>
    <w:rsid w:val="006F2E17"/>
    <w:rsid w:val="006F2F6B"/>
    <w:rsid w:val="006F3D86"/>
    <w:rsid w:val="006F4AFC"/>
    <w:rsid w:val="006F4E1E"/>
    <w:rsid w:val="006F51CE"/>
    <w:rsid w:val="006F5CEA"/>
    <w:rsid w:val="0070015E"/>
    <w:rsid w:val="00700330"/>
    <w:rsid w:val="00704419"/>
    <w:rsid w:val="007065E0"/>
    <w:rsid w:val="00711C1E"/>
    <w:rsid w:val="00712F92"/>
    <w:rsid w:val="007142E1"/>
    <w:rsid w:val="00715061"/>
    <w:rsid w:val="00720037"/>
    <w:rsid w:val="0072046A"/>
    <w:rsid w:val="00720D29"/>
    <w:rsid w:val="007215CD"/>
    <w:rsid w:val="007233FD"/>
    <w:rsid w:val="00723AEB"/>
    <w:rsid w:val="00724EA7"/>
    <w:rsid w:val="00724F89"/>
    <w:rsid w:val="00726667"/>
    <w:rsid w:val="007271E8"/>
    <w:rsid w:val="00730462"/>
    <w:rsid w:val="00732ABA"/>
    <w:rsid w:val="007337C5"/>
    <w:rsid w:val="007340D3"/>
    <w:rsid w:val="007341F6"/>
    <w:rsid w:val="00734AC1"/>
    <w:rsid w:val="00735A1E"/>
    <w:rsid w:val="007361FA"/>
    <w:rsid w:val="0073725F"/>
    <w:rsid w:val="00737F94"/>
    <w:rsid w:val="00740088"/>
    <w:rsid w:val="00741A78"/>
    <w:rsid w:val="00741FD1"/>
    <w:rsid w:val="007425CE"/>
    <w:rsid w:val="0074263A"/>
    <w:rsid w:val="00744ED4"/>
    <w:rsid w:val="0074755F"/>
    <w:rsid w:val="007518C0"/>
    <w:rsid w:val="00751C26"/>
    <w:rsid w:val="007523D8"/>
    <w:rsid w:val="00753963"/>
    <w:rsid w:val="00755EFE"/>
    <w:rsid w:val="007563D5"/>
    <w:rsid w:val="00760EC6"/>
    <w:rsid w:val="0076169B"/>
    <w:rsid w:val="007625B2"/>
    <w:rsid w:val="00762C8C"/>
    <w:rsid w:val="00763B81"/>
    <w:rsid w:val="00764609"/>
    <w:rsid w:val="00766093"/>
    <w:rsid w:val="00767804"/>
    <w:rsid w:val="007713FE"/>
    <w:rsid w:val="00772F7D"/>
    <w:rsid w:val="0077304D"/>
    <w:rsid w:val="007732E0"/>
    <w:rsid w:val="00776CC8"/>
    <w:rsid w:val="00776E8C"/>
    <w:rsid w:val="00780EA6"/>
    <w:rsid w:val="00782364"/>
    <w:rsid w:val="00783B75"/>
    <w:rsid w:val="0078543E"/>
    <w:rsid w:val="007868A1"/>
    <w:rsid w:val="0078700D"/>
    <w:rsid w:val="00787A1B"/>
    <w:rsid w:val="00787AAE"/>
    <w:rsid w:val="00791155"/>
    <w:rsid w:val="00793B58"/>
    <w:rsid w:val="00795619"/>
    <w:rsid w:val="00795FEE"/>
    <w:rsid w:val="007973EA"/>
    <w:rsid w:val="007976EF"/>
    <w:rsid w:val="007A0796"/>
    <w:rsid w:val="007A12D4"/>
    <w:rsid w:val="007A225C"/>
    <w:rsid w:val="007A4645"/>
    <w:rsid w:val="007A4BA6"/>
    <w:rsid w:val="007A53AB"/>
    <w:rsid w:val="007B2B69"/>
    <w:rsid w:val="007B4207"/>
    <w:rsid w:val="007B4891"/>
    <w:rsid w:val="007B4D24"/>
    <w:rsid w:val="007B56C9"/>
    <w:rsid w:val="007B5DC7"/>
    <w:rsid w:val="007C0866"/>
    <w:rsid w:val="007C2A2A"/>
    <w:rsid w:val="007C2AFE"/>
    <w:rsid w:val="007C39CE"/>
    <w:rsid w:val="007C61DE"/>
    <w:rsid w:val="007D4127"/>
    <w:rsid w:val="007D45B2"/>
    <w:rsid w:val="007D63F8"/>
    <w:rsid w:val="007D69EF"/>
    <w:rsid w:val="007E12BD"/>
    <w:rsid w:val="007E275F"/>
    <w:rsid w:val="007E4AAF"/>
    <w:rsid w:val="007F064E"/>
    <w:rsid w:val="007F10D0"/>
    <w:rsid w:val="007F1F31"/>
    <w:rsid w:val="007F2596"/>
    <w:rsid w:val="007F4216"/>
    <w:rsid w:val="007F559B"/>
    <w:rsid w:val="007F6A01"/>
    <w:rsid w:val="00801671"/>
    <w:rsid w:val="008024D2"/>
    <w:rsid w:val="00802E34"/>
    <w:rsid w:val="00804906"/>
    <w:rsid w:val="0080593D"/>
    <w:rsid w:val="00810EEB"/>
    <w:rsid w:val="0081113F"/>
    <w:rsid w:val="008113AB"/>
    <w:rsid w:val="0081192B"/>
    <w:rsid w:val="00812BE5"/>
    <w:rsid w:val="00813069"/>
    <w:rsid w:val="00825AAF"/>
    <w:rsid w:val="00832668"/>
    <w:rsid w:val="008330E7"/>
    <w:rsid w:val="00833C27"/>
    <w:rsid w:val="0083562B"/>
    <w:rsid w:val="00836298"/>
    <w:rsid w:val="00836929"/>
    <w:rsid w:val="00836ABF"/>
    <w:rsid w:val="00837299"/>
    <w:rsid w:val="008400F9"/>
    <w:rsid w:val="008412F8"/>
    <w:rsid w:val="008422B7"/>
    <w:rsid w:val="008424DF"/>
    <w:rsid w:val="00842CD8"/>
    <w:rsid w:val="00843CC1"/>
    <w:rsid w:val="008456EB"/>
    <w:rsid w:val="008463D2"/>
    <w:rsid w:val="00846AD9"/>
    <w:rsid w:val="008473BE"/>
    <w:rsid w:val="00847976"/>
    <w:rsid w:val="00847E6B"/>
    <w:rsid w:val="00852573"/>
    <w:rsid w:val="0085330A"/>
    <w:rsid w:val="0085368E"/>
    <w:rsid w:val="00855C90"/>
    <w:rsid w:val="00857729"/>
    <w:rsid w:val="00857989"/>
    <w:rsid w:val="008607F5"/>
    <w:rsid w:val="00863748"/>
    <w:rsid w:val="008647B6"/>
    <w:rsid w:val="0087342F"/>
    <w:rsid w:val="00876506"/>
    <w:rsid w:val="00881211"/>
    <w:rsid w:val="00881513"/>
    <w:rsid w:val="008833C9"/>
    <w:rsid w:val="00883600"/>
    <w:rsid w:val="00883F0A"/>
    <w:rsid w:val="00884055"/>
    <w:rsid w:val="008867ED"/>
    <w:rsid w:val="008867FC"/>
    <w:rsid w:val="0088739B"/>
    <w:rsid w:val="00890AD9"/>
    <w:rsid w:val="008913F8"/>
    <w:rsid w:val="00895A8A"/>
    <w:rsid w:val="0089763F"/>
    <w:rsid w:val="00897743"/>
    <w:rsid w:val="008A227B"/>
    <w:rsid w:val="008A2AA5"/>
    <w:rsid w:val="008A2DA6"/>
    <w:rsid w:val="008A2DBB"/>
    <w:rsid w:val="008A6B45"/>
    <w:rsid w:val="008A7D1D"/>
    <w:rsid w:val="008B0A1D"/>
    <w:rsid w:val="008B1E7E"/>
    <w:rsid w:val="008B2E33"/>
    <w:rsid w:val="008B59A4"/>
    <w:rsid w:val="008B5C6D"/>
    <w:rsid w:val="008B753B"/>
    <w:rsid w:val="008C246E"/>
    <w:rsid w:val="008C27DA"/>
    <w:rsid w:val="008C6ADF"/>
    <w:rsid w:val="008C764C"/>
    <w:rsid w:val="008D093A"/>
    <w:rsid w:val="008D37D7"/>
    <w:rsid w:val="008D6258"/>
    <w:rsid w:val="008D7396"/>
    <w:rsid w:val="008E26B8"/>
    <w:rsid w:val="008E2789"/>
    <w:rsid w:val="008E3303"/>
    <w:rsid w:val="008E7F1B"/>
    <w:rsid w:val="008F3842"/>
    <w:rsid w:val="008F7803"/>
    <w:rsid w:val="008F7951"/>
    <w:rsid w:val="00900B47"/>
    <w:rsid w:val="00901D18"/>
    <w:rsid w:val="00901F7E"/>
    <w:rsid w:val="009043A3"/>
    <w:rsid w:val="00910D79"/>
    <w:rsid w:val="00910DE7"/>
    <w:rsid w:val="00914CC8"/>
    <w:rsid w:val="0091685A"/>
    <w:rsid w:val="0092144F"/>
    <w:rsid w:val="0092209B"/>
    <w:rsid w:val="0092243C"/>
    <w:rsid w:val="00923C86"/>
    <w:rsid w:val="00924550"/>
    <w:rsid w:val="00925514"/>
    <w:rsid w:val="0092661F"/>
    <w:rsid w:val="009267FE"/>
    <w:rsid w:val="009269B8"/>
    <w:rsid w:val="00926BD0"/>
    <w:rsid w:val="00926EA7"/>
    <w:rsid w:val="00927A9E"/>
    <w:rsid w:val="00927EC0"/>
    <w:rsid w:val="0093471A"/>
    <w:rsid w:val="00935437"/>
    <w:rsid w:val="00936788"/>
    <w:rsid w:val="009371DE"/>
    <w:rsid w:val="00940E0E"/>
    <w:rsid w:val="009430AC"/>
    <w:rsid w:val="00946009"/>
    <w:rsid w:val="00946089"/>
    <w:rsid w:val="009467A6"/>
    <w:rsid w:val="00950B8D"/>
    <w:rsid w:val="00951721"/>
    <w:rsid w:val="00951E84"/>
    <w:rsid w:val="0095229C"/>
    <w:rsid w:val="0095254D"/>
    <w:rsid w:val="00952F25"/>
    <w:rsid w:val="009541D3"/>
    <w:rsid w:val="00956F72"/>
    <w:rsid w:val="00960D21"/>
    <w:rsid w:val="00961A66"/>
    <w:rsid w:val="00961AA1"/>
    <w:rsid w:val="00962021"/>
    <w:rsid w:val="009620E8"/>
    <w:rsid w:val="00962753"/>
    <w:rsid w:val="00962937"/>
    <w:rsid w:val="00967039"/>
    <w:rsid w:val="0096718D"/>
    <w:rsid w:val="009711EA"/>
    <w:rsid w:val="009717E8"/>
    <w:rsid w:val="009719C0"/>
    <w:rsid w:val="00972CE5"/>
    <w:rsid w:val="00973D33"/>
    <w:rsid w:val="0097787A"/>
    <w:rsid w:val="0098301B"/>
    <w:rsid w:val="0099177F"/>
    <w:rsid w:val="00992BE5"/>
    <w:rsid w:val="00994779"/>
    <w:rsid w:val="00994BE0"/>
    <w:rsid w:val="009976AF"/>
    <w:rsid w:val="009A1B9C"/>
    <w:rsid w:val="009A36A1"/>
    <w:rsid w:val="009A3945"/>
    <w:rsid w:val="009A560A"/>
    <w:rsid w:val="009A7135"/>
    <w:rsid w:val="009C11CD"/>
    <w:rsid w:val="009C4126"/>
    <w:rsid w:val="009C4432"/>
    <w:rsid w:val="009C599F"/>
    <w:rsid w:val="009D0CA0"/>
    <w:rsid w:val="009D3AAB"/>
    <w:rsid w:val="009D4C01"/>
    <w:rsid w:val="009D5378"/>
    <w:rsid w:val="009D61C0"/>
    <w:rsid w:val="009D6B17"/>
    <w:rsid w:val="009D6C1D"/>
    <w:rsid w:val="009D73EE"/>
    <w:rsid w:val="009E02C6"/>
    <w:rsid w:val="009E24E0"/>
    <w:rsid w:val="009E3E4C"/>
    <w:rsid w:val="009E5B43"/>
    <w:rsid w:val="009E775B"/>
    <w:rsid w:val="009F1F9C"/>
    <w:rsid w:val="009F22DA"/>
    <w:rsid w:val="009F29FC"/>
    <w:rsid w:val="009F2C49"/>
    <w:rsid w:val="009F4CE9"/>
    <w:rsid w:val="009F5FEE"/>
    <w:rsid w:val="00A0309B"/>
    <w:rsid w:val="00A07EBA"/>
    <w:rsid w:val="00A10113"/>
    <w:rsid w:val="00A10321"/>
    <w:rsid w:val="00A20A22"/>
    <w:rsid w:val="00A230EE"/>
    <w:rsid w:val="00A24606"/>
    <w:rsid w:val="00A25C33"/>
    <w:rsid w:val="00A261F2"/>
    <w:rsid w:val="00A300FB"/>
    <w:rsid w:val="00A30F16"/>
    <w:rsid w:val="00A3127B"/>
    <w:rsid w:val="00A313A1"/>
    <w:rsid w:val="00A3398C"/>
    <w:rsid w:val="00A33B10"/>
    <w:rsid w:val="00A349EA"/>
    <w:rsid w:val="00A35757"/>
    <w:rsid w:val="00A35E2F"/>
    <w:rsid w:val="00A36E42"/>
    <w:rsid w:val="00A40035"/>
    <w:rsid w:val="00A402A4"/>
    <w:rsid w:val="00A41962"/>
    <w:rsid w:val="00A41C2B"/>
    <w:rsid w:val="00A42137"/>
    <w:rsid w:val="00A4272A"/>
    <w:rsid w:val="00A43679"/>
    <w:rsid w:val="00A50A5D"/>
    <w:rsid w:val="00A51279"/>
    <w:rsid w:val="00A52318"/>
    <w:rsid w:val="00A54899"/>
    <w:rsid w:val="00A57DC7"/>
    <w:rsid w:val="00A57EC1"/>
    <w:rsid w:val="00A64261"/>
    <w:rsid w:val="00A70835"/>
    <w:rsid w:val="00A70FAE"/>
    <w:rsid w:val="00A72041"/>
    <w:rsid w:val="00A72454"/>
    <w:rsid w:val="00A72A7F"/>
    <w:rsid w:val="00A73E47"/>
    <w:rsid w:val="00A75B05"/>
    <w:rsid w:val="00A76C5E"/>
    <w:rsid w:val="00A81941"/>
    <w:rsid w:val="00A81DDF"/>
    <w:rsid w:val="00A82171"/>
    <w:rsid w:val="00A831EB"/>
    <w:rsid w:val="00A84623"/>
    <w:rsid w:val="00A847EC"/>
    <w:rsid w:val="00A84F39"/>
    <w:rsid w:val="00A8571C"/>
    <w:rsid w:val="00A8574F"/>
    <w:rsid w:val="00A86415"/>
    <w:rsid w:val="00A86AE9"/>
    <w:rsid w:val="00A904FD"/>
    <w:rsid w:val="00A9236D"/>
    <w:rsid w:val="00A929B5"/>
    <w:rsid w:val="00A92EDE"/>
    <w:rsid w:val="00A930B4"/>
    <w:rsid w:val="00A93DE4"/>
    <w:rsid w:val="00A945B7"/>
    <w:rsid w:val="00A969EF"/>
    <w:rsid w:val="00AA0D5A"/>
    <w:rsid w:val="00AA1FFE"/>
    <w:rsid w:val="00AA26A2"/>
    <w:rsid w:val="00AA2E60"/>
    <w:rsid w:val="00AA5697"/>
    <w:rsid w:val="00AA6009"/>
    <w:rsid w:val="00AA617B"/>
    <w:rsid w:val="00AA72A1"/>
    <w:rsid w:val="00AA73AF"/>
    <w:rsid w:val="00AB20A8"/>
    <w:rsid w:val="00AB3E96"/>
    <w:rsid w:val="00AB5E2C"/>
    <w:rsid w:val="00AC2362"/>
    <w:rsid w:val="00AC4176"/>
    <w:rsid w:val="00AC7682"/>
    <w:rsid w:val="00AC7B75"/>
    <w:rsid w:val="00AD0C30"/>
    <w:rsid w:val="00AD315E"/>
    <w:rsid w:val="00AD3586"/>
    <w:rsid w:val="00AD56F0"/>
    <w:rsid w:val="00AD5927"/>
    <w:rsid w:val="00AD5C99"/>
    <w:rsid w:val="00AD5CD9"/>
    <w:rsid w:val="00AD755E"/>
    <w:rsid w:val="00AE042F"/>
    <w:rsid w:val="00AE37C9"/>
    <w:rsid w:val="00AE3ABF"/>
    <w:rsid w:val="00AE4CD6"/>
    <w:rsid w:val="00AE71BB"/>
    <w:rsid w:val="00AF0CD3"/>
    <w:rsid w:val="00AF2ED3"/>
    <w:rsid w:val="00AF3B34"/>
    <w:rsid w:val="00AF62A3"/>
    <w:rsid w:val="00AF635B"/>
    <w:rsid w:val="00AF6FB6"/>
    <w:rsid w:val="00AF79CB"/>
    <w:rsid w:val="00B014FE"/>
    <w:rsid w:val="00B01A5E"/>
    <w:rsid w:val="00B05B0C"/>
    <w:rsid w:val="00B06F78"/>
    <w:rsid w:val="00B07681"/>
    <w:rsid w:val="00B12139"/>
    <w:rsid w:val="00B14D03"/>
    <w:rsid w:val="00B15373"/>
    <w:rsid w:val="00B2185B"/>
    <w:rsid w:val="00B221ED"/>
    <w:rsid w:val="00B23493"/>
    <w:rsid w:val="00B245FF"/>
    <w:rsid w:val="00B26684"/>
    <w:rsid w:val="00B27AF4"/>
    <w:rsid w:val="00B3305A"/>
    <w:rsid w:val="00B34693"/>
    <w:rsid w:val="00B41285"/>
    <w:rsid w:val="00B44C4B"/>
    <w:rsid w:val="00B45164"/>
    <w:rsid w:val="00B467E1"/>
    <w:rsid w:val="00B46C36"/>
    <w:rsid w:val="00B47936"/>
    <w:rsid w:val="00B50279"/>
    <w:rsid w:val="00B531E6"/>
    <w:rsid w:val="00B538EB"/>
    <w:rsid w:val="00B53E12"/>
    <w:rsid w:val="00B53F7E"/>
    <w:rsid w:val="00B54CE4"/>
    <w:rsid w:val="00B54F42"/>
    <w:rsid w:val="00B55AAA"/>
    <w:rsid w:val="00B565E9"/>
    <w:rsid w:val="00B6171C"/>
    <w:rsid w:val="00B63182"/>
    <w:rsid w:val="00B63E0E"/>
    <w:rsid w:val="00B67BD5"/>
    <w:rsid w:val="00B73091"/>
    <w:rsid w:val="00B739A5"/>
    <w:rsid w:val="00B75230"/>
    <w:rsid w:val="00B76687"/>
    <w:rsid w:val="00B81524"/>
    <w:rsid w:val="00B834D8"/>
    <w:rsid w:val="00B83E71"/>
    <w:rsid w:val="00B84877"/>
    <w:rsid w:val="00B863D0"/>
    <w:rsid w:val="00B90460"/>
    <w:rsid w:val="00B91EF1"/>
    <w:rsid w:val="00B91F7F"/>
    <w:rsid w:val="00B92938"/>
    <w:rsid w:val="00B92FED"/>
    <w:rsid w:val="00B95410"/>
    <w:rsid w:val="00B95A0C"/>
    <w:rsid w:val="00B96088"/>
    <w:rsid w:val="00B96E3F"/>
    <w:rsid w:val="00B9749D"/>
    <w:rsid w:val="00B97DE4"/>
    <w:rsid w:val="00BA3F73"/>
    <w:rsid w:val="00BA4C43"/>
    <w:rsid w:val="00BA6C97"/>
    <w:rsid w:val="00BA6DC6"/>
    <w:rsid w:val="00BB0B92"/>
    <w:rsid w:val="00BB277A"/>
    <w:rsid w:val="00BB2828"/>
    <w:rsid w:val="00BB4CCC"/>
    <w:rsid w:val="00BB5ABB"/>
    <w:rsid w:val="00BC0948"/>
    <w:rsid w:val="00BC16DD"/>
    <w:rsid w:val="00BC30ED"/>
    <w:rsid w:val="00BC45F1"/>
    <w:rsid w:val="00BC47E6"/>
    <w:rsid w:val="00BC4E7A"/>
    <w:rsid w:val="00BC788D"/>
    <w:rsid w:val="00BD0FAF"/>
    <w:rsid w:val="00BD135F"/>
    <w:rsid w:val="00BD15F8"/>
    <w:rsid w:val="00BD2358"/>
    <w:rsid w:val="00BD30D6"/>
    <w:rsid w:val="00BD3251"/>
    <w:rsid w:val="00BD4224"/>
    <w:rsid w:val="00BD555E"/>
    <w:rsid w:val="00BD7429"/>
    <w:rsid w:val="00BE02D5"/>
    <w:rsid w:val="00BE11EA"/>
    <w:rsid w:val="00BE1473"/>
    <w:rsid w:val="00BE22B0"/>
    <w:rsid w:val="00BE2DBA"/>
    <w:rsid w:val="00BE4ECE"/>
    <w:rsid w:val="00BE6C6F"/>
    <w:rsid w:val="00BF128F"/>
    <w:rsid w:val="00BF3081"/>
    <w:rsid w:val="00BF30F8"/>
    <w:rsid w:val="00BF3111"/>
    <w:rsid w:val="00BF33F9"/>
    <w:rsid w:val="00C004DC"/>
    <w:rsid w:val="00C0059D"/>
    <w:rsid w:val="00C0079A"/>
    <w:rsid w:val="00C007D7"/>
    <w:rsid w:val="00C02655"/>
    <w:rsid w:val="00C02DF3"/>
    <w:rsid w:val="00C11CC5"/>
    <w:rsid w:val="00C12195"/>
    <w:rsid w:val="00C1240A"/>
    <w:rsid w:val="00C16B90"/>
    <w:rsid w:val="00C1744D"/>
    <w:rsid w:val="00C22476"/>
    <w:rsid w:val="00C22919"/>
    <w:rsid w:val="00C24871"/>
    <w:rsid w:val="00C25CED"/>
    <w:rsid w:val="00C30BF9"/>
    <w:rsid w:val="00C33D4C"/>
    <w:rsid w:val="00C3435D"/>
    <w:rsid w:val="00C351A0"/>
    <w:rsid w:val="00C36AC5"/>
    <w:rsid w:val="00C3751F"/>
    <w:rsid w:val="00C46129"/>
    <w:rsid w:val="00C46422"/>
    <w:rsid w:val="00C46A69"/>
    <w:rsid w:val="00C47E72"/>
    <w:rsid w:val="00C5001A"/>
    <w:rsid w:val="00C508AD"/>
    <w:rsid w:val="00C50C08"/>
    <w:rsid w:val="00C5295E"/>
    <w:rsid w:val="00C547F7"/>
    <w:rsid w:val="00C561FE"/>
    <w:rsid w:val="00C57F01"/>
    <w:rsid w:val="00C603DE"/>
    <w:rsid w:val="00C613FA"/>
    <w:rsid w:val="00C61795"/>
    <w:rsid w:val="00C63279"/>
    <w:rsid w:val="00C64D33"/>
    <w:rsid w:val="00C66894"/>
    <w:rsid w:val="00C72264"/>
    <w:rsid w:val="00C73070"/>
    <w:rsid w:val="00C744D7"/>
    <w:rsid w:val="00C77BBD"/>
    <w:rsid w:val="00C80DE8"/>
    <w:rsid w:val="00C83E2C"/>
    <w:rsid w:val="00C850B5"/>
    <w:rsid w:val="00C860D4"/>
    <w:rsid w:val="00C86417"/>
    <w:rsid w:val="00C901B5"/>
    <w:rsid w:val="00C904B1"/>
    <w:rsid w:val="00C92456"/>
    <w:rsid w:val="00C93114"/>
    <w:rsid w:val="00C95232"/>
    <w:rsid w:val="00C965E1"/>
    <w:rsid w:val="00C971A4"/>
    <w:rsid w:val="00C97FA1"/>
    <w:rsid w:val="00CA3197"/>
    <w:rsid w:val="00CA4FA6"/>
    <w:rsid w:val="00CA61BC"/>
    <w:rsid w:val="00CA79E6"/>
    <w:rsid w:val="00CB0DEC"/>
    <w:rsid w:val="00CB134A"/>
    <w:rsid w:val="00CB1E14"/>
    <w:rsid w:val="00CB3619"/>
    <w:rsid w:val="00CC013C"/>
    <w:rsid w:val="00CC0CD3"/>
    <w:rsid w:val="00CC143F"/>
    <w:rsid w:val="00CC5DCD"/>
    <w:rsid w:val="00CD1591"/>
    <w:rsid w:val="00CD351D"/>
    <w:rsid w:val="00CD3B56"/>
    <w:rsid w:val="00CD5DD5"/>
    <w:rsid w:val="00CD6BB4"/>
    <w:rsid w:val="00CE4D1F"/>
    <w:rsid w:val="00CE5DD2"/>
    <w:rsid w:val="00CE62F9"/>
    <w:rsid w:val="00CE6575"/>
    <w:rsid w:val="00CE6DFB"/>
    <w:rsid w:val="00CE7C87"/>
    <w:rsid w:val="00CF2D22"/>
    <w:rsid w:val="00CF4F72"/>
    <w:rsid w:val="00CF5991"/>
    <w:rsid w:val="00CF5AE0"/>
    <w:rsid w:val="00CF6E54"/>
    <w:rsid w:val="00CF6F23"/>
    <w:rsid w:val="00CF77AF"/>
    <w:rsid w:val="00D0102E"/>
    <w:rsid w:val="00D0152E"/>
    <w:rsid w:val="00D01780"/>
    <w:rsid w:val="00D0192A"/>
    <w:rsid w:val="00D02782"/>
    <w:rsid w:val="00D04453"/>
    <w:rsid w:val="00D04632"/>
    <w:rsid w:val="00D04B0F"/>
    <w:rsid w:val="00D05DE6"/>
    <w:rsid w:val="00D1028E"/>
    <w:rsid w:val="00D12485"/>
    <w:rsid w:val="00D14E00"/>
    <w:rsid w:val="00D150F9"/>
    <w:rsid w:val="00D1532C"/>
    <w:rsid w:val="00D218FF"/>
    <w:rsid w:val="00D21F21"/>
    <w:rsid w:val="00D3052D"/>
    <w:rsid w:val="00D30845"/>
    <w:rsid w:val="00D316DB"/>
    <w:rsid w:val="00D31A7A"/>
    <w:rsid w:val="00D33C32"/>
    <w:rsid w:val="00D34DBD"/>
    <w:rsid w:val="00D36CEE"/>
    <w:rsid w:val="00D40871"/>
    <w:rsid w:val="00D418FE"/>
    <w:rsid w:val="00D441D5"/>
    <w:rsid w:val="00D446B4"/>
    <w:rsid w:val="00D46387"/>
    <w:rsid w:val="00D473B9"/>
    <w:rsid w:val="00D50A6F"/>
    <w:rsid w:val="00D50B9A"/>
    <w:rsid w:val="00D55B5C"/>
    <w:rsid w:val="00D56F34"/>
    <w:rsid w:val="00D606BF"/>
    <w:rsid w:val="00D615F0"/>
    <w:rsid w:val="00D62C62"/>
    <w:rsid w:val="00D637EF"/>
    <w:rsid w:val="00D660AA"/>
    <w:rsid w:val="00D70031"/>
    <w:rsid w:val="00D71D29"/>
    <w:rsid w:val="00D72EDC"/>
    <w:rsid w:val="00D80ABA"/>
    <w:rsid w:val="00D839DB"/>
    <w:rsid w:val="00D83BD8"/>
    <w:rsid w:val="00D83E95"/>
    <w:rsid w:val="00D858A8"/>
    <w:rsid w:val="00D85FC4"/>
    <w:rsid w:val="00D86406"/>
    <w:rsid w:val="00D879F2"/>
    <w:rsid w:val="00D879F8"/>
    <w:rsid w:val="00D87CF4"/>
    <w:rsid w:val="00D9115E"/>
    <w:rsid w:val="00D930FC"/>
    <w:rsid w:val="00D96086"/>
    <w:rsid w:val="00D979B3"/>
    <w:rsid w:val="00DA2F3D"/>
    <w:rsid w:val="00DA4046"/>
    <w:rsid w:val="00DA6D82"/>
    <w:rsid w:val="00DA774D"/>
    <w:rsid w:val="00DA7D14"/>
    <w:rsid w:val="00DB02C3"/>
    <w:rsid w:val="00DB0AE5"/>
    <w:rsid w:val="00DB3991"/>
    <w:rsid w:val="00DB41D2"/>
    <w:rsid w:val="00DB60BB"/>
    <w:rsid w:val="00DB70A0"/>
    <w:rsid w:val="00DB734E"/>
    <w:rsid w:val="00DB73D8"/>
    <w:rsid w:val="00DC0963"/>
    <w:rsid w:val="00DC0C7D"/>
    <w:rsid w:val="00DC22D8"/>
    <w:rsid w:val="00DC35C7"/>
    <w:rsid w:val="00DC3A1F"/>
    <w:rsid w:val="00DC3D2D"/>
    <w:rsid w:val="00DC43D1"/>
    <w:rsid w:val="00DC4E06"/>
    <w:rsid w:val="00DC7E08"/>
    <w:rsid w:val="00DD0906"/>
    <w:rsid w:val="00DD7A46"/>
    <w:rsid w:val="00DE206F"/>
    <w:rsid w:val="00DE3993"/>
    <w:rsid w:val="00DF0C65"/>
    <w:rsid w:val="00DF1793"/>
    <w:rsid w:val="00DF5285"/>
    <w:rsid w:val="00DF5298"/>
    <w:rsid w:val="00E01FD2"/>
    <w:rsid w:val="00E01FF6"/>
    <w:rsid w:val="00E0218E"/>
    <w:rsid w:val="00E02CE8"/>
    <w:rsid w:val="00E044C8"/>
    <w:rsid w:val="00E07382"/>
    <w:rsid w:val="00E077E9"/>
    <w:rsid w:val="00E1091E"/>
    <w:rsid w:val="00E11B7A"/>
    <w:rsid w:val="00E11EB9"/>
    <w:rsid w:val="00E1407C"/>
    <w:rsid w:val="00E1411D"/>
    <w:rsid w:val="00E14C51"/>
    <w:rsid w:val="00E2019E"/>
    <w:rsid w:val="00E20E4F"/>
    <w:rsid w:val="00E22DE0"/>
    <w:rsid w:val="00E230CC"/>
    <w:rsid w:val="00E2376D"/>
    <w:rsid w:val="00E26633"/>
    <w:rsid w:val="00E323D0"/>
    <w:rsid w:val="00E32CF3"/>
    <w:rsid w:val="00E35AA3"/>
    <w:rsid w:val="00E379B6"/>
    <w:rsid w:val="00E44C51"/>
    <w:rsid w:val="00E44CFE"/>
    <w:rsid w:val="00E46275"/>
    <w:rsid w:val="00E46A8C"/>
    <w:rsid w:val="00E47CB8"/>
    <w:rsid w:val="00E511DF"/>
    <w:rsid w:val="00E51DAF"/>
    <w:rsid w:val="00E52160"/>
    <w:rsid w:val="00E53429"/>
    <w:rsid w:val="00E53784"/>
    <w:rsid w:val="00E60883"/>
    <w:rsid w:val="00E6366D"/>
    <w:rsid w:val="00E64990"/>
    <w:rsid w:val="00E65482"/>
    <w:rsid w:val="00E7011E"/>
    <w:rsid w:val="00E70D3C"/>
    <w:rsid w:val="00E71AF1"/>
    <w:rsid w:val="00E724AD"/>
    <w:rsid w:val="00E74556"/>
    <w:rsid w:val="00E8002A"/>
    <w:rsid w:val="00E81964"/>
    <w:rsid w:val="00E821AA"/>
    <w:rsid w:val="00E83531"/>
    <w:rsid w:val="00E83B89"/>
    <w:rsid w:val="00E84C14"/>
    <w:rsid w:val="00E918BC"/>
    <w:rsid w:val="00E91DAA"/>
    <w:rsid w:val="00E9305C"/>
    <w:rsid w:val="00E95069"/>
    <w:rsid w:val="00E957D3"/>
    <w:rsid w:val="00EA09EE"/>
    <w:rsid w:val="00EA10E5"/>
    <w:rsid w:val="00EA1BEA"/>
    <w:rsid w:val="00EA7953"/>
    <w:rsid w:val="00EA7EE3"/>
    <w:rsid w:val="00EB00C9"/>
    <w:rsid w:val="00EB047B"/>
    <w:rsid w:val="00EB0BDC"/>
    <w:rsid w:val="00EB1924"/>
    <w:rsid w:val="00EB1DE1"/>
    <w:rsid w:val="00EB2BC2"/>
    <w:rsid w:val="00EB313D"/>
    <w:rsid w:val="00EB352B"/>
    <w:rsid w:val="00EB52D0"/>
    <w:rsid w:val="00EB5525"/>
    <w:rsid w:val="00EB58AA"/>
    <w:rsid w:val="00EB60B9"/>
    <w:rsid w:val="00EB6DAB"/>
    <w:rsid w:val="00EC00D7"/>
    <w:rsid w:val="00EC3D20"/>
    <w:rsid w:val="00EC3D27"/>
    <w:rsid w:val="00EC45B6"/>
    <w:rsid w:val="00EC47CC"/>
    <w:rsid w:val="00EC65F1"/>
    <w:rsid w:val="00EC6BF8"/>
    <w:rsid w:val="00EC7AFB"/>
    <w:rsid w:val="00ED09F0"/>
    <w:rsid w:val="00ED1D65"/>
    <w:rsid w:val="00ED2334"/>
    <w:rsid w:val="00ED26C2"/>
    <w:rsid w:val="00ED2855"/>
    <w:rsid w:val="00ED3B35"/>
    <w:rsid w:val="00ED3DE1"/>
    <w:rsid w:val="00ED5EE5"/>
    <w:rsid w:val="00EE020B"/>
    <w:rsid w:val="00EE1C96"/>
    <w:rsid w:val="00EE1DB8"/>
    <w:rsid w:val="00EE327D"/>
    <w:rsid w:val="00EE3424"/>
    <w:rsid w:val="00EE45EE"/>
    <w:rsid w:val="00EE7B22"/>
    <w:rsid w:val="00EF08D5"/>
    <w:rsid w:val="00EF1D68"/>
    <w:rsid w:val="00EF2ACA"/>
    <w:rsid w:val="00EF2E22"/>
    <w:rsid w:val="00EF30F1"/>
    <w:rsid w:val="00EF6972"/>
    <w:rsid w:val="00EF73DF"/>
    <w:rsid w:val="00EF76AC"/>
    <w:rsid w:val="00F008B6"/>
    <w:rsid w:val="00F01276"/>
    <w:rsid w:val="00F02508"/>
    <w:rsid w:val="00F033C1"/>
    <w:rsid w:val="00F04FAA"/>
    <w:rsid w:val="00F1166D"/>
    <w:rsid w:val="00F13FD3"/>
    <w:rsid w:val="00F14872"/>
    <w:rsid w:val="00F14C28"/>
    <w:rsid w:val="00F21E97"/>
    <w:rsid w:val="00F22178"/>
    <w:rsid w:val="00F227EB"/>
    <w:rsid w:val="00F23D69"/>
    <w:rsid w:val="00F2469B"/>
    <w:rsid w:val="00F249D4"/>
    <w:rsid w:val="00F2515F"/>
    <w:rsid w:val="00F255E7"/>
    <w:rsid w:val="00F267FE"/>
    <w:rsid w:val="00F31A5B"/>
    <w:rsid w:val="00F32D32"/>
    <w:rsid w:val="00F33EB1"/>
    <w:rsid w:val="00F3585B"/>
    <w:rsid w:val="00F368AF"/>
    <w:rsid w:val="00F3702D"/>
    <w:rsid w:val="00F37D1F"/>
    <w:rsid w:val="00F467AF"/>
    <w:rsid w:val="00F46C1A"/>
    <w:rsid w:val="00F5258D"/>
    <w:rsid w:val="00F53094"/>
    <w:rsid w:val="00F53604"/>
    <w:rsid w:val="00F540FA"/>
    <w:rsid w:val="00F5466D"/>
    <w:rsid w:val="00F60600"/>
    <w:rsid w:val="00F61273"/>
    <w:rsid w:val="00F62341"/>
    <w:rsid w:val="00F629B4"/>
    <w:rsid w:val="00F63943"/>
    <w:rsid w:val="00F64787"/>
    <w:rsid w:val="00F64ABC"/>
    <w:rsid w:val="00F65C58"/>
    <w:rsid w:val="00F72662"/>
    <w:rsid w:val="00F72C44"/>
    <w:rsid w:val="00F73312"/>
    <w:rsid w:val="00F739A9"/>
    <w:rsid w:val="00F76F31"/>
    <w:rsid w:val="00F775F1"/>
    <w:rsid w:val="00F77B1D"/>
    <w:rsid w:val="00F8595A"/>
    <w:rsid w:val="00F8660A"/>
    <w:rsid w:val="00F86780"/>
    <w:rsid w:val="00F869D1"/>
    <w:rsid w:val="00F86AE1"/>
    <w:rsid w:val="00F90AD5"/>
    <w:rsid w:val="00F932B7"/>
    <w:rsid w:val="00F93B4C"/>
    <w:rsid w:val="00F93FEE"/>
    <w:rsid w:val="00F949AD"/>
    <w:rsid w:val="00F956C7"/>
    <w:rsid w:val="00F96ABA"/>
    <w:rsid w:val="00FA1D5D"/>
    <w:rsid w:val="00FA284C"/>
    <w:rsid w:val="00FA2A56"/>
    <w:rsid w:val="00FA3CA5"/>
    <w:rsid w:val="00FA3E0B"/>
    <w:rsid w:val="00FA4201"/>
    <w:rsid w:val="00FA447E"/>
    <w:rsid w:val="00FA4AB9"/>
    <w:rsid w:val="00FA5F93"/>
    <w:rsid w:val="00FB0EC2"/>
    <w:rsid w:val="00FB194F"/>
    <w:rsid w:val="00FB1A5C"/>
    <w:rsid w:val="00FB1F87"/>
    <w:rsid w:val="00FB1FE7"/>
    <w:rsid w:val="00FB2053"/>
    <w:rsid w:val="00FB2728"/>
    <w:rsid w:val="00FB4CA6"/>
    <w:rsid w:val="00FB4DA0"/>
    <w:rsid w:val="00FB5B2B"/>
    <w:rsid w:val="00FB5D96"/>
    <w:rsid w:val="00FB7D47"/>
    <w:rsid w:val="00FC224E"/>
    <w:rsid w:val="00FC3715"/>
    <w:rsid w:val="00FC4570"/>
    <w:rsid w:val="00FC4BF0"/>
    <w:rsid w:val="00FC54A3"/>
    <w:rsid w:val="00FC550A"/>
    <w:rsid w:val="00FC59DE"/>
    <w:rsid w:val="00FC6508"/>
    <w:rsid w:val="00FC6A0F"/>
    <w:rsid w:val="00FC70CA"/>
    <w:rsid w:val="00FD33A2"/>
    <w:rsid w:val="00FD53A8"/>
    <w:rsid w:val="00FD6941"/>
    <w:rsid w:val="00FD7C5E"/>
    <w:rsid w:val="00FE0625"/>
    <w:rsid w:val="00FE0943"/>
    <w:rsid w:val="00FE1A0B"/>
    <w:rsid w:val="00FE2283"/>
    <w:rsid w:val="00FE39F0"/>
    <w:rsid w:val="00FE5536"/>
    <w:rsid w:val="00FE5D42"/>
    <w:rsid w:val="00FF0EE2"/>
    <w:rsid w:val="00FF28B8"/>
    <w:rsid w:val="00FF2E4F"/>
    <w:rsid w:val="00FF4711"/>
    <w:rsid w:val="00FF4B55"/>
    <w:rsid w:val="00FF58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fc,white"/>
    </o:shapedefaults>
    <o:shapelayout v:ext="edit">
      <o:idmap v:ext="edit" data="1"/>
    </o:shapelayout>
  </w:shapeDefaults>
  <w:decimalSymbol w:val=","/>
  <w:listSeparator w:val=";"/>
  <w14:docId w14:val="043C2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itulo"/>
    <w:next w:val="Encabezado"/>
    <w:qFormat/>
    <w:rsid w:val="007F064E"/>
    <w:rPr>
      <w:rFonts w:ascii="Titillium" w:hAnsi="Titillium"/>
      <w:color w:val="E36C0A" w:themeColor="accent6" w:themeShade="BF"/>
      <w:sz w:val="32"/>
    </w:rPr>
  </w:style>
  <w:style w:type="paragraph" w:styleId="Ttulo1">
    <w:name w:val="heading 1"/>
    <w:aliases w:val="Parentesis"/>
    <w:basedOn w:val="Epgrafe"/>
    <w:next w:val="Normal"/>
    <w:link w:val="Ttulo1Car"/>
    <w:uiPriority w:val="9"/>
    <w:qFormat/>
    <w:rsid w:val="0061095D"/>
    <w:pPr>
      <w:keepNext/>
      <w:keepLines/>
      <w:spacing w:before="480" w:after="0"/>
      <w:outlineLvl w:val="0"/>
    </w:pPr>
    <w:rPr>
      <w:rFonts w:ascii="Titillium Light" w:eastAsiaTheme="majorEastAsia" w:hAnsi="Titillium Light" w:cstheme="majorBidi"/>
      <w:color w:val="365F91" w:themeColor="accent1" w:themeShade="BF"/>
      <w:sz w:val="21"/>
      <w:szCs w:val="28"/>
    </w:rPr>
  </w:style>
  <w:style w:type="paragraph" w:styleId="Ttulo2">
    <w:name w:val="heading 2"/>
    <w:basedOn w:val="Normal"/>
    <w:link w:val="Ttulo2Car"/>
    <w:uiPriority w:val="9"/>
    <w:unhideWhenUsed/>
    <w:qFormat/>
    <w:rsid w:val="00F73312"/>
    <w:pPr>
      <w:keepNext/>
      <w:keepLines/>
      <w:spacing w:before="200" w:after="0"/>
      <w:outlineLvl w:val="1"/>
    </w:pPr>
    <w:rPr>
      <w:rFonts w:eastAsiaTheme="majorEastAsia" w:cstheme="majorBidi"/>
      <w:b/>
      <w:bCs/>
      <w:sz w:val="24"/>
      <w:szCs w:val="26"/>
    </w:rPr>
  </w:style>
  <w:style w:type="paragraph" w:styleId="Ttulo3">
    <w:name w:val="heading 3"/>
    <w:basedOn w:val="Normal"/>
    <w:next w:val="Normal"/>
    <w:link w:val="Ttulo3Car"/>
    <w:uiPriority w:val="9"/>
    <w:unhideWhenUsed/>
    <w:qFormat/>
    <w:rsid w:val="00051D3B"/>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E5378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873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739B"/>
    <w:rPr>
      <w:rFonts w:ascii="Tahoma" w:hAnsi="Tahoma" w:cs="Tahoma"/>
      <w:sz w:val="16"/>
      <w:szCs w:val="16"/>
    </w:rPr>
  </w:style>
  <w:style w:type="character" w:styleId="Refdecomentario">
    <w:name w:val="annotation reference"/>
    <w:basedOn w:val="Fuentedeprrafopredeter"/>
    <w:uiPriority w:val="99"/>
    <w:semiHidden/>
    <w:unhideWhenUsed/>
    <w:rsid w:val="00D839DB"/>
    <w:rPr>
      <w:sz w:val="16"/>
      <w:szCs w:val="16"/>
    </w:rPr>
  </w:style>
  <w:style w:type="paragraph" w:styleId="Textocomentario">
    <w:name w:val="annotation text"/>
    <w:basedOn w:val="Normal"/>
    <w:link w:val="TextocomentarioCar"/>
    <w:uiPriority w:val="99"/>
    <w:semiHidden/>
    <w:unhideWhenUsed/>
    <w:rsid w:val="00D839D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839DB"/>
    <w:rPr>
      <w:sz w:val="20"/>
      <w:szCs w:val="20"/>
    </w:rPr>
  </w:style>
  <w:style w:type="paragraph" w:styleId="Asuntodelcomentario">
    <w:name w:val="annotation subject"/>
    <w:basedOn w:val="Textocomentario"/>
    <w:next w:val="Textocomentario"/>
    <w:link w:val="AsuntodelcomentarioCar"/>
    <w:uiPriority w:val="99"/>
    <w:semiHidden/>
    <w:unhideWhenUsed/>
    <w:rsid w:val="00D839DB"/>
    <w:rPr>
      <w:b/>
      <w:bCs/>
    </w:rPr>
  </w:style>
  <w:style w:type="character" w:customStyle="1" w:styleId="AsuntodelcomentarioCar">
    <w:name w:val="Asunto del comentario Car"/>
    <w:basedOn w:val="TextocomentarioCar"/>
    <w:link w:val="Asuntodelcomentario"/>
    <w:uiPriority w:val="99"/>
    <w:semiHidden/>
    <w:rsid w:val="00D839DB"/>
    <w:rPr>
      <w:b/>
      <w:bCs/>
      <w:sz w:val="20"/>
      <w:szCs w:val="20"/>
    </w:rPr>
  </w:style>
  <w:style w:type="paragraph" w:styleId="Textoindependiente">
    <w:name w:val="Body Text"/>
    <w:basedOn w:val="Normal"/>
    <w:link w:val="TextoindependienteCar"/>
    <w:rsid w:val="00791155"/>
    <w:pPr>
      <w:spacing w:after="0" w:line="240" w:lineRule="auto"/>
      <w:jc w:val="center"/>
    </w:pPr>
    <w:rPr>
      <w:rFonts w:ascii="Times New Roman" w:eastAsia="Times New Roman" w:hAnsi="Times New Roman" w:cs="Times New Roman"/>
      <w:sz w:val="24"/>
      <w:szCs w:val="24"/>
      <w:lang w:val="es-CL" w:eastAsia="es-ES"/>
    </w:rPr>
  </w:style>
  <w:style w:type="character" w:customStyle="1" w:styleId="TextoindependienteCar">
    <w:name w:val="Texto independiente Car"/>
    <w:basedOn w:val="Fuentedeprrafopredeter"/>
    <w:link w:val="Textoindependiente"/>
    <w:rsid w:val="00791155"/>
    <w:rPr>
      <w:rFonts w:ascii="Times New Roman" w:eastAsia="Times New Roman" w:hAnsi="Times New Roman" w:cs="Times New Roman"/>
      <w:sz w:val="24"/>
      <w:szCs w:val="24"/>
      <w:lang w:val="es-CL" w:eastAsia="es-ES"/>
    </w:rPr>
  </w:style>
  <w:style w:type="paragraph" w:styleId="Prrafodelista">
    <w:name w:val="List Paragraph"/>
    <w:basedOn w:val="Normal"/>
    <w:uiPriority w:val="34"/>
    <w:qFormat/>
    <w:rsid w:val="004C5139"/>
    <w:pPr>
      <w:ind w:left="720"/>
      <w:contextualSpacing/>
    </w:pPr>
  </w:style>
  <w:style w:type="table" w:styleId="Tablaconcuadrcula">
    <w:name w:val="Table Grid"/>
    <w:basedOn w:val="Tablanormal"/>
    <w:uiPriority w:val="59"/>
    <w:rsid w:val="00CE4D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B815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81524"/>
  </w:style>
  <w:style w:type="paragraph" w:styleId="Piedepgina">
    <w:name w:val="footer"/>
    <w:basedOn w:val="Normal"/>
    <w:link w:val="PiedepginaCar"/>
    <w:uiPriority w:val="99"/>
    <w:unhideWhenUsed/>
    <w:rsid w:val="00B815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81524"/>
  </w:style>
  <w:style w:type="character" w:customStyle="1" w:styleId="Ttulo1Car">
    <w:name w:val="Título 1 Car"/>
    <w:aliases w:val="Parentesis Car"/>
    <w:basedOn w:val="Fuentedeprrafopredeter"/>
    <w:link w:val="Ttulo1"/>
    <w:uiPriority w:val="9"/>
    <w:rsid w:val="0061095D"/>
    <w:rPr>
      <w:rFonts w:ascii="Titillium Light" w:eastAsiaTheme="majorEastAsia" w:hAnsi="Titillium Light" w:cstheme="majorBidi"/>
      <w:i/>
      <w:iCs/>
      <w:color w:val="365F91" w:themeColor="accent1" w:themeShade="BF"/>
      <w:sz w:val="21"/>
      <w:szCs w:val="28"/>
    </w:rPr>
  </w:style>
  <w:style w:type="character" w:customStyle="1" w:styleId="Ttulo2Car">
    <w:name w:val="Título 2 Car"/>
    <w:basedOn w:val="Fuentedeprrafopredeter"/>
    <w:link w:val="Ttulo2"/>
    <w:uiPriority w:val="9"/>
    <w:rsid w:val="00F73312"/>
    <w:rPr>
      <w:rFonts w:ascii="Titillium" w:eastAsiaTheme="majorEastAsia" w:hAnsi="Titillium" w:cstheme="majorBidi"/>
      <w:b/>
      <w:bCs/>
      <w:color w:val="E36C0A" w:themeColor="accent6" w:themeShade="BF"/>
      <w:sz w:val="24"/>
      <w:szCs w:val="26"/>
    </w:rPr>
  </w:style>
  <w:style w:type="table" w:styleId="Listaclara-nfasis6">
    <w:name w:val="Light List Accent 6"/>
    <w:basedOn w:val="Tablanormal"/>
    <w:uiPriority w:val="61"/>
    <w:rsid w:val="00BA6C9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BA6C97"/>
    <w:pPr>
      <w:autoSpaceDE w:val="0"/>
      <w:autoSpaceDN w:val="0"/>
      <w:adjustRightInd w:val="0"/>
      <w:spacing w:after="0" w:line="240" w:lineRule="auto"/>
    </w:pPr>
    <w:rPr>
      <w:rFonts w:ascii="Cambria" w:hAnsi="Cambria" w:cs="Cambria"/>
      <w:color w:val="000000"/>
      <w:sz w:val="24"/>
      <w:szCs w:val="24"/>
    </w:rPr>
  </w:style>
  <w:style w:type="paragraph" w:styleId="Sinespaciado">
    <w:name w:val="No Spacing"/>
    <w:aliases w:val="Texto 1"/>
    <w:next w:val="Normal"/>
    <w:link w:val="SinespaciadoCar"/>
    <w:uiPriority w:val="1"/>
    <w:qFormat/>
    <w:rsid w:val="001D7126"/>
    <w:pPr>
      <w:spacing w:after="0" w:line="240" w:lineRule="auto"/>
      <w:jc w:val="both"/>
    </w:pPr>
    <w:rPr>
      <w:rFonts w:ascii="Titillium" w:eastAsia="Arial Unicode MS" w:hAnsi="Titillium"/>
      <w:color w:val="404040" w:themeColor="text1" w:themeTint="BF"/>
      <w:sz w:val="24"/>
      <w:lang w:val="es-CL" w:eastAsia="es-CL"/>
    </w:rPr>
  </w:style>
  <w:style w:type="character" w:customStyle="1" w:styleId="SinespaciadoCar">
    <w:name w:val="Sin espaciado Car"/>
    <w:aliases w:val="Texto 1 Car"/>
    <w:basedOn w:val="Fuentedeprrafopredeter"/>
    <w:link w:val="Sinespaciado"/>
    <w:uiPriority w:val="1"/>
    <w:rsid w:val="001D7126"/>
    <w:rPr>
      <w:rFonts w:ascii="Titillium" w:eastAsia="Arial Unicode MS" w:hAnsi="Titillium"/>
      <w:color w:val="404040" w:themeColor="text1" w:themeTint="BF"/>
      <w:sz w:val="24"/>
      <w:lang w:val="es-CL" w:eastAsia="es-CL"/>
    </w:rPr>
  </w:style>
  <w:style w:type="table" w:customStyle="1" w:styleId="Listaclara-nfasis63">
    <w:name w:val="Lista clara - Énfasis 63"/>
    <w:basedOn w:val="Tablanormal"/>
    <w:next w:val="Listaclara-nfasis6"/>
    <w:uiPriority w:val="61"/>
    <w:rsid w:val="0076780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a">
    <w:name w:val="a"/>
    <w:basedOn w:val="Fuentedeprrafopredeter"/>
    <w:rsid w:val="00741FD1"/>
  </w:style>
  <w:style w:type="character" w:customStyle="1" w:styleId="apple-converted-space">
    <w:name w:val="apple-converted-space"/>
    <w:basedOn w:val="Fuentedeprrafopredeter"/>
    <w:rsid w:val="00741FD1"/>
  </w:style>
  <w:style w:type="character" w:customStyle="1" w:styleId="l6">
    <w:name w:val="l6"/>
    <w:basedOn w:val="Fuentedeprrafopredeter"/>
    <w:rsid w:val="00741FD1"/>
  </w:style>
  <w:style w:type="character" w:customStyle="1" w:styleId="l7">
    <w:name w:val="l7"/>
    <w:basedOn w:val="Fuentedeprrafopredeter"/>
    <w:rsid w:val="00741FD1"/>
  </w:style>
  <w:style w:type="character" w:customStyle="1" w:styleId="l9">
    <w:name w:val="l9"/>
    <w:basedOn w:val="Fuentedeprrafopredeter"/>
    <w:rsid w:val="00741FD1"/>
  </w:style>
  <w:style w:type="character" w:customStyle="1" w:styleId="l8">
    <w:name w:val="l8"/>
    <w:basedOn w:val="Fuentedeprrafopredeter"/>
    <w:rsid w:val="00741FD1"/>
  </w:style>
  <w:style w:type="character" w:customStyle="1" w:styleId="l10">
    <w:name w:val="l10"/>
    <w:basedOn w:val="Fuentedeprrafopredeter"/>
    <w:rsid w:val="00741FD1"/>
  </w:style>
  <w:style w:type="paragraph" w:styleId="Ttulo">
    <w:name w:val="Title"/>
    <w:basedOn w:val="Normal"/>
    <w:next w:val="Normal"/>
    <w:link w:val="TtuloCar"/>
    <w:uiPriority w:val="10"/>
    <w:qFormat/>
    <w:rsid w:val="004356D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4356D0"/>
    <w:rPr>
      <w:rFonts w:asciiTheme="majorHAnsi" w:eastAsiaTheme="majorEastAsia" w:hAnsiTheme="majorHAnsi" w:cstheme="majorBidi"/>
      <w:color w:val="17365D" w:themeColor="text2" w:themeShade="BF"/>
      <w:spacing w:val="5"/>
      <w:kern w:val="28"/>
      <w:sz w:val="52"/>
      <w:szCs w:val="52"/>
    </w:rPr>
  </w:style>
  <w:style w:type="character" w:customStyle="1" w:styleId="Ttulo3Car">
    <w:name w:val="Título 3 Car"/>
    <w:basedOn w:val="Fuentedeprrafopredeter"/>
    <w:link w:val="Ttulo3"/>
    <w:uiPriority w:val="9"/>
    <w:rsid w:val="00051D3B"/>
    <w:rPr>
      <w:rFonts w:asciiTheme="majorHAnsi" w:eastAsiaTheme="majorEastAsia" w:hAnsiTheme="majorHAnsi" w:cstheme="majorBidi"/>
      <w:b/>
      <w:bCs/>
      <w:color w:val="4F81BD" w:themeColor="accent1"/>
    </w:rPr>
  </w:style>
  <w:style w:type="table" w:customStyle="1" w:styleId="Tabladecuadrcula1clara-nfasis61">
    <w:name w:val="Tabla de cuadrícula 1 clara - Énfasis 61"/>
    <w:basedOn w:val="Tablanormal"/>
    <w:uiPriority w:val="46"/>
    <w:rsid w:val="007F064E"/>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character" w:customStyle="1" w:styleId="Ttulo4Car">
    <w:name w:val="Título 4 Car"/>
    <w:basedOn w:val="Fuentedeprrafopredeter"/>
    <w:link w:val="Ttulo4"/>
    <w:uiPriority w:val="9"/>
    <w:rsid w:val="00E53784"/>
    <w:rPr>
      <w:rFonts w:asciiTheme="majorHAnsi" w:eastAsiaTheme="majorEastAsia" w:hAnsiTheme="majorHAnsi" w:cstheme="majorBidi"/>
      <w:i/>
      <w:iCs/>
      <w:color w:val="365F91" w:themeColor="accent1" w:themeShade="BF"/>
      <w:sz w:val="32"/>
    </w:rPr>
  </w:style>
  <w:style w:type="paragraph" w:styleId="Revisin">
    <w:name w:val="Revision"/>
    <w:hidden/>
    <w:uiPriority w:val="99"/>
    <w:semiHidden/>
    <w:rsid w:val="001E1AB2"/>
    <w:pPr>
      <w:spacing w:after="0" w:line="240" w:lineRule="auto"/>
    </w:pPr>
    <w:rPr>
      <w:rFonts w:ascii="Titillium" w:hAnsi="Titillium"/>
      <w:color w:val="E36C0A" w:themeColor="accent6" w:themeShade="BF"/>
      <w:sz w:val="32"/>
    </w:rPr>
  </w:style>
  <w:style w:type="paragraph" w:styleId="Textonotapie">
    <w:name w:val="footnote text"/>
    <w:basedOn w:val="Normal"/>
    <w:link w:val="TextonotapieCar"/>
    <w:uiPriority w:val="99"/>
    <w:unhideWhenUsed/>
    <w:rsid w:val="00237D9E"/>
    <w:pPr>
      <w:spacing w:after="0" w:line="240" w:lineRule="auto"/>
    </w:pPr>
    <w:rPr>
      <w:sz w:val="24"/>
      <w:szCs w:val="24"/>
    </w:rPr>
  </w:style>
  <w:style w:type="character" w:customStyle="1" w:styleId="TextonotapieCar">
    <w:name w:val="Texto nota pie Car"/>
    <w:basedOn w:val="Fuentedeprrafopredeter"/>
    <w:link w:val="Textonotapie"/>
    <w:uiPriority w:val="99"/>
    <w:rsid w:val="00237D9E"/>
    <w:rPr>
      <w:rFonts w:ascii="Titillium" w:hAnsi="Titillium"/>
      <w:color w:val="E36C0A" w:themeColor="accent6" w:themeShade="BF"/>
      <w:sz w:val="24"/>
      <w:szCs w:val="24"/>
    </w:rPr>
  </w:style>
  <w:style w:type="character" w:styleId="Refdenotaalpie">
    <w:name w:val="footnote reference"/>
    <w:basedOn w:val="Fuentedeprrafopredeter"/>
    <w:uiPriority w:val="99"/>
    <w:unhideWhenUsed/>
    <w:rsid w:val="00237D9E"/>
    <w:rPr>
      <w:vertAlign w:val="superscript"/>
    </w:rPr>
  </w:style>
  <w:style w:type="paragraph" w:styleId="Textonotaalfinal">
    <w:name w:val="endnote text"/>
    <w:basedOn w:val="Normal"/>
    <w:link w:val="TextonotaalfinalCar"/>
    <w:uiPriority w:val="99"/>
    <w:unhideWhenUsed/>
    <w:rsid w:val="00237D9E"/>
    <w:pPr>
      <w:spacing w:after="0" w:line="240" w:lineRule="auto"/>
    </w:pPr>
    <w:rPr>
      <w:sz w:val="24"/>
      <w:szCs w:val="24"/>
    </w:rPr>
  </w:style>
  <w:style w:type="character" w:customStyle="1" w:styleId="TextonotaalfinalCar">
    <w:name w:val="Texto nota al final Car"/>
    <w:basedOn w:val="Fuentedeprrafopredeter"/>
    <w:link w:val="Textonotaalfinal"/>
    <w:uiPriority w:val="99"/>
    <w:rsid w:val="00237D9E"/>
    <w:rPr>
      <w:rFonts w:ascii="Titillium" w:hAnsi="Titillium"/>
      <w:color w:val="E36C0A" w:themeColor="accent6" w:themeShade="BF"/>
      <w:sz w:val="24"/>
      <w:szCs w:val="24"/>
    </w:rPr>
  </w:style>
  <w:style w:type="character" w:styleId="Refdenotaalfinal">
    <w:name w:val="endnote reference"/>
    <w:basedOn w:val="Fuentedeprrafopredeter"/>
    <w:uiPriority w:val="99"/>
    <w:unhideWhenUsed/>
    <w:rsid w:val="00237D9E"/>
    <w:rPr>
      <w:vertAlign w:val="superscript"/>
    </w:rPr>
  </w:style>
  <w:style w:type="character" w:styleId="Nmerodelnea">
    <w:name w:val="line number"/>
    <w:basedOn w:val="Fuentedeprrafopredeter"/>
    <w:uiPriority w:val="99"/>
    <w:semiHidden/>
    <w:unhideWhenUsed/>
    <w:rsid w:val="00237D9E"/>
  </w:style>
  <w:style w:type="character" w:styleId="Nmerodepgina">
    <w:name w:val="page number"/>
    <w:basedOn w:val="Fuentedeprrafopredeter"/>
    <w:uiPriority w:val="99"/>
    <w:semiHidden/>
    <w:unhideWhenUsed/>
    <w:rsid w:val="00237D9E"/>
  </w:style>
  <w:style w:type="character" w:styleId="Hipervnculo">
    <w:name w:val="Hyperlink"/>
    <w:basedOn w:val="Fuentedeprrafopredeter"/>
    <w:uiPriority w:val="99"/>
    <w:unhideWhenUsed/>
    <w:rsid w:val="001D7126"/>
    <w:rPr>
      <w:color w:val="0000FF" w:themeColor="hyperlink"/>
      <w:u w:val="single"/>
    </w:rPr>
  </w:style>
  <w:style w:type="paragraph" w:styleId="TDC1">
    <w:name w:val="toc 1"/>
    <w:basedOn w:val="Normal"/>
    <w:next w:val="Normal"/>
    <w:autoRedefine/>
    <w:uiPriority w:val="39"/>
    <w:unhideWhenUsed/>
    <w:rsid w:val="001D7126"/>
    <w:pPr>
      <w:spacing w:after="100"/>
    </w:pPr>
    <w:rPr>
      <w:rFonts w:asciiTheme="minorHAnsi" w:hAnsiTheme="minorHAnsi"/>
      <w:color w:val="auto"/>
      <w:sz w:val="22"/>
      <w:lang w:val="es-CL"/>
    </w:rPr>
  </w:style>
  <w:style w:type="paragraph" w:styleId="TDC2">
    <w:name w:val="toc 2"/>
    <w:basedOn w:val="Normal"/>
    <w:next w:val="Normal"/>
    <w:autoRedefine/>
    <w:uiPriority w:val="39"/>
    <w:unhideWhenUsed/>
    <w:rsid w:val="001D7126"/>
    <w:pPr>
      <w:tabs>
        <w:tab w:val="left" w:pos="660"/>
        <w:tab w:val="right" w:leader="dot" w:pos="8828"/>
      </w:tabs>
      <w:spacing w:after="100"/>
      <w:jc w:val="both"/>
    </w:pPr>
    <w:rPr>
      <w:rFonts w:asciiTheme="minorHAnsi" w:hAnsiTheme="minorHAnsi"/>
      <w:color w:val="auto"/>
      <w:sz w:val="22"/>
      <w:lang w:val="es-CL"/>
    </w:rPr>
  </w:style>
  <w:style w:type="paragraph" w:styleId="Epgrafe">
    <w:name w:val="caption"/>
    <w:basedOn w:val="Normal"/>
    <w:next w:val="Normal"/>
    <w:uiPriority w:val="35"/>
    <w:semiHidden/>
    <w:unhideWhenUsed/>
    <w:qFormat/>
    <w:rsid w:val="0061095D"/>
    <w:pPr>
      <w:spacing w:line="240" w:lineRule="auto"/>
    </w:pPr>
    <w:rPr>
      <w:i/>
      <w:iCs/>
      <w:color w:val="1F497D" w:themeColor="text2"/>
      <w:sz w:val="18"/>
      <w:szCs w:val="18"/>
    </w:rPr>
  </w:style>
  <w:style w:type="paragraph" w:styleId="TtulodeTDC">
    <w:name w:val="TOC Heading"/>
    <w:basedOn w:val="Ttulo1"/>
    <w:next w:val="Normal"/>
    <w:uiPriority w:val="39"/>
    <w:unhideWhenUsed/>
    <w:qFormat/>
    <w:rsid w:val="00407FAF"/>
    <w:pPr>
      <w:spacing w:line="276" w:lineRule="auto"/>
      <w:outlineLvl w:val="9"/>
    </w:pPr>
    <w:rPr>
      <w:rFonts w:asciiTheme="majorHAnsi" w:hAnsiTheme="majorHAnsi"/>
      <w:b/>
      <w:bCs/>
      <w:i w:val="0"/>
      <w:iCs w:val="0"/>
      <w:sz w:val="28"/>
      <w:lang w:eastAsia="es-ES"/>
    </w:rPr>
  </w:style>
  <w:style w:type="paragraph" w:styleId="NormalWeb">
    <w:name w:val="Normal (Web)"/>
    <w:basedOn w:val="Normal"/>
    <w:uiPriority w:val="99"/>
    <w:unhideWhenUsed/>
    <w:rsid w:val="00190ADE"/>
    <w:pPr>
      <w:spacing w:before="100" w:beforeAutospacing="1" w:after="100" w:afterAutospacing="1" w:line="240" w:lineRule="auto"/>
    </w:pPr>
    <w:rPr>
      <w:rFonts w:ascii="Times New Roman" w:eastAsia="Times New Roman" w:hAnsi="Times New Roman" w:cs="Times New Roman"/>
      <w:color w:val="auto"/>
      <w:sz w:val="24"/>
      <w:szCs w:val="24"/>
      <w:lang w:val="es-CL" w:eastAsia="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itulo"/>
    <w:next w:val="Encabezado"/>
    <w:qFormat/>
    <w:rsid w:val="007F064E"/>
    <w:rPr>
      <w:rFonts w:ascii="Titillium" w:hAnsi="Titillium"/>
      <w:color w:val="E36C0A" w:themeColor="accent6" w:themeShade="BF"/>
      <w:sz w:val="32"/>
    </w:rPr>
  </w:style>
  <w:style w:type="paragraph" w:styleId="Ttulo1">
    <w:name w:val="heading 1"/>
    <w:aliases w:val="Parentesis"/>
    <w:basedOn w:val="Epgrafe"/>
    <w:next w:val="Normal"/>
    <w:link w:val="Ttulo1Car"/>
    <w:uiPriority w:val="9"/>
    <w:qFormat/>
    <w:rsid w:val="0061095D"/>
    <w:pPr>
      <w:keepNext/>
      <w:keepLines/>
      <w:spacing w:before="480" w:after="0"/>
      <w:outlineLvl w:val="0"/>
    </w:pPr>
    <w:rPr>
      <w:rFonts w:ascii="Titillium Light" w:eastAsiaTheme="majorEastAsia" w:hAnsi="Titillium Light" w:cstheme="majorBidi"/>
      <w:color w:val="365F91" w:themeColor="accent1" w:themeShade="BF"/>
      <w:sz w:val="21"/>
      <w:szCs w:val="28"/>
    </w:rPr>
  </w:style>
  <w:style w:type="paragraph" w:styleId="Ttulo2">
    <w:name w:val="heading 2"/>
    <w:basedOn w:val="Normal"/>
    <w:link w:val="Ttulo2Car"/>
    <w:uiPriority w:val="9"/>
    <w:unhideWhenUsed/>
    <w:qFormat/>
    <w:rsid w:val="00F73312"/>
    <w:pPr>
      <w:keepNext/>
      <w:keepLines/>
      <w:spacing w:before="200" w:after="0"/>
      <w:outlineLvl w:val="1"/>
    </w:pPr>
    <w:rPr>
      <w:rFonts w:eastAsiaTheme="majorEastAsia" w:cstheme="majorBidi"/>
      <w:b/>
      <w:bCs/>
      <w:sz w:val="24"/>
      <w:szCs w:val="26"/>
    </w:rPr>
  </w:style>
  <w:style w:type="paragraph" w:styleId="Ttulo3">
    <w:name w:val="heading 3"/>
    <w:basedOn w:val="Normal"/>
    <w:next w:val="Normal"/>
    <w:link w:val="Ttulo3Car"/>
    <w:uiPriority w:val="9"/>
    <w:unhideWhenUsed/>
    <w:qFormat/>
    <w:rsid w:val="00051D3B"/>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E5378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873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739B"/>
    <w:rPr>
      <w:rFonts w:ascii="Tahoma" w:hAnsi="Tahoma" w:cs="Tahoma"/>
      <w:sz w:val="16"/>
      <w:szCs w:val="16"/>
    </w:rPr>
  </w:style>
  <w:style w:type="character" w:styleId="Refdecomentario">
    <w:name w:val="annotation reference"/>
    <w:basedOn w:val="Fuentedeprrafopredeter"/>
    <w:uiPriority w:val="99"/>
    <w:semiHidden/>
    <w:unhideWhenUsed/>
    <w:rsid w:val="00D839DB"/>
    <w:rPr>
      <w:sz w:val="16"/>
      <w:szCs w:val="16"/>
    </w:rPr>
  </w:style>
  <w:style w:type="paragraph" w:styleId="Textocomentario">
    <w:name w:val="annotation text"/>
    <w:basedOn w:val="Normal"/>
    <w:link w:val="TextocomentarioCar"/>
    <w:uiPriority w:val="99"/>
    <w:semiHidden/>
    <w:unhideWhenUsed/>
    <w:rsid w:val="00D839D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839DB"/>
    <w:rPr>
      <w:sz w:val="20"/>
      <w:szCs w:val="20"/>
    </w:rPr>
  </w:style>
  <w:style w:type="paragraph" w:styleId="Asuntodelcomentario">
    <w:name w:val="annotation subject"/>
    <w:basedOn w:val="Textocomentario"/>
    <w:next w:val="Textocomentario"/>
    <w:link w:val="AsuntodelcomentarioCar"/>
    <w:uiPriority w:val="99"/>
    <w:semiHidden/>
    <w:unhideWhenUsed/>
    <w:rsid w:val="00D839DB"/>
    <w:rPr>
      <w:b/>
      <w:bCs/>
    </w:rPr>
  </w:style>
  <w:style w:type="character" w:customStyle="1" w:styleId="AsuntodelcomentarioCar">
    <w:name w:val="Asunto del comentario Car"/>
    <w:basedOn w:val="TextocomentarioCar"/>
    <w:link w:val="Asuntodelcomentario"/>
    <w:uiPriority w:val="99"/>
    <w:semiHidden/>
    <w:rsid w:val="00D839DB"/>
    <w:rPr>
      <w:b/>
      <w:bCs/>
      <w:sz w:val="20"/>
      <w:szCs w:val="20"/>
    </w:rPr>
  </w:style>
  <w:style w:type="paragraph" w:styleId="Textoindependiente">
    <w:name w:val="Body Text"/>
    <w:basedOn w:val="Normal"/>
    <w:link w:val="TextoindependienteCar"/>
    <w:rsid w:val="00791155"/>
    <w:pPr>
      <w:spacing w:after="0" w:line="240" w:lineRule="auto"/>
      <w:jc w:val="center"/>
    </w:pPr>
    <w:rPr>
      <w:rFonts w:ascii="Times New Roman" w:eastAsia="Times New Roman" w:hAnsi="Times New Roman" w:cs="Times New Roman"/>
      <w:sz w:val="24"/>
      <w:szCs w:val="24"/>
      <w:lang w:val="es-CL" w:eastAsia="es-ES"/>
    </w:rPr>
  </w:style>
  <w:style w:type="character" w:customStyle="1" w:styleId="TextoindependienteCar">
    <w:name w:val="Texto independiente Car"/>
    <w:basedOn w:val="Fuentedeprrafopredeter"/>
    <w:link w:val="Textoindependiente"/>
    <w:rsid w:val="00791155"/>
    <w:rPr>
      <w:rFonts w:ascii="Times New Roman" w:eastAsia="Times New Roman" w:hAnsi="Times New Roman" w:cs="Times New Roman"/>
      <w:sz w:val="24"/>
      <w:szCs w:val="24"/>
      <w:lang w:val="es-CL" w:eastAsia="es-ES"/>
    </w:rPr>
  </w:style>
  <w:style w:type="paragraph" w:styleId="Prrafodelista">
    <w:name w:val="List Paragraph"/>
    <w:basedOn w:val="Normal"/>
    <w:uiPriority w:val="34"/>
    <w:qFormat/>
    <w:rsid w:val="004C5139"/>
    <w:pPr>
      <w:ind w:left="720"/>
      <w:contextualSpacing/>
    </w:pPr>
  </w:style>
  <w:style w:type="table" w:styleId="Tablaconcuadrcula">
    <w:name w:val="Table Grid"/>
    <w:basedOn w:val="Tablanormal"/>
    <w:uiPriority w:val="59"/>
    <w:rsid w:val="00CE4D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B815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81524"/>
  </w:style>
  <w:style w:type="paragraph" w:styleId="Piedepgina">
    <w:name w:val="footer"/>
    <w:basedOn w:val="Normal"/>
    <w:link w:val="PiedepginaCar"/>
    <w:uiPriority w:val="99"/>
    <w:unhideWhenUsed/>
    <w:rsid w:val="00B815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81524"/>
  </w:style>
  <w:style w:type="character" w:customStyle="1" w:styleId="Ttulo1Car">
    <w:name w:val="Título 1 Car"/>
    <w:aliases w:val="Parentesis Car"/>
    <w:basedOn w:val="Fuentedeprrafopredeter"/>
    <w:link w:val="Ttulo1"/>
    <w:uiPriority w:val="9"/>
    <w:rsid w:val="0061095D"/>
    <w:rPr>
      <w:rFonts w:ascii="Titillium Light" w:eastAsiaTheme="majorEastAsia" w:hAnsi="Titillium Light" w:cstheme="majorBidi"/>
      <w:i/>
      <w:iCs/>
      <w:color w:val="365F91" w:themeColor="accent1" w:themeShade="BF"/>
      <w:sz w:val="21"/>
      <w:szCs w:val="28"/>
    </w:rPr>
  </w:style>
  <w:style w:type="character" w:customStyle="1" w:styleId="Ttulo2Car">
    <w:name w:val="Título 2 Car"/>
    <w:basedOn w:val="Fuentedeprrafopredeter"/>
    <w:link w:val="Ttulo2"/>
    <w:uiPriority w:val="9"/>
    <w:rsid w:val="00F73312"/>
    <w:rPr>
      <w:rFonts w:ascii="Titillium" w:eastAsiaTheme="majorEastAsia" w:hAnsi="Titillium" w:cstheme="majorBidi"/>
      <w:b/>
      <w:bCs/>
      <w:color w:val="E36C0A" w:themeColor="accent6" w:themeShade="BF"/>
      <w:sz w:val="24"/>
      <w:szCs w:val="26"/>
    </w:rPr>
  </w:style>
  <w:style w:type="table" w:styleId="Listaclara-nfasis6">
    <w:name w:val="Light List Accent 6"/>
    <w:basedOn w:val="Tablanormal"/>
    <w:uiPriority w:val="61"/>
    <w:rsid w:val="00BA6C9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BA6C97"/>
    <w:pPr>
      <w:autoSpaceDE w:val="0"/>
      <w:autoSpaceDN w:val="0"/>
      <w:adjustRightInd w:val="0"/>
      <w:spacing w:after="0" w:line="240" w:lineRule="auto"/>
    </w:pPr>
    <w:rPr>
      <w:rFonts w:ascii="Cambria" w:hAnsi="Cambria" w:cs="Cambria"/>
      <w:color w:val="000000"/>
      <w:sz w:val="24"/>
      <w:szCs w:val="24"/>
    </w:rPr>
  </w:style>
  <w:style w:type="paragraph" w:styleId="Sinespaciado">
    <w:name w:val="No Spacing"/>
    <w:aliases w:val="Texto 1"/>
    <w:next w:val="Normal"/>
    <w:link w:val="SinespaciadoCar"/>
    <w:uiPriority w:val="1"/>
    <w:qFormat/>
    <w:rsid w:val="001D7126"/>
    <w:pPr>
      <w:spacing w:after="0" w:line="240" w:lineRule="auto"/>
      <w:jc w:val="both"/>
    </w:pPr>
    <w:rPr>
      <w:rFonts w:ascii="Titillium" w:eastAsia="Arial Unicode MS" w:hAnsi="Titillium"/>
      <w:color w:val="404040" w:themeColor="text1" w:themeTint="BF"/>
      <w:sz w:val="24"/>
      <w:lang w:val="es-CL" w:eastAsia="es-CL"/>
    </w:rPr>
  </w:style>
  <w:style w:type="character" w:customStyle="1" w:styleId="SinespaciadoCar">
    <w:name w:val="Sin espaciado Car"/>
    <w:aliases w:val="Texto 1 Car"/>
    <w:basedOn w:val="Fuentedeprrafopredeter"/>
    <w:link w:val="Sinespaciado"/>
    <w:uiPriority w:val="1"/>
    <w:rsid w:val="001D7126"/>
    <w:rPr>
      <w:rFonts w:ascii="Titillium" w:eastAsia="Arial Unicode MS" w:hAnsi="Titillium"/>
      <w:color w:val="404040" w:themeColor="text1" w:themeTint="BF"/>
      <w:sz w:val="24"/>
      <w:lang w:val="es-CL" w:eastAsia="es-CL"/>
    </w:rPr>
  </w:style>
  <w:style w:type="table" w:customStyle="1" w:styleId="Listaclara-nfasis63">
    <w:name w:val="Lista clara - Énfasis 63"/>
    <w:basedOn w:val="Tablanormal"/>
    <w:next w:val="Listaclara-nfasis6"/>
    <w:uiPriority w:val="61"/>
    <w:rsid w:val="0076780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a">
    <w:name w:val="a"/>
    <w:basedOn w:val="Fuentedeprrafopredeter"/>
    <w:rsid w:val="00741FD1"/>
  </w:style>
  <w:style w:type="character" w:customStyle="1" w:styleId="apple-converted-space">
    <w:name w:val="apple-converted-space"/>
    <w:basedOn w:val="Fuentedeprrafopredeter"/>
    <w:rsid w:val="00741FD1"/>
  </w:style>
  <w:style w:type="character" w:customStyle="1" w:styleId="l6">
    <w:name w:val="l6"/>
    <w:basedOn w:val="Fuentedeprrafopredeter"/>
    <w:rsid w:val="00741FD1"/>
  </w:style>
  <w:style w:type="character" w:customStyle="1" w:styleId="l7">
    <w:name w:val="l7"/>
    <w:basedOn w:val="Fuentedeprrafopredeter"/>
    <w:rsid w:val="00741FD1"/>
  </w:style>
  <w:style w:type="character" w:customStyle="1" w:styleId="l9">
    <w:name w:val="l9"/>
    <w:basedOn w:val="Fuentedeprrafopredeter"/>
    <w:rsid w:val="00741FD1"/>
  </w:style>
  <w:style w:type="character" w:customStyle="1" w:styleId="l8">
    <w:name w:val="l8"/>
    <w:basedOn w:val="Fuentedeprrafopredeter"/>
    <w:rsid w:val="00741FD1"/>
  </w:style>
  <w:style w:type="character" w:customStyle="1" w:styleId="l10">
    <w:name w:val="l10"/>
    <w:basedOn w:val="Fuentedeprrafopredeter"/>
    <w:rsid w:val="00741FD1"/>
  </w:style>
  <w:style w:type="paragraph" w:styleId="Ttulo">
    <w:name w:val="Title"/>
    <w:basedOn w:val="Normal"/>
    <w:next w:val="Normal"/>
    <w:link w:val="TtuloCar"/>
    <w:uiPriority w:val="10"/>
    <w:qFormat/>
    <w:rsid w:val="004356D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4356D0"/>
    <w:rPr>
      <w:rFonts w:asciiTheme="majorHAnsi" w:eastAsiaTheme="majorEastAsia" w:hAnsiTheme="majorHAnsi" w:cstheme="majorBidi"/>
      <w:color w:val="17365D" w:themeColor="text2" w:themeShade="BF"/>
      <w:spacing w:val="5"/>
      <w:kern w:val="28"/>
      <w:sz w:val="52"/>
      <w:szCs w:val="52"/>
    </w:rPr>
  </w:style>
  <w:style w:type="character" w:customStyle="1" w:styleId="Ttulo3Car">
    <w:name w:val="Título 3 Car"/>
    <w:basedOn w:val="Fuentedeprrafopredeter"/>
    <w:link w:val="Ttulo3"/>
    <w:uiPriority w:val="9"/>
    <w:rsid w:val="00051D3B"/>
    <w:rPr>
      <w:rFonts w:asciiTheme="majorHAnsi" w:eastAsiaTheme="majorEastAsia" w:hAnsiTheme="majorHAnsi" w:cstheme="majorBidi"/>
      <w:b/>
      <w:bCs/>
      <w:color w:val="4F81BD" w:themeColor="accent1"/>
    </w:rPr>
  </w:style>
  <w:style w:type="table" w:customStyle="1" w:styleId="Tabladecuadrcula1clara-nfasis61">
    <w:name w:val="Tabla de cuadrícula 1 clara - Énfasis 61"/>
    <w:basedOn w:val="Tablanormal"/>
    <w:uiPriority w:val="46"/>
    <w:rsid w:val="007F064E"/>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character" w:customStyle="1" w:styleId="Ttulo4Car">
    <w:name w:val="Título 4 Car"/>
    <w:basedOn w:val="Fuentedeprrafopredeter"/>
    <w:link w:val="Ttulo4"/>
    <w:uiPriority w:val="9"/>
    <w:rsid w:val="00E53784"/>
    <w:rPr>
      <w:rFonts w:asciiTheme="majorHAnsi" w:eastAsiaTheme="majorEastAsia" w:hAnsiTheme="majorHAnsi" w:cstheme="majorBidi"/>
      <w:i/>
      <w:iCs/>
      <w:color w:val="365F91" w:themeColor="accent1" w:themeShade="BF"/>
      <w:sz w:val="32"/>
    </w:rPr>
  </w:style>
  <w:style w:type="paragraph" w:styleId="Revisin">
    <w:name w:val="Revision"/>
    <w:hidden/>
    <w:uiPriority w:val="99"/>
    <w:semiHidden/>
    <w:rsid w:val="001E1AB2"/>
    <w:pPr>
      <w:spacing w:after="0" w:line="240" w:lineRule="auto"/>
    </w:pPr>
    <w:rPr>
      <w:rFonts w:ascii="Titillium" w:hAnsi="Titillium"/>
      <w:color w:val="E36C0A" w:themeColor="accent6" w:themeShade="BF"/>
      <w:sz w:val="32"/>
    </w:rPr>
  </w:style>
  <w:style w:type="paragraph" w:styleId="Textonotapie">
    <w:name w:val="footnote text"/>
    <w:basedOn w:val="Normal"/>
    <w:link w:val="TextonotapieCar"/>
    <w:uiPriority w:val="99"/>
    <w:unhideWhenUsed/>
    <w:rsid w:val="00237D9E"/>
    <w:pPr>
      <w:spacing w:after="0" w:line="240" w:lineRule="auto"/>
    </w:pPr>
    <w:rPr>
      <w:sz w:val="24"/>
      <w:szCs w:val="24"/>
    </w:rPr>
  </w:style>
  <w:style w:type="character" w:customStyle="1" w:styleId="TextonotapieCar">
    <w:name w:val="Texto nota pie Car"/>
    <w:basedOn w:val="Fuentedeprrafopredeter"/>
    <w:link w:val="Textonotapie"/>
    <w:uiPriority w:val="99"/>
    <w:rsid w:val="00237D9E"/>
    <w:rPr>
      <w:rFonts w:ascii="Titillium" w:hAnsi="Titillium"/>
      <w:color w:val="E36C0A" w:themeColor="accent6" w:themeShade="BF"/>
      <w:sz w:val="24"/>
      <w:szCs w:val="24"/>
    </w:rPr>
  </w:style>
  <w:style w:type="character" w:styleId="Refdenotaalpie">
    <w:name w:val="footnote reference"/>
    <w:basedOn w:val="Fuentedeprrafopredeter"/>
    <w:uiPriority w:val="99"/>
    <w:unhideWhenUsed/>
    <w:rsid w:val="00237D9E"/>
    <w:rPr>
      <w:vertAlign w:val="superscript"/>
    </w:rPr>
  </w:style>
  <w:style w:type="paragraph" w:styleId="Textonotaalfinal">
    <w:name w:val="endnote text"/>
    <w:basedOn w:val="Normal"/>
    <w:link w:val="TextonotaalfinalCar"/>
    <w:uiPriority w:val="99"/>
    <w:unhideWhenUsed/>
    <w:rsid w:val="00237D9E"/>
    <w:pPr>
      <w:spacing w:after="0" w:line="240" w:lineRule="auto"/>
    </w:pPr>
    <w:rPr>
      <w:sz w:val="24"/>
      <w:szCs w:val="24"/>
    </w:rPr>
  </w:style>
  <w:style w:type="character" w:customStyle="1" w:styleId="TextonotaalfinalCar">
    <w:name w:val="Texto nota al final Car"/>
    <w:basedOn w:val="Fuentedeprrafopredeter"/>
    <w:link w:val="Textonotaalfinal"/>
    <w:uiPriority w:val="99"/>
    <w:rsid w:val="00237D9E"/>
    <w:rPr>
      <w:rFonts w:ascii="Titillium" w:hAnsi="Titillium"/>
      <w:color w:val="E36C0A" w:themeColor="accent6" w:themeShade="BF"/>
      <w:sz w:val="24"/>
      <w:szCs w:val="24"/>
    </w:rPr>
  </w:style>
  <w:style w:type="character" w:styleId="Refdenotaalfinal">
    <w:name w:val="endnote reference"/>
    <w:basedOn w:val="Fuentedeprrafopredeter"/>
    <w:uiPriority w:val="99"/>
    <w:unhideWhenUsed/>
    <w:rsid w:val="00237D9E"/>
    <w:rPr>
      <w:vertAlign w:val="superscript"/>
    </w:rPr>
  </w:style>
  <w:style w:type="character" w:styleId="Nmerodelnea">
    <w:name w:val="line number"/>
    <w:basedOn w:val="Fuentedeprrafopredeter"/>
    <w:uiPriority w:val="99"/>
    <w:semiHidden/>
    <w:unhideWhenUsed/>
    <w:rsid w:val="00237D9E"/>
  </w:style>
  <w:style w:type="character" w:styleId="Nmerodepgina">
    <w:name w:val="page number"/>
    <w:basedOn w:val="Fuentedeprrafopredeter"/>
    <w:uiPriority w:val="99"/>
    <w:semiHidden/>
    <w:unhideWhenUsed/>
    <w:rsid w:val="00237D9E"/>
  </w:style>
  <w:style w:type="character" w:styleId="Hipervnculo">
    <w:name w:val="Hyperlink"/>
    <w:basedOn w:val="Fuentedeprrafopredeter"/>
    <w:uiPriority w:val="99"/>
    <w:unhideWhenUsed/>
    <w:rsid w:val="001D7126"/>
    <w:rPr>
      <w:color w:val="0000FF" w:themeColor="hyperlink"/>
      <w:u w:val="single"/>
    </w:rPr>
  </w:style>
  <w:style w:type="paragraph" w:styleId="TDC1">
    <w:name w:val="toc 1"/>
    <w:basedOn w:val="Normal"/>
    <w:next w:val="Normal"/>
    <w:autoRedefine/>
    <w:uiPriority w:val="39"/>
    <w:unhideWhenUsed/>
    <w:rsid w:val="001D7126"/>
    <w:pPr>
      <w:spacing w:after="100"/>
    </w:pPr>
    <w:rPr>
      <w:rFonts w:asciiTheme="minorHAnsi" w:hAnsiTheme="minorHAnsi"/>
      <w:color w:val="auto"/>
      <w:sz w:val="22"/>
      <w:lang w:val="es-CL"/>
    </w:rPr>
  </w:style>
  <w:style w:type="paragraph" w:styleId="TDC2">
    <w:name w:val="toc 2"/>
    <w:basedOn w:val="Normal"/>
    <w:next w:val="Normal"/>
    <w:autoRedefine/>
    <w:uiPriority w:val="39"/>
    <w:unhideWhenUsed/>
    <w:rsid w:val="001D7126"/>
    <w:pPr>
      <w:tabs>
        <w:tab w:val="left" w:pos="660"/>
        <w:tab w:val="right" w:leader="dot" w:pos="8828"/>
      </w:tabs>
      <w:spacing w:after="100"/>
      <w:jc w:val="both"/>
    </w:pPr>
    <w:rPr>
      <w:rFonts w:asciiTheme="minorHAnsi" w:hAnsiTheme="minorHAnsi"/>
      <w:color w:val="auto"/>
      <w:sz w:val="22"/>
      <w:lang w:val="es-CL"/>
    </w:rPr>
  </w:style>
  <w:style w:type="paragraph" w:styleId="Epgrafe">
    <w:name w:val="caption"/>
    <w:basedOn w:val="Normal"/>
    <w:next w:val="Normal"/>
    <w:uiPriority w:val="35"/>
    <w:semiHidden/>
    <w:unhideWhenUsed/>
    <w:qFormat/>
    <w:rsid w:val="0061095D"/>
    <w:pPr>
      <w:spacing w:line="240" w:lineRule="auto"/>
    </w:pPr>
    <w:rPr>
      <w:i/>
      <w:iCs/>
      <w:color w:val="1F497D" w:themeColor="text2"/>
      <w:sz w:val="18"/>
      <w:szCs w:val="18"/>
    </w:rPr>
  </w:style>
  <w:style w:type="paragraph" w:styleId="TtulodeTDC">
    <w:name w:val="TOC Heading"/>
    <w:basedOn w:val="Ttulo1"/>
    <w:next w:val="Normal"/>
    <w:uiPriority w:val="39"/>
    <w:unhideWhenUsed/>
    <w:qFormat/>
    <w:rsid w:val="00407FAF"/>
    <w:pPr>
      <w:spacing w:line="276" w:lineRule="auto"/>
      <w:outlineLvl w:val="9"/>
    </w:pPr>
    <w:rPr>
      <w:rFonts w:asciiTheme="majorHAnsi" w:hAnsiTheme="majorHAnsi"/>
      <w:b/>
      <w:bCs/>
      <w:i w:val="0"/>
      <w:iCs w:val="0"/>
      <w:sz w:val="28"/>
      <w:lang w:eastAsia="es-ES"/>
    </w:rPr>
  </w:style>
  <w:style w:type="paragraph" w:styleId="NormalWeb">
    <w:name w:val="Normal (Web)"/>
    <w:basedOn w:val="Normal"/>
    <w:uiPriority w:val="99"/>
    <w:unhideWhenUsed/>
    <w:rsid w:val="00190ADE"/>
    <w:pPr>
      <w:spacing w:before="100" w:beforeAutospacing="1" w:after="100" w:afterAutospacing="1" w:line="240" w:lineRule="auto"/>
    </w:pPr>
    <w:rPr>
      <w:rFonts w:ascii="Times New Roman" w:eastAsia="Times New Roman" w:hAnsi="Times New Roman" w:cs="Times New Roman"/>
      <w:color w:val="auto"/>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9571">
      <w:bodyDiv w:val="1"/>
      <w:marLeft w:val="0"/>
      <w:marRight w:val="0"/>
      <w:marTop w:val="0"/>
      <w:marBottom w:val="0"/>
      <w:divBdr>
        <w:top w:val="none" w:sz="0" w:space="0" w:color="auto"/>
        <w:left w:val="none" w:sz="0" w:space="0" w:color="auto"/>
        <w:bottom w:val="none" w:sz="0" w:space="0" w:color="auto"/>
        <w:right w:val="none" w:sz="0" w:space="0" w:color="auto"/>
      </w:divBdr>
    </w:div>
    <w:div w:id="42415085">
      <w:bodyDiv w:val="1"/>
      <w:marLeft w:val="0"/>
      <w:marRight w:val="0"/>
      <w:marTop w:val="0"/>
      <w:marBottom w:val="0"/>
      <w:divBdr>
        <w:top w:val="none" w:sz="0" w:space="0" w:color="auto"/>
        <w:left w:val="none" w:sz="0" w:space="0" w:color="auto"/>
        <w:bottom w:val="none" w:sz="0" w:space="0" w:color="auto"/>
        <w:right w:val="none" w:sz="0" w:space="0" w:color="auto"/>
      </w:divBdr>
      <w:divsChild>
        <w:div w:id="411590300">
          <w:marLeft w:val="0"/>
          <w:marRight w:val="0"/>
          <w:marTop w:val="0"/>
          <w:marBottom w:val="0"/>
          <w:divBdr>
            <w:top w:val="none" w:sz="0" w:space="0" w:color="auto"/>
            <w:left w:val="none" w:sz="0" w:space="0" w:color="auto"/>
            <w:bottom w:val="none" w:sz="0" w:space="0" w:color="auto"/>
            <w:right w:val="none" w:sz="0" w:space="0" w:color="auto"/>
          </w:divBdr>
        </w:div>
        <w:div w:id="520238366">
          <w:marLeft w:val="0"/>
          <w:marRight w:val="0"/>
          <w:marTop w:val="0"/>
          <w:marBottom w:val="0"/>
          <w:divBdr>
            <w:top w:val="none" w:sz="0" w:space="0" w:color="auto"/>
            <w:left w:val="none" w:sz="0" w:space="0" w:color="auto"/>
            <w:bottom w:val="none" w:sz="0" w:space="0" w:color="auto"/>
            <w:right w:val="none" w:sz="0" w:space="0" w:color="auto"/>
          </w:divBdr>
        </w:div>
        <w:div w:id="1583371223">
          <w:marLeft w:val="0"/>
          <w:marRight w:val="0"/>
          <w:marTop w:val="0"/>
          <w:marBottom w:val="0"/>
          <w:divBdr>
            <w:top w:val="none" w:sz="0" w:space="0" w:color="auto"/>
            <w:left w:val="none" w:sz="0" w:space="0" w:color="auto"/>
            <w:bottom w:val="none" w:sz="0" w:space="0" w:color="auto"/>
            <w:right w:val="none" w:sz="0" w:space="0" w:color="auto"/>
          </w:divBdr>
        </w:div>
        <w:div w:id="1974939404">
          <w:marLeft w:val="0"/>
          <w:marRight w:val="0"/>
          <w:marTop w:val="0"/>
          <w:marBottom w:val="0"/>
          <w:divBdr>
            <w:top w:val="none" w:sz="0" w:space="0" w:color="auto"/>
            <w:left w:val="none" w:sz="0" w:space="0" w:color="auto"/>
            <w:bottom w:val="none" w:sz="0" w:space="0" w:color="auto"/>
            <w:right w:val="none" w:sz="0" w:space="0" w:color="auto"/>
          </w:divBdr>
        </w:div>
      </w:divsChild>
    </w:div>
    <w:div w:id="84961294">
      <w:bodyDiv w:val="1"/>
      <w:marLeft w:val="0"/>
      <w:marRight w:val="0"/>
      <w:marTop w:val="0"/>
      <w:marBottom w:val="0"/>
      <w:divBdr>
        <w:top w:val="none" w:sz="0" w:space="0" w:color="auto"/>
        <w:left w:val="none" w:sz="0" w:space="0" w:color="auto"/>
        <w:bottom w:val="none" w:sz="0" w:space="0" w:color="auto"/>
        <w:right w:val="none" w:sz="0" w:space="0" w:color="auto"/>
      </w:divBdr>
    </w:div>
    <w:div w:id="109934967">
      <w:bodyDiv w:val="1"/>
      <w:marLeft w:val="0"/>
      <w:marRight w:val="0"/>
      <w:marTop w:val="0"/>
      <w:marBottom w:val="0"/>
      <w:divBdr>
        <w:top w:val="none" w:sz="0" w:space="0" w:color="auto"/>
        <w:left w:val="none" w:sz="0" w:space="0" w:color="auto"/>
        <w:bottom w:val="none" w:sz="0" w:space="0" w:color="auto"/>
        <w:right w:val="none" w:sz="0" w:space="0" w:color="auto"/>
      </w:divBdr>
    </w:div>
    <w:div w:id="170880548">
      <w:bodyDiv w:val="1"/>
      <w:marLeft w:val="0"/>
      <w:marRight w:val="0"/>
      <w:marTop w:val="0"/>
      <w:marBottom w:val="0"/>
      <w:divBdr>
        <w:top w:val="none" w:sz="0" w:space="0" w:color="auto"/>
        <w:left w:val="none" w:sz="0" w:space="0" w:color="auto"/>
        <w:bottom w:val="none" w:sz="0" w:space="0" w:color="auto"/>
        <w:right w:val="none" w:sz="0" w:space="0" w:color="auto"/>
      </w:divBdr>
      <w:divsChild>
        <w:div w:id="1708066299">
          <w:marLeft w:val="0"/>
          <w:marRight w:val="0"/>
          <w:marTop w:val="0"/>
          <w:marBottom w:val="0"/>
          <w:divBdr>
            <w:top w:val="none" w:sz="0" w:space="0" w:color="auto"/>
            <w:left w:val="none" w:sz="0" w:space="0" w:color="auto"/>
            <w:bottom w:val="none" w:sz="0" w:space="0" w:color="auto"/>
            <w:right w:val="none" w:sz="0" w:space="0" w:color="auto"/>
          </w:divBdr>
        </w:div>
        <w:div w:id="1755009513">
          <w:marLeft w:val="0"/>
          <w:marRight w:val="0"/>
          <w:marTop w:val="0"/>
          <w:marBottom w:val="0"/>
          <w:divBdr>
            <w:top w:val="none" w:sz="0" w:space="0" w:color="auto"/>
            <w:left w:val="none" w:sz="0" w:space="0" w:color="auto"/>
            <w:bottom w:val="none" w:sz="0" w:space="0" w:color="auto"/>
            <w:right w:val="none" w:sz="0" w:space="0" w:color="auto"/>
          </w:divBdr>
        </w:div>
      </w:divsChild>
    </w:div>
    <w:div w:id="176501852">
      <w:bodyDiv w:val="1"/>
      <w:marLeft w:val="0"/>
      <w:marRight w:val="0"/>
      <w:marTop w:val="0"/>
      <w:marBottom w:val="0"/>
      <w:divBdr>
        <w:top w:val="none" w:sz="0" w:space="0" w:color="auto"/>
        <w:left w:val="none" w:sz="0" w:space="0" w:color="auto"/>
        <w:bottom w:val="none" w:sz="0" w:space="0" w:color="auto"/>
        <w:right w:val="none" w:sz="0" w:space="0" w:color="auto"/>
      </w:divBdr>
    </w:div>
    <w:div w:id="178661556">
      <w:bodyDiv w:val="1"/>
      <w:marLeft w:val="0"/>
      <w:marRight w:val="0"/>
      <w:marTop w:val="0"/>
      <w:marBottom w:val="0"/>
      <w:divBdr>
        <w:top w:val="none" w:sz="0" w:space="0" w:color="auto"/>
        <w:left w:val="none" w:sz="0" w:space="0" w:color="auto"/>
        <w:bottom w:val="none" w:sz="0" w:space="0" w:color="auto"/>
        <w:right w:val="none" w:sz="0" w:space="0" w:color="auto"/>
      </w:divBdr>
      <w:divsChild>
        <w:div w:id="1925260972">
          <w:marLeft w:val="0"/>
          <w:marRight w:val="0"/>
          <w:marTop w:val="0"/>
          <w:marBottom w:val="0"/>
          <w:divBdr>
            <w:top w:val="none" w:sz="0" w:space="0" w:color="auto"/>
            <w:left w:val="none" w:sz="0" w:space="0" w:color="auto"/>
            <w:bottom w:val="none" w:sz="0" w:space="0" w:color="auto"/>
            <w:right w:val="none" w:sz="0" w:space="0" w:color="auto"/>
          </w:divBdr>
        </w:div>
        <w:div w:id="394934197">
          <w:marLeft w:val="0"/>
          <w:marRight w:val="0"/>
          <w:marTop w:val="0"/>
          <w:marBottom w:val="0"/>
          <w:divBdr>
            <w:top w:val="none" w:sz="0" w:space="0" w:color="auto"/>
            <w:left w:val="none" w:sz="0" w:space="0" w:color="auto"/>
            <w:bottom w:val="none" w:sz="0" w:space="0" w:color="auto"/>
            <w:right w:val="none" w:sz="0" w:space="0" w:color="auto"/>
          </w:divBdr>
        </w:div>
        <w:div w:id="596209242">
          <w:marLeft w:val="0"/>
          <w:marRight w:val="0"/>
          <w:marTop w:val="0"/>
          <w:marBottom w:val="0"/>
          <w:divBdr>
            <w:top w:val="none" w:sz="0" w:space="0" w:color="auto"/>
            <w:left w:val="none" w:sz="0" w:space="0" w:color="auto"/>
            <w:bottom w:val="none" w:sz="0" w:space="0" w:color="auto"/>
            <w:right w:val="none" w:sz="0" w:space="0" w:color="auto"/>
          </w:divBdr>
        </w:div>
      </w:divsChild>
    </w:div>
    <w:div w:id="185796754">
      <w:bodyDiv w:val="1"/>
      <w:marLeft w:val="0"/>
      <w:marRight w:val="0"/>
      <w:marTop w:val="0"/>
      <w:marBottom w:val="0"/>
      <w:divBdr>
        <w:top w:val="none" w:sz="0" w:space="0" w:color="auto"/>
        <w:left w:val="none" w:sz="0" w:space="0" w:color="auto"/>
        <w:bottom w:val="none" w:sz="0" w:space="0" w:color="auto"/>
        <w:right w:val="none" w:sz="0" w:space="0" w:color="auto"/>
      </w:divBdr>
      <w:divsChild>
        <w:div w:id="520896563">
          <w:marLeft w:val="0"/>
          <w:marRight w:val="0"/>
          <w:marTop w:val="0"/>
          <w:marBottom w:val="0"/>
          <w:divBdr>
            <w:top w:val="none" w:sz="0" w:space="0" w:color="auto"/>
            <w:left w:val="none" w:sz="0" w:space="0" w:color="auto"/>
            <w:bottom w:val="none" w:sz="0" w:space="0" w:color="auto"/>
            <w:right w:val="none" w:sz="0" w:space="0" w:color="auto"/>
          </w:divBdr>
        </w:div>
      </w:divsChild>
    </w:div>
    <w:div w:id="186798445">
      <w:bodyDiv w:val="1"/>
      <w:marLeft w:val="0"/>
      <w:marRight w:val="0"/>
      <w:marTop w:val="0"/>
      <w:marBottom w:val="0"/>
      <w:divBdr>
        <w:top w:val="none" w:sz="0" w:space="0" w:color="auto"/>
        <w:left w:val="none" w:sz="0" w:space="0" w:color="auto"/>
        <w:bottom w:val="none" w:sz="0" w:space="0" w:color="auto"/>
        <w:right w:val="none" w:sz="0" w:space="0" w:color="auto"/>
      </w:divBdr>
      <w:divsChild>
        <w:div w:id="762337678">
          <w:marLeft w:val="0"/>
          <w:marRight w:val="0"/>
          <w:marTop w:val="0"/>
          <w:marBottom w:val="0"/>
          <w:divBdr>
            <w:top w:val="none" w:sz="0" w:space="0" w:color="auto"/>
            <w:left w:val="none" w:sz="0" w:space="0" w:color="auto"/>
            <w:bottom w:val="none" w:sz="0" w:space="0" w:color="auto"/>
            <w:right w:val="none" w:sz="0" w:space="0" w:color="auto"/>
          </w:divBdr>
        </w:div>
        <w:div w:id="890964915">
          <w:marLeft w:val="0"/>
          <w:marRight w:val="0"/>
          <w:marTop w:val="0"/>
          <w:marBottom w:val="0"/>
          <w:divBdr>
            <w:top w:val="none" w:sz="0" w:space="0" w:color="auto"/>
            <w:left w:val="none" w:sz="0" w:space="0" w:color="auto"/>
            <w:bottom w:val="none" w:sz="0" w:space="0" w:color="auto"/>
            <w:right w:val="none" w:sz="0" w:space="0" w:color="auto"/>
          </w:divBdr>
        </w:div>
        <w:div w:id="1473059865">
          <w:marLeft w:val="0"/>
          <w:marRight w:val="0"/>
          <w:marTop w:val="0"/>
          <w:marBottom w:val="0"/>
          <w:divBdr>
            <w:top w:val="none" w:sz="0" w:space="0" w:color="auto"/>
            <w:left w:val="none" w:sz="0" w:space="0" w:color="auto"/>
            <w:bottom w:val="none" w:sz="0" w:space="0" w:color="auto"/>
            <w:right w:val="none" w:sz="0" w:space="0" w:color="auto"/>
          </w:divBdr>
        </w:div>
        <w:div w:id="2127381730">
          <w:marLeft w:val="0"/>
          <w:marRight w:val="0"/>
          <w:marTop w:val="0"/>
          <w:marBottom w:val="0"/>
          <w:divBdr>
            <w:top w:val="none" w:sz="0" w:space="0" w:color="auto"/>
            <w:left w:val="none" w:sz="0" w:space="0" w:color="auto"/>
            <w:bottom w:val="none" w:sz="0" w:space="0" w:color="auto"/>
            <w:right w:val="none" w:sz="0" w:space="0" w:color="auto"/>
          </w:divBdr>
        </w:div>
        <w:div w:id="664431323">
          <w:marLeft w:val="0"/>
          <w:marRight w:val="0"/>
          <w:marTop w:val="0"/>
          <w:marBottom w:val="0"/>
          <w:divBdr>
            <w:top w:val="none" w:sz="0" w:space="0" w:color="auto"/>
            <w:left w:val="none" w:sz="0" w:space="0" w:color="auto"/>
            <w:bottom w:val="none" w:sz="0" w:space="0" w:color="auto"/>
            <w:right w:val="none" w:sz="0" w:space="0" w:color="auto"/>
          </w:divBdr>
        </w:div>
      </w:divsChild>
    </w:div>
    <w:div w:id="209071099">
      <w:bodyDiv w:val="1"/>
      <w:marLeft w:val="0"/>
      <w:marRight w:val="0"/>
      <w:marTop w:val="0"/>
      <w:marBottom w:val="0"/>
      <w:divBdr>
        <w:top w:val="none" w:sz="0" w:space="0" w:color="auto"/>
        <w:left w:val="none" w:sz="0" w:space="0" w:color="auto"/>
        <w:bottom w:val="none" w:sz="0" w:space="0" w:color="auto"/>
        <w:right w:val="none" w:sz="0" w:space="0" w:color="auto"/>
      </w:divBdr>
      <w:divsChild>
        <w:div w:id="63918076">
          <w:marLeft w:val="0"/>
          <w:marRight w:val="0"/>
          <w:marTop w:val="0"/>
          <w:marBottom w:val="0"/>
          <w:divBdr>
            <w:top w:val="none" w:sz="0" w:space="0" w:color="auto"/>
            <w:left w:val="none" w:sz="0" w:space="0" w:color="auto"/>
            <w:bottom w:val="none" w:sz="0" w:space="0" w:color="auto"/>
            <w:right w:val="none" w:sz="0" w:space="0" w:color="auto"/>
          </w:divBdr>
          <w:divsChild>
            <w:div w:id="758212362">
              <w:marLeft w:val="0"/>
              <w:marRight w:val="0"/>
              <w:marTop w:val="0"/>
              <w:marBottom w:val="0"/>
              <w:divBdr>
                <w:top w:val="none" w:sz="0" w:space="0" w:color="auto"/>
                <w:left w:val="none" w:sz="0" w:space="0" w:color="auto"/>
                <w:bottom w:val="none" w:sz="0" w:space="0" w:color="auto"/>
                <w:right w:val="none" w:sz="0" w:space="0" w:color="auto"/>
              </w:divBdr>
            </w:div>
          </w:divsChild>
        </w:div>
        <w:div w:id="44183465">
          <w:marLeft w:val="0"/>
          <w:marRight w:val="0"/>
          <w:marTop w:val="0"/>
          <w:marBottom w:val="0"/>
          <w:divBdr>
            <w:top w:val="none" w:sz="0" w:space="0" w:color="auto"/>
            <w:left w:val="none" w:sz="0" w:space="0" w:color="auto"/>
            <w:bottom w:val="none" w:sz="0" w:space="0" w:color="auto"/>
            <w:right w:val="none" w:sz="0" w:space="0" w:color="auto"/>
          </w:divBdr>
          <w:divsChild>
            <w:div w:id="28095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0118">
      <w:bodyDiv w:val="1"/>
      <w:marLeft w:val="0"/>
      <w:marRight w:val="0"/>
      <w:marTop w:val="0"/>
      <w:marBottom w:val="0"/>
      <w:divBdr>
        <w:top w:val="none" w:sz="0" w:space="0" w:color="auto"/>
        <w:left w:val="none" w:sz="0" w:space="0" w:color="auto"/>
        <w:bottom w:val="none" w:sz="0" w:space="0" w:color="auto"/>
        <w:right w:val="none" w:sz="0" w:space="0" w:color="auto"/>
      </w:divBdr>
    </w:div>
    <w:div w:id="237402585">
      <w:bodyDiv w:val="1"/>
      <w:marLeft w:val="0"/>
      <w:marRight w:val="0"/>
      <w:marTop w:val="0"/>
      <w:marBottom w:val="0"/>
      <w:divBdr>
        <w:top w:val="none" w:sz="0" w:space="0" w:color="auto"/>
        <w:left w:val="none" w:sz="0" w:space="0" w:color="auto"/>
        <w:bottom w:val="none" w:sz="0" w:space="0" w:color="auto"/>
        <w:right w:val="none" w:sz="0" w:space="0" w:color="auto"/>
      </w:divBdr>
    </w:div>
    <w:div w:id="282150112">
      <w:bodyDiv w:val="1"/>
      <w:marLeft w:val="0"/>
      <w:marRight w:val="0"/>
      <w:marTop w:val="0"/>
      <w:marBottom w:val="0"/>
      <w:divBdr>
        <w:top w:val="none" w:sz="0" w:space="0" w:color="auto"/>
        <w:left w:val="none" w:sz="0" w:space="0" w:color="auto"/>
        <w:bottom w:val="none" w:sz="0" w:space="0" w:color="auto"/>
        <w:right w:val="none" w:sz="0" w:space="0" w:color="auto"/>
      </w:divBdr>
    </w:div>
    <w:div w:id="418136097">
      <w:bodyDiv w:val="1"/>
      <w:marLeft w:val="0"/>
      <w:marRight w:val="0"/>
      <w:marTop w:val="0"/>
      <w:marBottom w:val="0"/>
      <w:divBdr>
        <w:top w:val="none" w:sz="0" w:space="0" w:color="auto"/>
        <w:left w:val="none" w:sz="0" w:space="0" w:color="auto"/>
        <w:bottom w:val="none" w:sz="0" w:space="0" w:color="auto"/>
        <w:right w:val="none" w:sz="0" w:space="0" w:color="auto"/>
      </w:divBdr>
      <w:divsChild>
        <w:div w:id="311446221">
          <w:marLeft w:val="0"/>
          <w:marRight w:val="0"/>
          <w:marTop w:val="0"/>
          <w:marBottom w:val="0"/>
          <w:divBdr>
            <w:top w:val="none" w:sz="0" w:space="0" w:color="auto"/>
            <w:left w:val="none" w:sz="0" w:space="0" w:color="auto"/>
            <w:bottom w:val="none" w:sz="0" w:space="0" w:color="auto"/>
            <w:right w:val="none" w:sz="0" w:space="0" w:color="auto"/>
          </w:divBdr>
        </w:div>
        <w:div w:id="1227882963">
          <w:marLeft w:val="0"/>
          <w:marRight w:val="0"/>
          <w:marTop w:val="0"/>
          <w:marBottom w:val="0"/>
          <w:divBdr>
            <w:top w:val="none" w:sz="0" w:space="0" w:color="auto"/>
            <w:left w:val="none" w:sz="0" w:space="0" w:color="auto"/>
            <w:bottom w:val="none" w:sz="0" w:space="0" w:color="auto"/>
            <w:right w:val="none" w:sz="0" w:space="0" w:color="auto"/>
          </w:divBdr>
        </w:div>
        <w:div w:id="2063556077">
          <w:marLeft w:val="0"/>
          <w:marRight w:val="0"/>
          <w:marTop w:val="0"/>
          <w:marBottom w:val="0"/>
          <w:divBdr>
            <w:top w:val="none" w:sz="0" w:space="0" w:color="auto"/>
            <w:left w:val="none" w:sz="0" w:space="0" w:color="auto"/>
            <w:bottom w:val="none" w:sz="0" w:space="0" w:color="auto"/>
            <w:right w:val="none" w:sz="0" w:space="0" w:color="auto"/>
          </w:divBdr>
        </w:div>
        <w:div w:id="67965783">
          <w:marLeft w:val="0"/>
          <w:marRight w:val="0"/>
          <w:marTop w:val="0"/>
          <w:marBottom w:val="0"/>
          <w:divBdr>
            <w:top w:val="none" w:sz="0" w:space="0" w:color="auto"/>
            <w:left w:val="none" w:sz="0" w:space="0" w:color="auto"/>
            <w:bottom w:val="none" w:sz="0" w:space="0" w:color="auto"/>
            <w:right w:val="none" w:sz="0" w:space="0" w:color="auto"/>
          </w:divBdr>
        </w:div>
        <w:div w:id="59137007">
          <w:marLeft w:val="0"/>
          <w:marRight w:val="0"/>
          <w:marTop w:val="0"/>
          <w:marBottom w:val="0"/>
          <w:divBdr>
            <w:top w:val="none" w:sz="0" w:space="0" w:color="auto"/>
            <w:left w:val="none" w:sz="0" w:space="0" w:color="auto"/>
            <w:bottom w:val="none" w:sz="0" w:space="0" w:color="auto"/>
            <w:right w:val="none" w:sz="0" w:space="0" w:color="auto"/>
          </w:divBdr>
        </w:div>
        <w:div w:id="352345353">
          <w:marLeft w:val="0"/>
          <w:marRight w:val="0"/>
          <w:marTop w:val="0"/>
          <w:marBottom w:val="0"/>
          <w:divBdr>
            <w:top w:val="none" w:sz="0" w:space="0" w:color="auto"/>
            <w:left w:val="none" w:sz="0" w:space="0" w:color="auto"/>
            <w:bottom w:val="none" w:sz="0" w:space="0" w:color="auto"/>
            <w:right w:val="none" w:sz="0" w:space="0" w:color="auto"/>
          </w:divBdr>
        </w:div>
        <w:div w:id="978656379">
          <w:marLeft w:val="0"/>
          <w:marRight w:val="0"/>
          <w:marTop w:val="0"/>
          <w:marBottom w:val="0"/>
          <w:divBdr>
            <w:top w:val="none" w:sz="0" w:space="0" w:color="auto"/>
            <w:left w:val="none" w:sz="0" w:space="0" w:color="auto"/>
            <w:bottom w:val="none" w:sz="0" w:space="0" w:color="auto"/>
            <w:right w:val="none" w:sz="0" w:space="0" w:color="auto"/>
          </w:divBdr>
        </w:div>
        <w:div w:id="724524138">
          <w:marLeft w:val="0"/>
          <w:marRight w:val="0"/>
          <w:marTop w:val="0"/>
          <w:marBottom w:val="0"/>
          <w:divBdr>
            <w:top w:val="none" w:sz="0" w:space="0" w:color="auto"/>
            <w:left w:val="none" w:sz="0" w:space="0" w:color="auto"/>
            <w:bottom w:val="none" w:sz="0" w:space="0" w:color="auto"/>
            <w:right w:val="none" w:sz="0" w:space="0" w:color="auto"/>
          </w:divBdr>
        </w:div>
        <w:div w:id="1917933281">
          <w:marLeft w:val="0"/>
          <w:marRight w:val="0"/>
          <w:marTop w:val="0"/>
          <w:marBottom w:val="0"/>
          <w:divBdr>
            <w:top w:val="none" w:sz="0" w:space="0" w:color="auto"/>
            <w:left w:val="none" w:sz="0" w:space="0" w:color="auto"/>
            <w:bottom w:val="none" w:sz="0" w:space="0" w:color="auto"/>
            <w:right w:val="none" w:sz="0" w:space="0" w:color="auto"/>
          </w:divBdr>
        </w:div>
        <w:div w:id="502822473">
          <w:marLeft w:val="0"/>
          <w:marRight w:val="0"/>
          <w:marTop w:val="0"/>
          <w:marBottom w:val="0"/>
          <w:divBdr>
            <w:top w:val="none" w:sz="0" w:space="0" w:color="auto"/>
            <w:left w:val="none" w:sz="0" w:space="0" w:color="auto"/>
            <w:bottom w:val="none" w:sz="0" w:space="0" w:color="auto"/>
            <w:right w:val="none" w:sz="0" w:space="0" w:color="auto"/>
          </w:divBdr>
        </w:div>
        <w:div w:id="2124224160">
          <w:marLeft w:val="0"/>
          <w:marRight w:val="0"/>
          <w:marTop w:val="0"/>
          <w:marBottom w:val="0"/>
          <w:divBdr>
            <w:top w:val="none" w:sz="0" w:space="0" w:color="auto"/>
            <w:left w:val="none" w:sz="0" w:space="0" w:color="auto"/>
            <w:bottom w:val="none" w:sz="0" w:space="0" w:color="auto"/>
            <w:right w:val="none" w:sz="0" w:space="0" w:color="auto"/>
          </w:divBdr>
        </w:div>
        <w:div w:id="53086666">
          <w:marLeft w:val="0"/>
          <w:marRight w:val="0"/>
          <w:marTop w:val="0"/>
          <w:marBottom w:val="0"/>
          <w:divBdr>
            <w:top w:val="none" w:sz="0" w:space="0" w:color="auto"/>
            <w:left w:val="none" w:sz="0" w:space="0" w:color="auto"/>
            <w:bottom w:val="none" w:sz="0" w:space="0" w:color="auto"/>
            <w:right w:val="none" w:sz="0" w:space="0" w:color="auto"/>
          </w:divBdr>
        </w:div>
        <w:div w:id="567616471">
          <w:marLeft w:val="0"/>
          <w:marRight w:val="0"/>
          <w:marTop w:val="0"/>
          <w:marBottom w:val="0"/>
          <w:divBdr>
            <w:top w:val="none" w:sz="0" w:space="0" w:color="auto"/>
            <w:left w:val="none" w:sz="0" w:space="0" w:color="auto"/>
            <w:bottom w:val="none" w:sz="0" w:space="0" w:color="auto"/>
            <w:right w:val="none" w:sz="0" w:space="0" w:color="auto"/>
          </w:divBdr>
        </w:div>
        <w:div w:id="1907379182">
          <w:marLeft w:val="0"/>
          <w:marRight w:val="0"/>
          <w:marTop w:val="0"/>
          <w:marBottom w:val="0"/>
          <w:divBdr>
            <w:top w:val="none" w:sz="0" w:space="0" w:color="auto"/>
            <w:left w:val="none" w:sz="0" w:space="0" w:color="auto"/>
            <w:bottom w:val="none" w:sz="0" w:space="0" w:color="auto"/>
            <w:right w:val="none" w:sz="0" w:space="0" w:color="auto"/>
          </w:divBdr>
        </w:div>
        <w:div w:id="2064331466">
          <w:marLeft w:val="0"/>
          <w:marRight w:val="0"/>
          <w:marTop w:val="0"/>
          <w:marBottom w:val="0"/>
          <w:divBdr>
            <w:top w:val="none" w:sz="0" w:space="0" w:color="auto"/>
            <w:left w:val="none" w:sz="0" w:space="0" w:color="auto"/>
            <w:bottom w:val="none" w:sz="0" w:space="0" w:color="auto"/>
            <w:right w:val="none" w:sz="0" w:space="0" w:color="auto"/>
          </w:divBdr>
        </w:div>
        <w:div w:id="2111854212">
          <w:marLeft w:val="0"/>
          <w:marRight w:val="0"/>
          <w:marTop w:val="0"/>
          <w:marBottom w:val="0"/>
          <w:divBdr>
            <w:top w:val="none" w:sz="0" w:space="0" w:color="auto"/>
            <w:left w:val="none" w:sz="0" w:space="0" w:color="auto"/>
            <w:bottom w:val="none" w:sz="0" w:space="0" w:color="auto"/>
            <w:right w:val="none" w:sz="0" w:space="0" w:color="auto"/>
          </w:divBdr>
        </w:div>
        <w:div w:id="398864656">
          <w:marLeft w:val="0"/>
          <w:marRight w:val="0"/>
          <w:marTop w:val="0"/>
          <w:marBottom w:val="0"/>
          <w:divBdr>
            <w:top w:val="none" w:sz="0" w:space="0" w:color="auto"/>
            <w:left w:val="none" w:sz="0" w:space="0" w:color="auto"/>
            <w:bottom w:val="none" w:sz="0" w:space="0" w:color="auto"/>
            <w:right w:val="none" w:sz="0" w:space="0" w:color="auto"/>
          </w:divBdr>
        </w:div>
        <w:div w:id="1442190615">
          <w:marLeft w:val="0"/>
          <w:marRight w:val="0"/>
          <w:marTop w:val="0"/>
          <w:marBottom w:val="0"/>
          <w:divBdr>
            <w:top w:val="none" w:sz="0" w:space="0" w:color="auto"/>
            <w:left w:val="none" w:sz="0" w:space="0" w:color="auto"/>
            <w:bottom w:val="none" w:sz="0" w:space="0" w:color="auto"/>
            <w:right w:val="none" w:sz="0" w:space="0" w:color="auto"/>
          </w:divBdr>
        </w:div>
      </w:divsChild>
    </w:div>
    <w:div w:id="428812786">
      <w:bodyDiv w:val="1"/>
      <w:marLeft w:val="0"/>
      <w:marRight w:val="0"/>
      <w:marTop w:val="0"/>
      <w:marBottom w:val="0"/>
      <w:divBdr>
        <w:top w:val="none" w:sz="0" w:space="0" w:color="auto"/>
        <w:left w:val="none" w:sz="0" w:space="0" w:color="auto"/>
        <w:bottom w:val="none" w:sz="0" w:space="0" w:color="auto"/>
        <w:right w:val="none" w:sz="0" w:space="0" w:color="auto"/>
      </w:divBdr>
      <w:divsChild>
        <w:div w:id="1561675030">
          <w:marLeft w:val="0"/>
          <w:marRight w:val="0"/>
          <w:marTop w:val="0"/>
          <w:marBottom w:val="0"/>
          <w:divBdr>
            <w:top w:val="none" w:sz="0" w:space="0" w:color="auto"/>
            <w:left w:val="none" w:sz="0" w:space="0" w:color="auto"/>
            <w:bottom w:val="none" w:sz="0" w:space="0" w:color="auto"/>
            <w:right w:val="none" w:sz="0" w:space="0" w:color="auto"/>
          </w:divBdr>
        </w:div>
        <w:div w:id="1795516998">
          <w:marLeft w:val="0"/>
          <w:marRight w:val="0"/>
          <w:marTop w:val="0"/>
          <w:marBottom w:val="0"/>
          <w:divBdr>
            <w:top w:val="none" w:sz="0" w:space="0" w:color="auto"/>
            <w:left w:val="none" w:sz="0" w:space="0" w:color="auto"/>
            <w:bottom w:val="none" w:sz="0" w:space="0" w:color="auto"/>
            <w:right w:val="none" w:sz="0" w:space="0" w:color="auto"/>
          </w:divBdr>
        </w:div>
        <w:div w:id="784274337">
          <w:marLeft w:val="0"/>
          <w:marRight w:val="0"/>
          <w:marTop w:val="0"/>
          <w:marBottom w:val="0"/>
          <w:divBdr>
            <w:top w:val="none" w:sz="0" w:space="0" w:color="auto"/>
            <w:left w:val="none" w:sz="0" w:space="0" w:color="auto"/>
            <w:bottom w:val="none" w:sz="0" w:space="0" w:color="auto"/>
            <w:right w:val="none" w:sz="0" w:space="0" w:color="auto"/>
          </w:divBdr>
        </w:div>
        <w:div w:id="460996201">
          <w:marLeft w:val="0"/>
          <w:marRight w:val="0"/>
          <w:marTop w:val="0"/>
          <w:marBottom w:val="0"/>
          <w:divBdr>
            <w:top w:val="none" w:sz="0" w:space="0" w:color="auto"/>
            <w:left w:val="none" w:sz="0" w:space="0" w:color="auto"/>
            <w:bottom w:val="none" w:sz="0" w:space="0" w:color="auto"/>
            <w:right w:val="none" w:sz="0" w:space="0" w:color="auto"/>
          </w:divBdr>
        </w:div>
        <w:div w:id="1351643339">
          <w:marLeft w:val="0"/>
          <w:marRight w:val="0"/>
          <w:marTop w:val="0"/>
          <w:marBottom w:val="0"/>
          <w:divBdr>
            <w:top w:val="none" w:sz="0" w:space="0" w:color="auto"/>
            <w:left w:val="none" w:sz="0" w:space="0" w:color="auto"/>
            <w:bottom w:val="none" w:sz="0" w:space="0" w:color="auto"/>
            <w:right w:val="none" w:sz="0" w:space="0" w:color="auto"/>
          </w:divBdr>
        </w:div>
        <w:div w:id="924343793">
          <w:marLeft w:val="0"/>
          <w:marRight w:val="0"/>
          <w:marTop w:val="0"/>
          <w:marBottom w:val="0"/>
          <w:divBdr>
            <w:top w:val="none" w:sz="0" w:space="0" w:color="auto"/>
            <w:left w:val="none" w:sz="0" w:space="0" w:color="auto"/>
            <w:bottom w:val="none" w:sz="0" w:space="0" w:color="auto"/>
            <w:right w:val="none" w:sz="0" w:space="0" w:color="auto"/>
          </w:divBdr>
        </w:div>
        <w:div w:id="2055351758">
          <w:marLeft w:val="0"/>
          <w:marRight w:val="0"/>
          <w:marTop w:val="0"/>
          <w:marBottom w:val="0"/>
          <w:divBdr>
            <w:top w:val="none" w:sz="0" w:space="0" w:color="auto"/>
            <w:left w:val="none" w:sz="0" w:space="0" w:color="auto"/>
            <w:bottom w:val="none" w:sz="0" w:space="0" w:color="auto"/>
            <w:right w:val="none" w:sz="0" w:space="0" w:color="auto"/>
          </w:divBdr>
        </w:div>
        <w:div w:id="1079910259">
          <w:marLeft w:val="0"/>
          <w:marRight w:val="0"/>
          <w:marTop w:val="0"/>
          <w:marBottom w:val="0"/>
          <w:divBdr>
            <w:top w:val="none" w:sz="0" w:space="0" w:color="auto"/>
            <w:left w:val="none" w:sz="0" w:space="0" w:color="auto"/>
            <w:bottom w:val="none" w:sz="0" w:space="0" w:color="auto"/>
            <w:right w:val="none" w:sz="0" w:space="0" w:color="auto"/>
          </w:divBdr>
        </w:div>
        <w:div w:id="256905698">
          <w:marLeft w:val="0"/>
          <w:marRight w:val="0"/>
          <w:marTop w:val="0"/>
          <w:marBottom w:val="0"/>
          <w:divBdr>
            <w:top w:val="none" w:sz="0" w:space="0" w:color="auto"/>
            <w:left w:val="none" w:sz="0" w:space="0" w:color="auto"/>
            <w:bottom w:val="none" w:sz="0" w:space="0" w:color="auto"/>
            <w:right w:val="none" w:sz="0" w:space="0" w:color="auto"/>
          </w:divBdr>
        </w:div>
        <w:div w:id="439106838">
          <w:marLeft w:val="0"/>
          <w:marRight w:val="0"/>
          <w:marTop w:val="0"/>
          <w:marBottom w:val="0"/>
          <w:divBdr>
            <w:top w:val="none" w:sz="0" w:space="0" w:color="auto"/>
            <w:left w:val="none" w:sz="0" w:space="0" w:color="auto"/>
            <w:bottom w:val="none" w:sz="0" w:space="0" w:color="auto"/>
            <w:right w:val="none" w:sz="0" w:space="0" w:color="auto"/>
          </w:divBdr>
        </w:div>
        <w:div w:id="210264025">
          <w:marLeft w:val="0"/>
          <w:marRight w:val="0"/>
          <w:marTop w:val="0"/>
          <w:marBottom w:val="0"/>
          <w:divBdr>
            <w:top w:val="none" w:sz="0" w:space="0" w:color="auto"/>
            <w:left w:val="none" w:sz="0" w:space="0" w:color="auto"/>
            <w:bottom w:val="none" w:sz="0" w:space="0" w:color="auto"/>
            <w:right w:val="none" w:sz="0" w:space="0" w:color="auto"/>
          </w:divBdr>
        </w:div>
        <w:div w:id="874856282">
          <w:marLeft w:val="0"/>
          <w:marRight w:val="0"/>
          <w:marTop w:val="0"/>
          <w:marBottom w:val="0"/>
          <w:divBdr>
            <w:top w:val="none" w:sz="0" w:space="0" w:color="auto"/>
            <w:left w:val="none" w:sz="0" w:space="0" w:color="auto"/>
            <w:bottom w:val="none" w:sz="0" w:space="0" w:color="auto"/>
            <w:right w:val="none" w:sz="0" w:space="0" w:color="auto"/>
          </w:divBdr>
        </w:div>
        <w:div w:id="112215804">
          <w:marLeft w:val="0"/>
          <w:marRight w:val="0"/>
          <w:marTop w:val="0"/>
          <w:marBottom w:val="0"/>
          <w:divBdr>
            <w:top w:val="none" w:sz="0" w:space="0" w:color="auto"/>
            <w:left w:val="none" w:sz="0" w:space="0" w:color="auto"/>
            <w:bottom w:val="none" w:sz="0" w:space="0" w:color="auto"/>
            <w:right w:val="none" w:sz="0" w:space="0" w:color="auto"/>
          </w:divBdr>
        </w:div>
        <w:div w:id="1217863027">
          <w:marLeft w:val="0"/>
          <w:marRight w:val="0"/>
          <w:marTop w:val="0"/>
          <w:marBottom w:val="0"/>
          <w:divBdr>
            <w:top w:val="none" w:sz="0" w:space="0" w:color="auto"/>
            <w:left w:val="none" w:sz="0" w:space="0" w:color="auto"/>
            <w:bottom w:val="none" w:sz="0" w:space="0" w:color="auto"/>
            <w:right w:val="none" w:sz="0" w:space="0" w:color="auto"/>
          </w:divBdr>
        </w:div>
        <w:div w:id="1379354619">
          <w:marLeft w:val="0"/>
          <w:marRight w:val="0"/>
          <w:marTop w:val="0"/>
          <w:marBottom w:val="0"/>
          <w:divBdr>
            <w:top w:val="none" w:sz="0" w:space="0" w:color="auto"/>
            <w:left w:val="none" w:sz="0" w:space="0" w:color="auto"/>
            <w:bottom w:val="none" w:sz="0" w:space="0" w:color="auto"/>
            <w:right w:val="none" w:sz="0" w:space="0" w:color="auto"/>
          </w:divBdr>
        </w:div>
        <w:div w:id="404452921">
          <w:marLeft w:val="0"/>
          <w:marRight w:val="0"/>
          <w:marTop w:val="0"/>
          <w:marBottom w:val="0"/>
          <w:divBdr>
            <w:top w:val="none" w:sz="0" w:space="0" w:color="auto"/>
            <w:left w:val="none" w:sz="0" w:space="0" w:color="auto"/>
            <w:bottom w:val="none" w:sz="0" w:space="0" w:color="auto"/>
            <w:right w:val="none" w:sz="0" w:space="0" w:color="auto"/>
          </w:divBdr>
        </w:div>
        <w:div w:id="589896027">
          <w:marLeft w:val="0"/>
          <w:marRight w:val="0"/>
          <w:marTop w:val="0"/>
          <w:marBottom w:val="0"/>
          <w:divBdr>
            <w:top w:val="none" w:sz="0" w:space="0" w:color="auto"/>
            <w:left w:val="none" w:sz="0" w:space="0" w:color="auto"/>
            <w:bottom w:val="none" w:sz="0" w:space="0" w:color="auto"/>
            <w:right w:val="none" w:sz="0" w:space="0" w:color="auto"/>
          </w:divBdr>
        </w:div>
        <w:div w:id="1258293121">
          <w:marLeft w:val="0"/>
          <w:marRight w:val="0"/>
          <w:marTop w:val="0"/>
          <w:marBottom w:val="0"/>
          <w:divBdr>
            <w:top w:val="none" w:sz="0" w:space="0" w:color="auto"/>
            <w:left w:val="none" w:sz="0" w:space="0" w:color="auto"/>
            <w:bottom w:val="none" w:sz="0" w:space="0" w:color="auto"/>
            <w:right w:val="none" w:sz="0" w:space="0" w:color="auto"/>
          </w:divBdr>
        </w:div>
        <w:div w:id="1971473900">
          <w:marLeft w:val="0"/>
          <w:marRight w:val="0"/>
          <w:marTop w:val="0"/>
          <w:marBottom w:val="0"/>
          <w:divBdr>
            <w:top w:val="none" w:sz="0" w:space="0" w:color="auto"/>
            <w:left w:val="none" w:sz="0" w:space="0" w:color="auto"/>
            <w:bottom w:val="none" w:sz="0" w:space="0" w:color="auto"/>
            <w:right w:val="none" w:sz="0" w:space="0" w:color="auto"/>
          </w:divBdr>
        </w:div>
        <w:div w:id="1784686134">
          <w:marLeft w:val="0"/>
          <w:marRight w:val="0"/>
          <w:marTop w:val="0"/>
          <w:marBottom w:val="0"/>
          <w:divBdr>
            <w:top w:val="none" w:sz="0" w:space="0" w:color="auto"/>
            <w:left w:val="none" w:sz="0" w:space="0" w:color="auto"/>
            <w:bottom w:val="none" w:sz="0" w:space="0" w:color="auto"/>
            <w:right w:val="none" w:sz="0" w:space="0" w:color="auto"/>
          </w:divBdr>
        </w:div>
        <w:div w:id="1903514801">
          <w:marLeft w:val="0"/>
          <w:marRight w:val="0"/>
          <w:marTop w:val="0"/>
          <w:marBottom w:val="0"/>
          <w:divBdr>
            <w:top w:val="none" w:sz="0" w:space="0" w:color="auto"/>
            <w:left w:val="none" w:sz="0" w:space="0" w:color="auto"/>
            <w:bottom w:val="none" w:sz="0" w:space="0" w:color="auto"/>
            <w:right w:val="none" w:sz="0" w:space="0" w:color="auto"/>
          </w:divBdr>
        </w:div>
        <w:div w:id="795757231">
          <w:marLeft w:val="0"/>
          <w:marRight w:val="0"/>
          <w:marTop w:val="0"/>
          <w:marBottom w:val="0"/>
          <w:divBdr>
            <w:top w:val="none" w:sz="0" w:space="0" w:color="auto"/>
            <w:left w:val="none" w:sz="0" w:space="0" w:color="auto"/>
            <w:bottom w:val="none" w:sz="0" w:space="0" w:color="auto"/>
            <w:right w:val="none" w:sz="0" w:space="0" w:color="auto"/>
          </w:divBdr>
        </w:div>
        <w:div w:id="964698227">
          <w:marLeft w:val="0"/>
          <w:marRight w:val="0"/>
          <w:marTop w:val="0"/>
          <w:marBottom w:val="0"/>
          <w:divBdr>
            <w:top w:val="none" w:sz="0" w:space="0" w:color="auto"/>
            <w:left w:val="none" w:sz="0" w:space="0" w:color="auto"/>
            <w:bottom w:val="none" w:sz="0" w:space="0" w:color="auto"/>
            <w:right w:val="none" w:sz="0" w:space="0" w:color="auto"/>
          </w:divBdr>
        </w:div>
        <w:div w:id="1675112445">
          <w:marLeft w:val="0"/>
          <w:marRight w:val="0"/>
          <w:marTop w:val="0"/>
          <w:marBottom w:val="0"/>
          <w:divBdr>
            <w:top w:val="none" w:sz="0" w:space="0" w:color="auto"/>
            <w:left w:val="none" w:sz="0" w:space="0" w:color="auto"/>
            <w:bottom w:val="none" w:sz="0" w:space="0" w:color="auto"/>
            <w:right w:val="none" w:sz="0" w:space="0" w:color="auto"/>
          </w:divBdr>
        </w:div>
        <w:div w:id="141119758">
          <w:marLeft w:val="0"/>
          <w:marRight w:val="0"/>
          <w:marTop w:val="0"/>
          <w:marBottom w:val="0"/>
          <w:divBdr>
            <w:top w:val="none" w:sz="0" w:space="0" w:color="auto"/>
            <w:left w:val="none" w:sz="0" w:space="0" w:color="auto"/>
            <w:bottom w:val="none" w:sz="0" w:space="0" w:color="auto"/>
            <w:right w:val="none" w:sz="0" w:space="0" w:color="auto"/>
          </w:divBdr>
        </w:div>
        <w:div w:id="714697156">
          <w:marLeft w:val="0"/>
          <w:marRight w:val="0"/>
          <w:marTop w:val="0"/>
          <w:marBottom w:val="0"/>
          <w:divBdr>
            <w:top w:val="none" w:sz="0" w:space="0" w:color="auto"/>
            <w:left w:val="none" w:sz="0" w:space="0" w:color="auto"/>
            <w:bottom w:val="none" w:sz="0" w:space="0" w:color="auto"/>
            <w:right w:val="none" w:sz="0" w:space="0" w:color="auto"/>
          </w:divBdr>
        </w:div>
      </w:divsChild>
    </w:div>
    <w:div w:id="457794619">
      <w:bodyDiv w:val="1"/>
      <w:marLeft w:val="0"/>
      <w:marRight w:val="0"/>
      <w:marTop w:val="0"/>
      <w:marBottom w:val="0"/>
      <w:divBdr>
        <w:top w:val="none" w:sz="0" w:space="0" w:color="auto"/>
        <w:left w:val="none" w:sz="0" w:space="0" w:color="auto"/>
        <w:bottom w:val="none" w:sz="0" w:space="0" w:color="auto"/>
        <w:right w:val="none" w:sz="0" w:space="0" w:color="auto"/>
      </w:divBdr>
      <w:divsChild>
        <w:div w:id="273287184">
          <w:marLeft w:val="0"/>
          <w:marRight w:val="0"/>
          <w:marTop w:val="0"/>
          <w:marBottom w:val="0"/>
          <w:divBdr>
            <w:top w:val="none" w:sz="0" w:space="0" w:color="auto"/>
            <w:left w:val="none" w:sz="0" w:space="0" w:color="auto"/>
            <w:bottom w:val="none" w:sz="0" w:space="0" w:color="auto"/>
            <w:right w:val="none" w:sz="0" w:space="0" w:color="auto"/>
          </w:divBdr>
        </w:div>
        <w:div w:id="1735081363">
          <w:marLeft w:val="0"/>
          <w:marRight w:val="0"/>
          <w:marTop w:val="0"/>
          <w:marBottom w:val="0"/>
          <w:divBdr>
            <w:top w:val="none" w:sz="0" w:space="0" w:color="auto"/>
            <w:left w:val="none" w:sz="0" w:space="0" w:color="auto"/>
            <w:bottom w:val="none" w:sz="0" w:space="0" w:color="auto"/>
            <w:right w:val="none" w:sz="0" w:space="0" w:color="auto"/>
          </w:divBdr>
        </w:div>
        <w:div w:id="1190097410">
          <w:marLeft w:val="0"/>
          <w:marRight w:val="0"/>
          <w:marTop w:val="0"/>
          <w:marBottom w:val="0"/>
          <w:divBdr>
            <w:top w:val="none" w:sz="0" w:space="0" w:color="auto"/>
            <w:left w:val="none" w:sz="0" w:space="0" w:color="auto"/>
            <w:bottom w:val="none" w:sz="0" w:space="0" w:color="auto"/>
            <w:right w:val="none" w:sz="0" w:space="0" w:color="auto"/>
          </w:divBdr>
        </w:div>
        <w:div w:id="1374311385">
          <w:marLeft w:val="0"/>
          <w:marRight w:val="0"/>
          <w:marTop w:val="0"/>
          <w:marBottom w:val="0"/>
          <w:divBdr>
            <w:top w:val="none" w:sz="0" w:space="0" w:color="auto"/>
            <w:left w:val="none" w:sz="0" w:space="0" w:color="auto"/>
            <w:bottom w:val="none" w:sz="0" w:space="0" w:color="auto"/>
            <w:right w:val="none" w:sz="0" w:space="0" w:color="auto"/>
          </w:divBdr>
        </w:div>
        <w:div w:id="1065840962">
          <w:marLeft w:val="0"/>
          <w:marRight w:val="0"/>
          <w:marTop w:val="0"/>
          <w:marBottom w:val="0"/>
          <w:divBdr>
            <w:top w:val="none" w:sz="0" w:space="0" w:color="auto"/>
            <w:left w:val="none" w:sz="0" w:space="0" w:color="auto"/>
            <w:bottom w:val="none" w:sz="0" w:space="0" w:color="auto"/>
            <w:right w:val="none" w:sz="0" w:space="0" w:color="auto"/>
          </w:divBdr>
        </w:div>
        <w:div w:id="530073271">
          <w:marLeft w:val="0"/>
          <w:marRight w:val="0"/>
          <w:marTop w:val="0"/>
          <w:marBottom w:val="0"/>
          <w:divBdr>
            <w:top w:val="none" w:sz="0" w:space="0" w:color="auto"/>
            <w:left w:val="none" w:sz="0" w:space="0" w:color="auto"/>
            <w:bottom w:val="none" w:sz="0" w:space="0" w:color="auto"/>
            <w:right w:val="none" w:sz="0" w:space="0" w:color="auto"/>
          </w:divBdr>
        </w:div>
        <w:div w:id="1793283599">
          <w:marLeft w:val="0"/>
          <w:marRight w:val="0"/>
          <w:marTop w:val="0"/>
          <w:marBottom w:val="0"/>
          <w:divBdr>
            <w:top w:val="none" w:sz="0" w:space="0" w:color="auto"/>
            <w:left w:val="none" w:sz="0" w:space="0" w:color="auto"/>
            <w:bottom w:val="none" w:sz="0" w:space="0" w:color="auto"/>
            <w:right w:val="none" w:sz="0" w:space="0" w:color="auto"/>
          </w:divBdr>
        </w:div>
        <w:div w:id="707796971">
          <w:marLeft w:val="0"/>
          <w:marRight w:val="0"/>
          <w:marTop w:val="0"/>
          <w:marBottom w:val="0"/>
          <w:divBdr>
            <w:top w:val="none" w:sz="0" w:space="0" w:color="auto"/>
            <w:left w:val="none" w:sz="0" w:space="0" w:color="auto"/>
            <w:bottom w:val="none" w:sz="0" w:space="0" w:color="auto"/>
            <w:right w:val="none" w:sz="0" w:space="0" w:color="auto"/>
          </w:divBdr>
        </w:div>
        <w:div w:id="373501758">
          <w:marLeft w:val="0"/>
          <w:marRight w:val="0"/>
          <w:marTop w:val="0"/>
          <w:marBottom w:val="0"/>
          <w:divBdr>
            <w:top w:val="none" w:sz="0" w:space="0" w:color="auto"/>
            <w:left w:val="none" w:sz="0" w:space="0" w:color="auto"/>
            <w:bottom w:val="none" w:sz="0" w:space="0" w:color="auto"/>
            <w:right w:val="none" w:sz="0" w:space="0" w:color="auto"/>
          </w:divBdr>
        </w:div>
        <w:div w:id="30303830">
          <w:marLeft w:val="0"/>
          <w:marRight w:val="0"/>
          <w:marTop w:val="0"/>
          <w:marBottom w:val="0"/>
          <w:divBdr>
            <w:top w:val="none" w:sz="0" w:space="0" w:color="auto"/>
            <w:left w:val="none" w:sz="0" w:space="0" w:color="auto"/>
            <w:bottom w:val="none" w:sz="0" w:space="0" w:color="auto"/>
            <w:right w:val="none" w:sz="0" w:space="0" w:color="auto"/>
          </w:divBdr>
        </w:div>
      </w:divsChild>
    </w:div>
    <w:div w:id="502404022">
      <w:bodyDiv w:val="1"/>
      <w:marLeft w:val="0"/>
      <w:marRight w:val="0"/>
      <w:marTop w:val="0"/>
      <w:marBottom w:val="0"/>
      <w:divBdr>
        <w:top w:val="none" w:sz="0" w:space="0" w:color="auto"/>
        <w:left w:val="none" w:sz="0" w:space="0" w:color="auto"/>
        <w:bottom w:val="none" w:sz="0" w:space="0" w:color="auto"/>
        <w:right w:val="none" w:sz="0" w:space="0" w:color="auto"/>
      </w:divBdr>
    </w:div>
    <w:div w:id="504631331">
      <w:bodyDiv w:val="1"/>
      <w:marLeft w:val="0"/>
      <w:marRight w:val="0"/>
      <w:marTop w:val="0"/>
      <w:marBottom w:val="0"/>
      <w:divBdr>
        <w:top w:val="none" w:sz="0" w:space="0" w:color="auto"/>
        <w:left w:val="none" w:sz="0" w:space="0" w:color="auto"/>
        <w:bottom w:val="none" w:sz="0" w:space="0" w:color="auto"/>
        <w:right w:val="none" w:sz="0" w:space="0" w:color="auto"/>
      </w:divBdr>
    </w:div>
    <w:div w:id="549533246">
      <w:bodyDiv w:val="1"/>
      <w:marLeft w:val="0"/>
      <w:marRight w:val="0"/>
      <w:marTop w:val="0"/>
      <w:marBottom w:val="0"/>
      <w:divBdr>
        <w:top w:val="none" w:sz="0" w:space="0" w:color="auto"/>
        <w:left w:val="none" w:sz="0" w:space="0" w:color="auto"/>
        <w:bottom w:val="none" w:sz="0" w:space="0" w:color="auto"/>
        <w:right w:val="none" w:sz="0" w:space="0" w:color="auto"/>
      </w:divBdr>
    </w:div>
    <w:div w:id="672610484">
      <w:bodyDiv w:val="1"/>
      <w:marLeft w:val="0"/>
      <w:marRight w:val="0"/>
      <w:marTop w:val="0"/>
      <w:marBottom w:val="0"/>
      <w:divBdr>
        <w:top w:val="none" w:sz="0" w:space="0" w:color="auto"/>
        <w:left w:val="none" w:sz="0" w:space="0" w:color="auto"/>
        <w:bottom w:val="none" w:sz="0" w:space="0" w:color="auto"/>
        <w:right w:val="none" w:sz="0" w:space="0" w:color="auto"/>
      </w:divBdr>
    </w:div>
    <w:div w:id="676856372">
      <w:bodyDiv w:val="1"/>
      <w:marLeft w:val="0"/>
      <w:marRight w:val="0"/>
      <w:marTop w:val="0"/>
      <w:marBottom w:val="0"/>
      <w:divBdr>
        <w:top w:val="none" w:sz="0" w:space="0" w:color="auto"/>
        <w:left w:val="none" w:sz="0" w:space="0" w:color="auto"/>
        <w:bottom w:val="none" w:sz="0" w:space="0" w:color="auto"/>
        <w:right w:val="none" w:sz="0" w:space="0" w:color="auto"/>
      </w:divBdr>
      <w:divsChild>
        <w:div w:id="1003438309">
          <w:marLeft w:val="0"/>
          <w:marRight w:val="0"/>
          <w:marTop w:val="0"/>
          <w:marBottom w:val="0"/>
          <w:divBdr>
            <w:top w:val="none" w:sz="0" w:space="0" w:color="auto"/>
            <w:left w:val="none" w:sz="0" w:space="0" w:color="auto"/>
            <w:bottom w:val="none" w:sz="0" w:space="0" w:color="auto"/>
            <w:right w:val="none" w:sz="0" w:space="0" w:color="auto"/>
          </w:divBdr>
        </w:div>
        <w:div w:id="439841118">
          <w:marLeft w:val="0"/>
          <w:marRight w:val="0"/>
          <w:marTop w:val="0"/>
          <w:marBottom w:val="0"/>
          <w:divBdr>
            <w:top w:val="none" w:sz="0" w:space="0" w:color="auto"/>
            <w:left w:val="none" w:sz="0" w:space="0" w:color="auto"/>
            <w:bottom w:val="none" w:sz="0" w:space="0" w:color="auto"/>
            <w:right w:val="none" w:sz="0" w:space="0" w:color="auto"/>
          </w:divBdr>
        </w:div>
        <w:div w:id="1192456357">
          <w:marLeft w:val="0"/>
          <w:marRight w:val="0"/>
          <w:marTop w:val="0"/>
          <w:marBottom w:val="0"/>
          <w:divBdr>
            <w:top w:val="none" w:sz="0" w:space="0" w:color="auto"/>
            <w:left w:val="none" w:sz="0" w:space="0" w:color="auto"/>
            <w:bottom w:val="none" w:sz="0" w:space="0" w:color="auto"/>
            <w:right w:val="none" w:sz="0" w:space="0" w:color="auto"/>
          </w:divBdr>
        </w:div>
        <w:div w:id="431752286">
          <w:marLeft w:val="0"/>
          <w:marRight w:val="0"/>
          <w:marTop w:val="0"/>
          <w:marBottom w:val="0"/>
          <w:divBdr>
            <w:top w:val="none" w:sz="0" w:space="0" w:color="auto"/>
            <w:left w:val="none" w:sz="0" w:space="0" w:color="auto"/>
            <w:bottom w:val="none" w:sz="0" w:space="0" w:color="auto"/>
            <w:right w:val="none" w:sz="0" w:space="0" w:color="auto"/>
          </w:divBdr>
        </w:div>
        <w:div w:id="78528302">
          <w:marLeft w:val="0"/>
          <w:marRight w:val="0"/>
          <w:marTop w:val="0"/>
          <w:marBottom w:val="0"/>
          <w:divBdr>
            <w:top w:val="none" w:sz="0" w:space="0" w:color="auto"/>
            <w:left w:val="none" w:sz="0" w:space="0" w:color="auto"/>
            <w:bottom w:val="none" w:sz="0" w:space="0" w:color="auto"/>
            <w:right w:val="none" w:sz="0" w:space="0" w:color="auto"/>
          </w:divBdr>
        </w:div>
        <w:div w:id="1880706071">
          <w:marLeft w:val="0"/>
          <w:marRight w:val="0"/>
          <w:marTop w:val="0"/>
          <w:marBottom w:val="0"/>
          <w:divBdr>
            <w:top w:val="none" w:sz="0" w:space="0" w:color="auto"/>
            <w:left w:val="none" w:sz="0" w:space="0" w:color="auto"/>
            <w:bottom w:val="none" w:sz="0" w:space="0" w:color="auto"/>
            <w:right w:val="none" w:sz="0" w:space="0" w:color="auto"/>
          </w:divBdr>
        </w:div>
      </w:divsChild>
    </w:div>
    <w:div w:id="681205934">
      <w:bodyDiv w:val="1"/>
      <w:marLeft w:val="0"/>
      <w:marRight w:val="0"/>
      <w:marTop w:val="0"/>
      <w:marBottom w:val="0"/>
      <w:divBdr>
        <w:top w:val="none" w:sz="0" w:space="0" w:color="auto"/>
        <w:left w:val="none" w:sz="0" w:space="0" w:color="auto"/>
        <w:bottom w:val="none" w:sz="0" w:space="0" w:color="auto"/>
        <w:right w:val="none" w:sz="0" w:space="0" w:color="auto"/>
      </w:divBdr>
      <w:divsChild>
        <w:div w:id="813564502">
          <w:marLeft w:val="0"/>
          <w:marRight w:val="0"/>
          <w:marTop w:val="0"/>
          <w:marBottom w:val="0"/>
          <w:divBdr>
            <w:top w:val="none" w:sz="0" w:space="0" w:color="auto"/>
            <w:left w:val="none" w:sz="0" w:space="0" w:color="auto"/>
            <w:bottom w:val="none" w:sz="0" w:space="0" w:color="auto"/>
            <w:right w:val="none" w:sz="0" w:space="0" w:color="auto"/>
          </w:divBdr>
        </w:div>
        <w:div w:id="317001166">
          <w:marLeft w:val="0"/>
          <w:marRight w:val="0"/>
          <w:marTop w:val="0"/>
          <w:marBottom w:val="0"/>
          <w:divBdr>
            <w:top w:val="none" w:sz="0" w:space="0" w:color="auto"/>
            <w:left w:val="none" w:sz="0" w:space="0" w:color="auto"/>
            <w:bottom w:val="none" w:sz="0" w:space="0" w:color="auto"/>
            <w:right w:val="none" w:sz="0" w:space="0" w:color="auto"/>
          </w:divBdr>
        </w:div>
      </w:divsChild>
    </w:div>
    <w:div w:id="766776256">
      <w:bodyDiv w:val="1"/>
      <w:marLeft w:val="0"/>
      <w:marRight w:val="0"/>
      <w:marTop w:val="0"/>
      <w:marBottom w:val="0"/>
      <w:divBdr>
        <w:top w:val="none" w:sz="0" w:space="0" w:color="auto"/>
        <w:left w:val="none" w:sz="0" w:space="0" w:color="auto"/>
        <w:bottom w:val="none" w:sz="0" w:space="0" w:color="auto"/>
        <w:right w:val="none" w:sz="0" w:space="0" w:color="auto"/>
      </w:divBdr>
    </w:div>
    <w:div w:id="769275332">
      <w:bodyDiv w:val="1"/>
      <w:marLeft w:val="0"/>
      <w:marRight w:val="0"/>
      <w:marTop w:val="0"/>
      <w:marBottom w:val="0"/>
      <w:divBdr>
        <w:top w:val="none" w:sz="0" w:space="0" w:color="auto"/>
        <w:left w:val="none" w:sz="0" w:space="0" w:color="auto"/>
        <w:bottom w:val="none" w:sz="0" w:space="0" w:color="auto"/>
        <w:right w:val="none" w:sz="0" w:space="0" w:color="auto"/>
      </w:divBdr>
    </w:div>
    <w:div w:id="815877525">
      <w:bodyDiv w:val="1"/>
      <w:marLeft w:val="0"/>
      <w:marRight w:val="0"/>
      <w:marTop w:val="0"/>
      <w:marBottom w:val="0"/>
      <w:divBdr>
        <w:top w:val="none" w:sz="0" w:space="0" w:color="auto"/>
        <w:left w:val="none" w:sz="0" w:space="0" w:color="auto"/>
        <w:bottom w:val="none" w:sz="0" w:space="0" w:color="auto"/>
        <w:right w:val="none" w:sz="0" w:space="0" w:color="auto"/>
      </w:divBdr>
      <w:divsChild>
        <w:div w:id="1549223823">
          <w:marLeft w:val="0"/>
          <w:marRight w:val="0"/>
          <w:marTop w:val="0"/>
          <w:marBottom w:val="0"/>
          <w:divBdr>
            <w:top w:val="none" w:sz="0" w:space="0" w:color="auto"/>
            <w:left w:val="none" w:sz="0" w:space="0" w:color="auto"/>
            <w:bottom w:val="none" w:sz="0" w:space="0" w:color="auto"/>
            <w:right w:val="none" w:sz="0" w:space="0" w:color="auto"/>
          </w:divBdr>
        </w:div>
        <w:div w:id="1579703796">
          <w:marLeft w:val="0"/>
          <w:marRight w:val="0"/>
          <w:marTop w:val="0"/>
          <w:marBottom w:val="0"/>
          <w:divBdr>
            <w:top w:val="none" w:sz="0" w:space="0" w:color="auto"/>
            <w:left w:val="none" w:sz="0" w:space="0" w:color="auto"/>
            <w:bottom w:val="none" w:sz="0" w:space="0" w:color="auto"/>
            <w:right w:val="none" w:sz="0" w:space="0" w:color="auto"/>
          </w:divBdr>
        </w:div>
        <w:div w:id="1818454852">
          <w:marLeft w:val="0"/>
          <w:marRight w:val="0"/>
          <w:marTop w:val="0"/>
          <w:marBottom w:val="0"/>
          <w:divBdr>
            <w:top w:val="none" w:sz="0" w:space="0" w:color="auto"/>
            <w:left w:val="none" w:sz="0" w:space="0" w:color="auto"/>
            <w:bottom w:val="none" w:sz="0" w:space="0" w:color="auto"/>
            <w:right w:val="none" w:sz="0" w:space="0" w:color="auto"/>
          </w:divBdr>
        </w:div>
      </w:divsChild>
    </w:div>
    <w:div w:id="890843228">
      <w:bodyDiv w:val="1"/>
      <w:marLeft w:val="0"/>
      <w:marRight w:val="0"/>
      <w:marTop w:val="0"/>
      <w:marBottom w:val="0"/>
      <w:divBdr>
        <w:top w:val="none" w:sz="0" w:space="0" w:color="auto"/>
        <w:left w:val="none" w:sz="0" w:space="0" w:color="auto"/>
        <w:bottom w:val="none" w:sz="0" w:space="0" w:color="auto"/>
        <w:right w:val="none" w:sz="0" w:space="0" w:color="auto"/>
      </w:divBdr>
    </w:div>
    <w:div w:id="893541689">
      <w:bodyDiv w:val="1"/>
      <w:marLeft w:val="0"/>
      <w:marRight w:val="0"/>
      <w:marTop w:val="0"/>
      <w:marBottom w:val="0"/>
      <w:divBdr>
        <w:top w:val="none" w:sz="0" w:space="0" w:color="auto"/>
        <w:left w:val="none" w:sz="0" w:space="0" w:color="auto"/>
        <w:bottom w:val="none" w:sz="0" w:space="0" w:color="auto"/>
        <w:right w:val="none" w:sz="0" w:space="0" w:color="auto"/>
      </w:divBdr>
      <w:divsChild>
        <w:div w:id="1882203820">
          <w:marLeft w:val="0"/>
          <w:marRight w:val="0"/>
          <w:marTop w:val="0"/>
          <w:marBottom w:val="0"/>
          <w:divBdr>
            <w:top w:val="none" w:sz="0" w:space="0" w:color="auto"/>
            <w:left w:val="none" w:sz="0" w:space="0" w:color="auto"/>
            <w:bottom w:val="none" w:sz="0" w:space="0" w:color="auto"/>
            <w:right w:val="none" w:sz="0" w:space="0" w:color="auto"/>
          </w:divBdr>
        </w:div>
        <w:div w:id="647788886">
          <w:marLeft w:val="0"/>
          <w:marRight w:val="0"/>
          <w:marTop w:val="0"/>
          <w:marBottom w:val="0"/>
          <w:divBdr>
            <w:top w:val="none" w:sz="0" w:space="0" w:color="auto"/>
            <w:left w:val="none" w:sz="0" w:space="0" w:color="auto"/>
            <w:bottom w:val="none" w:sz="0" w:space="0" w:color="auto"/>
            <w:right w:val="none" w:sz="0" w:space="0" w:color="auto"/>
          </w:divBdr>
        </w:div>
        <w:div w:id="2011447085">
          <w:marLeft w:val="0"/>
          <w:marRight w:val="0"/>
          <w:marTop w:val="0"/>
          <w:marBottom w:val="0"/>
          <w:divBdr>
            <w:top w:val="none" w:sz="0" w:space="0" w:color="auto"/>
            <w:left w:val="none" w:sz="0" w:space="0" w:color="auto"/>
            <w:bottom w:val="none" w:sz="0" w:space="0" w:color="auto"/>
            <w:right w:val="none" w:sz="0" w:space="0" w:color="auto"/>
          </w:divBdr>
        </w:div>
      </w:divsChild>
    </w:div>
    <w:div w:id="896936026">
      <w:bodyDiv w:val="1"/>
      <w:marLeft w:val="0"/>
      <w:marRight w:val="0"/>
      <w:marTop w:val="0"/>
      <w:marBottom w:val="0"/>
      <w:divBdr>
        <w:top w:val="none" w:sz="0" w:space="0" w:color="auto"/>
        <w:left w:val="none" w:sz="0" w:space="0" w:color="auto"/>
        <w:bottom w:val="none" w:sz="0" w:space="0" w:color="auto"/>
        <w:right w:val="none" w:sz="0" w:space="0" w:color="auto"/>
      </w:divBdr>
      <w:divsChild>
        <w:div w:id="745037742">
          <w:marLeft w:val="0"/>
          <w:marRight w:val="0"/>
          <w:marTop w:val="0"/>
          <w:marBottom w:val="0"/>
          <w:divBdr>
            <w:top w:val="none" w:sz="0" w:space="0" w:color="auto"/>
            <w:left w:val="none" w:sz="0" w:space="0" w:color="auto"/>
            <w:bottom w:val="none" w:sz="0" w:space="0" w:color="auto"/>
            <w:right w:val="none" w:sz="0" w:space="0" w:color="auto"/>
          </w:divBdr>
        </w:div>
        <w:div w:id="684400781">
          <w:marLeft w:val="0"/>
          <w:marRight w:val="0"/>
          <w:marTop w:val="0"/>
          <w:marBottom w:val="0"/>
          <w:divBdr>
            <w:top w:val="none" w:sz="0" w:space="0" w:color="auto"/>
            <w:left w:val="none" w:sz="0" w:space="0" w:color="auto"/>
            <w:bottom w:val="none" w:sz="0" w:space="0" w:color="auto"/>
            <w:right w:val="none" w:sz="0" w:space="0" w:color="auto"/>
          </w:divBdr>
        </w:div>
        <w:div w:id="1642613446">
          <w:marLeft w:val="0"/>
          <w:marRight w:val="0"/>
          <w:marTop w:val="0"/>
          <w:marBottom w:val="0"/>
          <w:divBdr>
            <w:top w:val="none" w:sz="0" w:space="0" w:color="auto"/>
            <w:left w:val="none" w:sz="0" w:space="0" w:color="auto"/>
            <w:bottom w:val="none" w:sz="0" w:space="0" w:color="auto"/>
            <w:right w:val="none" w:sz="0" w:space="0" w:color="auto"/>
          </w:divBdr>
        </w:div>
        <w:div w:id="535122502">
          <w:marLeft w:val="0"/>
          <w:marRight w:val="0"/>
          <w:marTop w:val="0"/>
          <w:marBottom w:val="0"/>
          <w:divBdr>
            <w:top w:val="none" w:sz="0" w:space="0" w:color="auto"/>
            <w:left w:val="none" w:sz="0" w:space="0" w:color="auto"/>
            <w:bottom w:val="none" w:sz="0" w:space="0" w:color="auto"/>
            <w:right w:val="none" w:sz="0" w:space="0" w:color="auto"/>
          </w:divBdr>
        </w:div>
        <w:div w:id="2023362446">
          <w:marLeft w:val="0"/>
          <w:marRight w:val="0"/>
          <w:marTop w:val="0"/>
          <w:marBottom w:val="0"/>
          <w:divBdr>
            <w:top w:val="none" w:sz="0" w:space="0" w:color="auto"/>
            <w:left w:val="none" w:sz="0" w:space="0" w:color="auto"/>
            <w:bottom w:val="none" w:sz="0" w:space="0" w:color="auto"/>
            <w:right w:val="none" w:sz="0" w:space="0" w:color="auto"/>
          </w:divBdr>
        </w:div>
        <w:div w:id="1219197327">
          <w:marLeft w:val="0"/>
          <w:marRight w:val="0"/>
          <w:marTop w:val="0"/>
          <w:marBottom w:val="0"/>
          <w:divBdr>
            <w:top w:val="none" w:sz="0" w:space="0" w:color="auto"/>
            <w:left w:val="none" w:sz="0" w:space="0" w:color="auto"/>
            <w:bottom w:val="none" w:sz="0" w:space="0" w:color="auto"/>
            <w:right w:val="none" w:sz="0" w:space="0" w:color="auto"/>
          </w:divBdr>
        </w:div>
        <w:div w:id="69470350">
          <w:marLeft w:val="0"/>
          <w:marRight w:val="0"/>
          <w:marTop w:val="0"/>
          <w:marBottom w:val="0"/>
          <w:divBdr>
            <w:top w:val="none" w:sz="0" w:space="0" w:color="auto"/>
            <w:left w:val="none" w:sz="0" w:space="0" w:color="auto"/>
            <w:bottom w:val="none" w:sz="0" w:space="0" w:color="auto"/>
            <w:right w:val="none" w:sz="0" w:space="0" w:color="auto"/>
          </w:divBdr>
        </w:div>
        <w:div w:id="885066869">
          <w:marLeft w:val="0"/>
          <w:marRight w:val="0"/>
          <w:marTop w:val="0"/>
          <w:marBottom w:val="0"/>
          <w:divBdr>
            <w:top w:val="none" w:sz="0" w:space="0" w:color="auto"/>
            <w:left w:val="none" w:sz="0" w:space="0" w:color="auto"/>
            <w:bottom w:val="none" w:sz="0" w:space="0" w:color="auto"/>
            <w:right w:val="none" w:sz="0" w:space="0" w:color="auto"/>
          </w:divBdr>
        </w:div>
        <w:div w:id="1667440763">
          <w:marLeft w:val="0"/>
          <w:marRight w:val="0"/>
          <w:marTop w:val="0"/>
          <w:marBottom w:val="0"/>
          <w:divBdr>
            <w:top w:val="none" w:sz="0" w:space="0" w:color="auto"/>
            <w:left w:val="none" w:sz="0" w:space="0" w:color="auto"/>
            <w:bottom w:val="none" w:sz="0" w:space="0" w:color="auto"/>
            <w:right w:val="none" w:sz="0" w:space="0" w:color="auto"/>
          </w:divBdr>
        </w:div>
        <w:div w:id="764307673">
          <w:marLeft w:val="0"/>
          <w:marRight w:val="0"/>
          <w:marTop w:val="0"/>
          <w:marBottom w:val="0"/>
          <w:divBdr>
            <w:top w:val="none" w:sz="0" w:space="0" w:color="auto"/>
            <w:left w:val="none" w:sz="0" w:space="0" w:color="auto"/>
            <w:bottom w:val="none" w:sz="0" w:space="0" w:color="auto"/>
            <w:right w:val="none" w:sz="0" w:space="0" w:color="auto"/>
          </w:divBdr>
        </w:div>
        <w:div w:id="1858885675">
          <w:marLeft w:val="0"/>
          <w:marRight w:val="0"/>
          <w:marTop w:val="0"/>
          <w:marBottom w:val="0"/>
          <w:divBdr>
            <w:top w:val="none" w:sz="0" w:space="0" w:color="auto"/>
            <w:left w:val="none" w:sz="0" w:space="0" w:color="auto"/>
            <w:bottom w:val="none" w:sz="0" w:space="0" w:color="auto"/>
            <w:right w:val="none" w:sz="0" w:space="0" w:color="auto"/>
          </w:divBdr>
        </w:div>
        <w:div w:id="458912678">
          <w:marLeft w:val="0"/>
          <w:marRight w:val="0"/>
          <w:marTop w:val="0"/>
          <w:marBottom w:val="0"/>
          <w:divBdr>
            <w:top w:val="none" w:sz="0" w:space="0" w:color="auto"/>
            <w:left w:val="none" w:sz="0" w:space="0" w:color="auto"/>
            <w:bottom w:val="none" w:sz="0" w:space="0" w:color="auto"/>
            <w:right w:val="none" w:sz="0" w:space="0" w:color="auto"/>
          </w:divBdr>
        </w:div>
        <w:div w:id="1051156231">
          <w:marLeft w:val="0"/>
          <w:marRight w:val="0"/>
          <w:marTop w:val="0"/>
          <w:marBottom w:val="0"/>
          <w:divBdr>
            <w:top w:val="none" w:sz="0" w:space="0" w:color="auto"/>
            <w:left w:val="none" w:sz="0" w:space="0" w:color="auto"/>
            <w:bottom w:val="none" w:sz="0" w:space="0" w:color="auto"/>
            <w:right w:val="none" w:sz="0" w:space="0" w:color="auto"/>
          </w:divBdr>
        </w:div>
        <w:div w:id="790712720">
          <w:marLeft w:val="0"/>
          <w:marRight w:val="0"/>
          <w:marTop w:val="0"/>
          <w:marBottom w:val="0"/>
          <w:divBdr>
            <w:top w:val="none" w:sz="0" w:space="0" w:color="auto"/>
            <w:left w:val="none" w:sz="0" w:space="0" w:color="auto"/>
            <w:bottom w:val="none" w:sz="0" w:space="0" w:color="auto"/>
            <w:right w:val="none" w:sz="0" w:space="0" w:color="auto"/>
          </w:divBdr>
        </w:div>
        <w:div w:id="719863714">
          <w:marLeft w:val="0"/>
          <w:marRight w:val="0"/>
          <w:marTop w:val="0"/>
          <w:marBottom w:val="0"/>
          <w:divBdr>
            <w:top w:val="none" w:sz="0" w:space="0" w:color="auto"/>
            <w:left w:val="none" w:sz="0" w:space="0" w:color="auto"/>
            <w:bottom w:val="none" w:sz="0" w:space="0" w:color="auto"/>
            <w:right w:val="none" w:sz="0" w:space="0" w:color="auto"/>
          </w:divBdr>
        </w:div>
        <w:div w:id="1152136519">
          <w:marLeft w:val="0"/>
          <w:marRight w:val="0"/>
          <w:marTop w:val="0"/>
          <w:marBottom w:val="0"/>
          <w:divBdr>
            <w:top w:val="none" w:sz="0" w:space="0" w:color="auto"/>
            <w:left w:val="none" w:sz="0" w:space="0" w:color="auto"/>
            <w:bottom w:val="none" w:sz="0" w:space="0" w:color="auto"/>
            <w:right w:val="none" w:sz="0" w:space="0" w:color="auto"/>
          </w:divBdr>
        </w:div>
        <w:div w:id="250554389">
          <w:marLeft w:val="0"/>
          <w:marRight w:val="0"/>
          <w:marTop w:val="0"/>
          <w:marBottom w:val="0"/>
          <w:divBdr>
            <w:top w:val="none" w:sz="0" w:space="0" w:color="auto"/>
            <w:left w:val="none" w:sz="0" w:space="0" w:color="auto"/>
            <w:bottom w:val="none" w:sz="0" w:space="0" w:color="auto"/>
            <w:right w:val="none" w:sz="0" w:space="0" w:color="auto"/>
          </w:divBdr>
        </w:div>
      </w:divsChild>
    </w:div>
    <w:div w:id="933977259">
      <w:bodyDiv w:val="1"/>
      <w:marLeft w:val="0"/>
      <w:marRight w:val="0"/>
      <w:marTop w:val="0"/>
      <w:marBottom w:val="0"/>
      <w:divBdr>
        <w:top w:val="none" w:sz="0" w:space="0" w:color="auto"/>
        <w:left w:val="none" w:sz="0" w:space="0" w:color="auto"/>
        <w:bottom w:val="none" w:sz="0" w:space="0" w:color="auto"/>
        <w:right w:val="none" w:sz="0" w:space="0" w:color="auto"/>
      </w:divBdr>
    </w:div>
    <w:div w:id="988360143">
      <w:bodyDiv w:val="1"/>
      <w:marLeft w:val="0"/>
      <w:marRight w:val="0"/>
      <w:marTop w:val="0"/>
      <w:marBottom w:val="0"/>
      <w:divBdr>
        <w:top w:val="none" w:sz="0" w:space="0" w:color="auto"/>
        <w:left w:val="none" w:sz="0" w:space="0" w:color="auto"/>
        <w:bottom w:val="none" w:sz="0" w:space="0" w:color="auto"/>
        <w:right w:val="none" w:sz="0" w:space="0" w:color="auto"/>
      </w:divBdr>
    </w:div>
    <w:div w:id="1037124816">
      <w:bodyDiv w:val="1"/>
      <w:marLeft w:val="0"/>
      <w:marRight w:val="0"/>
      <w:marTop w:val="0"/>
      <w:marBottom w:val="0"/>
      <w:divBdr>
        <w:top w:val="none" w:sz="0" w:space="0" w:color="auto"/>
        <w:left w:val="none" w:sz="0" w:space="0" w:color="auto"/>
        <w:bottom w:val="none" w:sz="0" w:space="0" w:color="auto"/>
        <w:right w:val="none" w:sz="0" w:space="0" w:color="auto"/>
      </w:divBdr>
    </w:div>
    <w:div w:id="1042553488">
      <w:bodyDiv w:val="1"/>
      <w:marLeft w:val="0"/>
      <w:marRight w:val="0"/>
      <w:marTop w:val="0"/>
      <w:marBottom w:val="0"/>
      <w:divBdr>
        <w:top w:val="none" w:sz="0" w:space="0" w:color="auto"/>
        <w:left w:val="none" w:sz="0" w:space="0" w:color="auto"/>
        <w:bottom w:val="none" w:sz="0" w:space="0" w:color="auto"/>
        <w:right w:val="none" w:sz="0" w:space="0" w:color="auto"/>
      </w:divBdr>
    </w:div>
    <w:div w:id="1086002314">
      <w:bodyDiv w:val="1"/>
      <w:marLeft w:val="0"/>
      <w:marRight w:val="0"/>
      <w:marTop w:val="0"/>
      <w:marBottom w:val="0"/>
      <w:divBdr>
        <w:top w:val="none" w:sz="0" w:space="0" w:color="auto"/>
        <w:left w:val="none" w:sz="0" w:space="0" w:color="auto"/>
        <w:bottom w:val="none" w:sz="0" w:space="0" w:color="auto"/>
        <w:right w:val="none" w:sz="0" w:space="0" w:color="auto"/>
      </w:divBdr>
      <w:divsChild>
        <w:div w:id="626009106">
          <w:marLeft w:val="0"/>
          <w:marRight w:val="0"/>
          <w:marTop w:val="0"/>
          <w:marBottom w:val="0"/>
          <w:divBdr>
            <w:top w:val="none" w:sz="0" w:space="0" w:color="auto"/>
            <w:left w:val="none" w:sz="0" w:space="0" w:color="auto"/>
            <w:bottom w:val="none" w:sz="0" w:space="0" w:color="auto"/>
            <w:right w:val="none" w:sz="0" w:space="0" w:color="auto"/>
          </w:divBdr>
        </w:div>
        <w:div w:id="1476485802">
          <w:marLeft w:val="0"/>
          <w:marRight w:val="0"/>
          <w:marTop w:val="0"/>
          <w:marBottom w:val="0"/>
          <w:divBdr>
            <w:top w:val="none" w:sz="0" w:space="0" w:color="auto"/>
            <w:left w:val="none" w:sz="0" w:space="0" w:color="auto"/>
            <w:bottom w:val="none" w:sz="0" w:space="0" w:color="auto"/>
            <w:right w:val="none" w:sz="0" w:space="0" w:color="auto"/>
          </w:divBdr>
        </w:div>
        <w:div w:id="1171065009">
          <w:marLeft w:val="0"/>
          <w:marRight w:val="0"/>
          <w:marTop w:val="0"/>
          <w:marBottom w:val="0"/>
          <w:divBdr>
            <w:top w:val="none" w:sz="0" w:space="0" w:color="auto"/>
            <w:left w:val="none" w:sz="0" w:space="0" w:color="auto"/>
            <w:bottom w:val="none" w:sz="0" w:space="0" w:color="auto"/>
            <w:right w:val="none" w:sz="0" w:space="0" w:color="auto"/>
          </w:divBdr>
        </w:div>
        <w:div w:id="13505055">
          <w:marLeft w:val="0"/>
          <w:marRight w:val="0"/>
          <w:marTop w:val="0"/>
          <w:marBottom w:val="0"/>
          <w:divBdr>
            <w:top w:val="none" w:sz="0" w:space="0" w:color="auto"/>
            <w:left w:val="none" w:sz="0" w:space="0" w:color="auto"/>
            <w:bottom w:val="none" w:sz="0" w:space="0" w:color="auto"/>
            <w:right w:val="none" w:sz="0" w:space="0" w:color="auto"/>
          </w:divBdr>
        </w:div>
      </w:divsChild>
    </w:div>
    <w:div w:id="1139375190">
      <w:bodyDiv w:val="1"/>
      <w:marLeft w:val="0"/>
      <w:marRight w:val="0"/>
      <w:marTop w:val="0"/>
      <w:marBottom w:val="0"/>
      <w:divBdr>
        <w:top w:val="none" w:sz="0" w:space="0" w:color="auto"/>
        <w:left w:val="none" w:sz="0" w:space="0" w:color="auto"/>
        <w:bottom w:val="none" w:sz="0" w:space="0" w:color="auto"/>
        <w:right w:val="none" w:sz="0" w:space="0" w:color="auto"/>
      </w:divBdr>
      <w:divsChild>
        <w:div w:id="1357272493">
          <w:marLeft w:val="0"/>
          <w:marRight w:val="0"/>
          <w:marTop w:val="0"/>
          <w:marBottom w:val="0"/>
          <w:divBdr>
            <w:top w:val="none" w:sz="0" w:space="0" w:color="auto"/>
            <w:left w:val="none" w:sz="0" w:space="0" w:color="auto"/>
            <w:bottom w:val="none" w:sz="0" w:space="0" w:color="auto"/>
            <w:right w:val="none" w:sz="0" w:space="0" w:color="auto"/>
          </w:divBdr>
        </w:div>
        <w:div w:id="2134443266">
          <w:marLeft w:val="0"/>
          <w:marRight w:val="0"/>
          <w:marTop w:val="0"/>
          <w:marBottom w:val="0"/>
          <w:divBdr>
            <w:top w:val="none" w:sz="0" w:space="0" w:color="auto"/>
            <w:left w:val="none" w:sz="0" w:space="0" w:color="auto"/>
            <w:bottom w:val="none" w:sz="0" w:space="0" w:color="auto"/>
            <w:right w:val="none" w:sz="0" w:space="0" w:color="auto"/>
          </w:divBdr>
        </w:div>
        <w:div w:id="688025868">
          <w:marLeft w:val="0"/>
          <w:marRight w:val="0"/>
          <w:marTop w:val="0"/>
          <w:marBottom w:val="0"/>
          <w:divBdr>
            <w:top w:val="none" w:sz="0" w:space="0" w:color="auto"/>
            <w:left w:val="none" w:sz="0" w:space="0" w:color="auto"/>
            <w:bottom w:val="none" w:sz="0" w:space="0" w:color="auto"/>
            <w:right w:val="none" w:sz="0" w:space="0" w:color="auto"/>
          </w:divBdr>
        </w:div>
        <w:div w:id="14157181">
          <w:marLeft w:val="0"/>
          <w:marRight w:val="0"/>
          <w:marTop w:val="0"/>
          <w:marBottom w:val="0"/>
          <w:divBdr>
            <w:top w:val="none" w:sz="0" w:space="0" w:color="auto"/>
            <w:left w:val="none" w:sz="0" w:space="0" w:color="auto"/>
            <w:bottom w:val="none" w:sz="0" w:space="0" w:color="auto"/>
            <w:right w:val="none" w:sz="0" w:space="0" w:color="auto"/>
          </w:divBdr>
        </w:div>
        <w:div w:id="328411250">
          <w:marLeft w:val="0"/>
          <w:marRight w:val="0"/>
          <w:marTop w:val="0"/>
          <w:marBottom w:val="0"/>
          <w:divBdr>
            <w:top w:val="none" w:sz="0" w:space="0" w:color="auto"/>
            <w:left w:val="none" w:sz="0" w:space="0" w:color="auto"/>
            <w:bottom w:val="none" w:sz="0" w:space="0" w:color="auto"/>
            <w:right w:val="none" w:sz="0" w:space="0" w:color="auto"/>
          </w:divBdr>
        </w:div>
        <w:div w:id="741757525">
          <w:marLeft w:val="0"/>
          <w:marRight w:val="0"/>
          <w:marTop w:val="0"/>
          <w:marBottom w:val="0"/>
          <w:divBdr>
            <w:top w:val="none" w:sz="0" w:space="0" w:color="auto"/>
            <w:left w:val="none" w:sz="0" w:space="0" w:color="auto"/>
            <w:bottom w:val="none" w:sz="0" w:space="0" w:color="auto"/>
            <w:right w:val="none" w:sz="0" w:space="0" w:color="auto"/>
          </w:divBdr>
        </w:div>
        <w:div w:id="983049060">
          <w:marLeft w:val="0"/>
          <w:marRight w:val="0"/>
          <w:marTop w:val="0"/>
          <w:marBottom w:val="0"/>
          <w:divBdr>
            <w:top w:val="none" w:sz="0" w:space="0" w:color="auto"/>
            <w:left w:val="none" w:sz="0" w:space="0" w:color="auto"/>
            <w:bottom w:val="none" w:sz="0" w:space="0" w:color="auto"/>
            <w:right w:val="none" w:sz="0" w:space="0" w:color="auto"/>
          </w:divBdr>
        </w:div>
        <w:div w:id="1312439429">
          <w:marLeft w:val="0"/>
          <w:marRight w:val="0"/>
          <w:marTop w:val="0"/>
          <w:marBottom w:val="0"/>
          <w:divBdr>
            <w:top w:val="none" w:sz="0" w:space="0" w:color="auto"/>
            <w:left w:val="none" w:sz="0" w:space="0" w:color="auto"/>
            <w:bottom w:val="none" w:sz="0" w:space="0" w:color="auto"/>
            <w:right w:val="none" w:sz="0" w:space="0" w:color="auto"/>
          </w:divBdr>
        </w:div>
        <w:div w:id="1505516353">
          <w:marLeft w:val="0"/>
          <w:marRight w:val="0"/>
          <w:marTop w:val="0"/>
          <w:marBottom w:val="0"/>
          <w:divBdr>
            <w:top w:val="none" w:sz="0" w:space="0" w:color="auto"/>
            <w:left w:val="none" w:sz="0" w:space="0" w:color="auto"/>
            <w:bottom w:val="none" w:sz="0" w:space="0" w:color="auto"/>
            <w:right w:val="none" w:sz="0" w:space="0" w:color="auto"/>
          </w:divBdr>
        </w:div>
        <w:div w:id="1896769522">
          <w:marLeft w:val="0"/>
          <w:marRight w:val="0"/>
          <w:marTop w:val="0"/>
          <w:marBottom w:val="0"/>
          <w:divBdr>
            <w:top w:val="none" w:sz="0" w:space="0" w:color="auto"/>
            <w:left w:val="none" w:sz="0" w:space="0" w:color="auto"/>
            <w:bottom w:val="none" w:sz="0" w:space="0" w:color="auto"/>
            <w:right w:val="none" w:sz="0" w:space="0" w:color="auto"/>
          </w:divBdr>
        </w:div>
        <w:div w:id="1529873592">
          <w:marLeft w:val="0"/>
          <w:marRight w:val="0"/>
          <w:marTop w:val="0"/>
          <w:marBottom w:val="0"/>
          <w:divBdr>
            <w:top w:val="none" w:sz="0" w:space="0" w:color="auto"/>
            <w:left w:val="none" w:sz="0" w:space="0" w:color="auto"/>
            <w:bottom w:val="none" w:sz="0" w:space="0" w:color="auto"/>
            <w:right w:val="none" w:sz="0" w:space="0" w:color="auto"/>
          </w:divBdr>
        </w:div>
        <w:div w:id="146828984">
          <w:marLeft w:val="0"/>
          <w:marRight w:val="0"/>
          <w:marTop w:val="0"/>
          <w:marBottom w:val="0"/>
          <w:divBdr>
            <w:top w:val="none" w:sz="0" w:space="0" w:color="auto"/>
            <w:left w:val="none" w:sz="0" w:space="0" w:color="auto"/>
            <w:bottom w:val="none" w:sz="0" w:space="0" w:color="auto"/>
            <w:right w:val="none" w:sz="0" w:space="0" w:color="auto"/>
          </w:divBdr>
        </w:div>
        <w:div w:id="852376104">
          <w:marLeft w:val="0"/>
          <w:marRight w:val="0"/>
          <w:marTop w:val="0"/>
          <w:marBottom w:val="0"/>
          <w:divBdr>
            <w:top w:val="none" w:sz="0" w:space="0" w:color="auto"/>
            <w:left w:val="none" w:sz="0" w:space="0" w:color="auto"/>
            <w:bottom w:val="none" w:sz="0" w:space="0" w:color="auto"/>
            <w:right w:val="none" w:sz="0" w:space="0" w:color="auto"/>
          </w:divBdr>
        </w:div>
        <w:div w:id="401106042">
          <w:marLeft w:val="0"/>
          <w:marRight w:val="0"/>
          <w:marTop w:val="0"/>
          <w:marBottom w:val="0"/>
          <w:divBdr>
            <w:top w:val="none" w:sz="0" w:space="0" w:color="auto"/>
            <w:left w:val="none" w:sz="0" w:space="0" w:color="auto"/>
            <w:bottom w:val="none" w:sz="0" w:space="0" w:color="auto"/>
            <w:right w:val="none" w:sz="0" w:space="0" w:color="auto"/>
          </w:divBdr>
        </w:div>
        <w:div w:id="1366635537">
          <w:marLeft w:val="0"/>
          <w:marRight w:val="0"/>
          <w:marTop w:val="0"/>
          <w:marBottom w:val="0"/>
          <w:divBdr>
            <w:top w:val="none" w:sz="0" w:space="0" w:color="auto"/>
            <w:left w:val="none" w:sz="0" w:space="0" w:color="auto"/>
            <w:bottom w:val="none" w:sz="0" w:space="0" w:color="auto"/>
            <w:right w:val="none" w:sz="0" w:space="0" w:color="auto"/>
          </w:divBdr>
        </w:div>
        <w:div w:id="2138521136">
          <w:marLeft w:val="0"/>
          <w:marRight w:val="0"/>
          <w:marTop w:val="0"/>
          <w:marBottom w:val="0"/>
          <w:divBdr>
            <w:top w:val="none" w:sz="0" w:space="0" w:color="auto"/>
            <w:left w:val="none" w:sz="0" w:space="0" w:color="auto"/>
            <w:bottom w:val="none" w:sz="0" w:space="0" w:color="auto"/>
            <w:right w:val="none" w:sz="0" w:space="0" w:color="auto"/>
          </w:divBdr>
        </w:div>
        <w:div w:id="1563640827">
          <w:marLeft w:val="0"/>
          <w:marRight w:val="0"/>
          <w:marTop w:val="0"/>
          <w:marBottom w:val="0"/>
          <w:divBdr>
            <w:top w:val="none" w:sz="0" w:space="0" w:color="auto"/>
            <w:left w:val="none" w:sz="0" w:space="0" w:color="auto"/>
            <w:bottom w:val="none" w:sz="0" w:space="0" w:color="auto"/>
            <w:right w:val="none" w:sz="0" w:space="0" w:color="auto"/>
          </w:divBdr>
        </w:div>
        <w:div w:id="584531023">
          <w:marLeft w:val="0"/>
          <w:marRight w:val="0"/>
          <w:marTop w:val="0"/>
          <w:marBottom w:val="0"/>
          <w:divBdr>
            <w:top w:val="none" w:sz="0" w:space="0" w:color="auto"/>
            <w:left w:val="none" w:sz="0" w:space="0" w:color="auto"/>
            <w:bottom w:val="none" w:sz="0" w:space="0" w:color="auto"/>
            <w:right w:val="none" w:sz="0" w:space="0" w:color="auto"/>
          </w:divBdr>
        </w:div>
      </w:divsChild>
    </w:div>
    <w:div w:id="1185709470">
      <w:bodyDiv w:val="1"/>
      <w:marLeft w:val="0"/>
      <w:marRight w:val="0"/>
      <w:marTop w:val="0"/>
      <w:marBottom w:val="0"/>
      <w:divBdr>
        <w:top w:val="none" w:sz="0" w:space="0" w:color="auto"/>
        <w:left w:val="none" w:sz="0" w:space="0" w:color="auto"/>
        <w:bottom w:val="none" w:sz="0" w:space="0" w:color="auto"/>
        <w:right w:val="none" w:sz="0" w:space="0" w:color="auto"/>
      </w:divBdr>
      <w:divsChild>
        <w:div w:id="562712799">
          <w:marLeft w:val="0"/>
          <w:marRight w:val="0"/>
          <w:marTop w:val="0"/>
          <w:marBottom w:val="0"/>
          <w:divBdr>
            <w:top w:val="none" w:sz="0" w:space="0" w:color="auto"/>
            <w:left w:val="none" w:sz="0" w:space="0" w:color="auto"/>
            <w:bottom w:val="none" w:sz="0" w:space="0" w:color="auto"/>
            <w:right w:val="none" w:sz="0" w:space="0" w:color="auto"/>
          </w:divBdr>
        </w:div>
        <w:div w:id="198131930">
          <w:marLeft w:val="0"/>
          <w:marRight w:val="0"/>
          <w:marTop w:val="0"/>
          <w:marBottom w:val="0"/>
          <w:divBdr>
            <w:top w:val="none" w:sz="0" w:space="0" w:color="auto"/>
            <w:left w:val="none" w:sz="0" w:space="0" w:color="auto"/>
            <w:bottom w:val="none" w:sz="0" w:space="0" w:color="auto"/>
            <w:right w:val="none" w:sz="0" w:space="0" w:color="auto"/>
          </w:divBdr>
        </w:div>
        <w:div w:id="161968923">
          <w:marLeft w:val="0"/>
          <w:marRight w:val="0"/>
          <w:marTop w:val="0"/>
          <w:marBottom w:val="0"/>
          <w:divBdr>
            <w:top w:val="none" w:sz="0" w:space="0" w:color="auto"/>
            <w:left w:val="none" w:sz="0" w:space="0" w:color="auto"/>
            <w:bottom w:val="none" w:sz="0" w:space="0" w:color="auto"/>
            <w:right w:val="none" w:sz="0" w:space="0" w:color="auto"/>
          </w:divBdr>
        </w:div>
        <w:div w:id="1835142893">
          <w:marLeft w:val="0"/>
          <w:marRight w:val="0"/>
          <w:marTop w:val="0"/>
          <w:marBottom w:val="0"/>
          <w:divBdr>
            <w:top w:val="none" w:sz="0" w:space="0" w:color="auto"/>
            <w:left w:val="none" w:sz="0" w:space="0" w:color="auto"/>
            <w:bottom w:val="none" w:sz="0" w:space="0" w:color="auto"/>
            <w:right w:val="none" w:sz="0" w:space="0" w:color="auto"/>
          </w:divBdr>
        </w:div>
        <w:div w:id="883718073">
          <w:marLeft w:val="0"/>
          <w:marRight w:val="0"/>
          <w:marTop w:val="0"/>
          <w:marBottom w:val="0"/>
          <w:divBdr>
            <w:top w:val="none" w:sz="0" w:space="0" w:color="auto"/>
            <w:left w:val="none" w:sz="0" w:space="0" w:color="auto"/>
            <w:bottom w:val="none" w:sz="0" w:space="0" w:color="auto"/>
            <w:right w:val="none" w:sz="0" w:space="0" w:color="auto"/>
          </w:divBdr>
        </w:div>
        <w:div w:id="691154308">
          <w:marLeft w:val="0"/>
          <w:marRight w:val="0"/>
          <w:marTop w:val="0"/>
          <w:marBottom w:val="0"/>
          <w:divBdr>
            <w:top w:val="none" w:sz="0" w:space="0" w:color="auto"/>
            <w:left w:val="none" w:sz="0" w:space="0" w:color="auto"/>
            <w:bottom w:val="none" w:sz="0" w:space="0" w:color="auto"/>
            <w:right w:val="none" w:sz="0" w:space="0" w:color="auto"/>
          </w:divBdr>
        </w:div>
        <w:div w:id="605233008">
          <w:marLeft w:val="0"/>
          <w:marRight w:val="0"/>
          <w:marTop w:val="0"/>
          <w:marBottom w:val="0"/>
          <w:divBdr>
            <w:top w:val="none" w:sz="0" w:space="0" w:color="auto"/>
            <w:left w:val="none" w:sz="0" w:space="0" w:color="auto"/>
            <w:bottom w:val="none" w:sz="0" w:space="0" w:color="auto"/>
            <w:right w:val="none" w:sz="0" w:space="0" w:color="auto"/>
          </w:divBdr>
        </w:div>
        <w:div w:id="410927385">
          <w:marLeft w:val="0"/>
          <w:marRight w:val="0"/>
          <w:marTop w:val="0"/>
          <w:marBottom w:val="0"/>
          <w:divBdr>
            <w:top w:val="none" w:sz="0" w:space="0" w:color="auto"/>
            <w:left w:val="none" w:sz="0" w:space="0" w:color="auto"/>
            <w:bottom w:val="none" w:sz="0" w:space="0" w:color="auto"/>
            <w:right w:val="none" w:sz="0" w:space="0" w:color="auto"/>
          </w:divBdr>
        </w:div>
        <w:div w:id="2089114150">
          <w:marLeft w:val="0"/>
          <w:marRight w:val="0"/>
          <w:marTop w:val="0"/>
          <w:marBottom w:val="0"/>
          <w:divBdr>
            <w:top w:val="none" w:sz="0" w:space="0" w:color="auto"/>
            <w:left w:val="none" w:sz="0" w:space="0" w:color="auto"/>
            <w:bottom w:val="none" w:sz="0" w:space="0" w:color="auto"/>
            <w:right w:val="none" w:sz="0" w:space="0" w:color="auto"/>
          </w:divBdr>
        </w:div>
        <w:div w:id="299846970">
          <w:marLeft w:val="0"/>
          <w:marRight w:val="0"/>
          <w:marTop w:val="0"/>
          <w:marBottom w:val="0"/>
          <w:divBdr>
            <w:top w:val="none" w:sz="0" w:space="0" w:color="auto"/>
            <w:left w:val="none" w:sz="0" w:space="0" w:color="auto"/>
            <w:bottom w:val="none" w:sz="0" w:space="0" w:color="auto"/>
            <w:right w:val="none" w:sz="0" w:space="0" w:color="auto"/>
          </w:divBdr>
        </w:div>
      </w:divsChild>
    </w:div>
    <w:div w:id="1186791762">
      <w:bodyDiv w:val="1"/>
      <w:marLeft w:val="0"/>
      <w:marRight w:val="0"/>
      <w:marTop w:val="0"/>
      <w:marBottom w:val="0"/>
      <w:divBdr>
        <w:top w:val="none" w:sz="0" w:space="0" w:color="auto"/>
        <w:left w:val="none" w:sz="0" w:space="0" w:color="auto"/>
        <w:bottom w:val="none" w:sz="0" w:space="0" w:color="auto"/>
        <w:right w:val="none" w:sz="0" w:space="0" w:color="auto"/>
      </w:divBdr>
    </w:div>
    <w:div w:id="1210337217">
      <w:bodyDiv w:val="1"/>
      <w:marLeft w:val="0"/>
      <w:marRight w:val="0"/>
      <w:marTop w:val="0"/>
      <w:marBottom w:val="0"/>
      <w:divBdr>
        <w:top w:val="none" w:sz="0" w:space="0" w:color="auto"/>
        <w:left w:val="none" w:sz="0" w:space="0" w:color="auto"/>
        <w:bottom w:val="none" w:sz="0" w:space="0" w:color="auto"/>
        <w:right w:val="none" w:sz="0" w:space="0" w:color="auto"/>
      </w:divBdr>
    </w:div>
    <w:div w:id="1213157244">
      <w:bodyDiv w:val="1"/>
      <w:marLeft w:val="0"/>
      <w:marRight w:val="0"/>
      <w:marTop w:val="0"/>
      <w:marBottom w:val="0"/>
      <w:divBdr>
        <w:top w:val="none" w:sz="0" w:space="0" w:color="auto"/>
        <w:left w:val="none" w:sz="0" w:space="0" w:color="auto"/>
        <w:bottom w:val="none" w:sz="0" w:space="0" w:color="auto"/>
        <w:right w:val="none" w:sz="0" w:space="0" w:color="auto"/>
      </w:divBdr>
      <w:divsChild>
        <w:div w:id="190657146">
          <w:marLeft w:val="0"/>
          <w:marRight w:val="0"/>
          <w:marTop w:val="0"/>
          <w:marBottom w:val="0"/>
          <w:divBdr>
            <w:top w:val="none" w:sz="0" w:space="0" w:color="auto"/>
            <w:left w:val="none" w:sz="0" w:space="0" w:color="auto"/>
            <w:bottom w:val="none" w:sz="0" w:space="0" w:color="auto"/>
            <w:right w:val="none" w:sz="0" w:space="0" w:color="auto"/>
          </w:divBdr>
        </w:div>
        <w:div w:id="265694733">
          <w:marLeft w:val="0"/>
          <w:marRight w:val="0"/>
          <w:marTop w:val="0"/>
          <w:marBottom w:val="0"/>
          <w:divBdr>
            <w:top w:val="none" w:sz="0" w:space="0" w:color="auto"/>
            <w:left w:val="none" w:sz="0" w:space="0" w:color="auto"/>
            <w:bottom w:val="none" w:sz="0" w:space="0" w:color="auto"/>
            <w:right w:val="none" w:sz="0" w:space="0" w:color="auto"/>
          </w:divBdr>
        </w:div>
      </w:divsChild>
    </w:div>
    <w:div w:id="1229267698">
      <w:bodyDiv w:val="1"/>
      <w:marLeft w:val="0"/>
      <w:marRight w:val="0"/>
      <w:marTop w:val="0"/>
      <w:marBottom w:val="0"/>
      <w:divBdr>
        <w:top w:val="none" w:sz="0" w:space="0" w:color="auto"/>
        <w:left w:val="none" w:sz="0" w:space="0" w:color="auto"/>
        <w:bottom w:val="none" w:sz="0" w:space="0" w:color="auto"/>
        <w:right w:val="none" w:sz="0" w:space="0" w:color="auto"/>
      </w:divBdr>
      <w:divsChild>
        <w:div w:id="209609415">
          <w:marLeft w:val="0"/>
          <w:marRight w:val="0"/>
          <w:marTop w:val="0"/>
          <w:marBottom w:val="0"/>
          <w:divBdr>
            <w:top w:val="none" w:sz="0" w:space="0" w:color="auto"/>
            <w:left w:val="none" w:sz="0" w:space="0" w:color="auto"/>
            <w:bottom w:val="none" w:sz="0" w:space="0" w:color="auto"/>
            <w:right w:val="none" w:sz="0" w:space="0" w:color="auto"/>
          </w:divBdr>
        </w:div>
        <w:div w:id="2129154480">
          <w:marLeft w:val="0"/>
          <w:marRight w:val="0"/>
          <w:marTop w:val="0"/>
          <w:marBottom w:val="0"/>
          <w:divBdr>
            <w:top w:val="none" w:sz="0" w:space="0" w:color="auto"/>
            <w:left w:val="none" w:sz="0" w:space="0" w:color="auto"/>
            <w:bottom w:val="none" w:sz="0" w:space="0" w:color="auto"/>
            <w:right w:val="none" w:sz="0" w:space="0" w:color="auto"/>
          </w:divBdr>
        </w:div>
        <w:div w:id="1996949843">
          <w:marLeft w:val="0"/>
          <w:marRight w:val="0"/>
          <w:marTop w:val="0"/>
          <w:marBottom w:val="0"/>
          <w:divBdr>
            <w:top w:val="none" w:sz="0" w:space="0" w:color="auto"/>
            <w:left w:val="none" w:sz="0" w:space="0" w:color="auto"/>
            <w:bottom w:val="none" w:sz="0" w:space="0" w:color="auto"/>
            <w:right w:val="none" w:sz="0" w:space="0" w:color="auto"/>
          </w:divBdr>
        </w:div>
        <w:div w:id="1370258362">
          <w:marLeft w:val="0"/>
          <w:marRight w:val="0"/>
          <w:marTop w:val="0"/>
          <w:marBottom w:val="0"/>
          <w:divBdr>
            <w:top w:val="none" w:sz="0" w:space="0" w:color="auto"/>
            <w:left w:val="none" w:sz="0" w:space="0" w:color="auto"/>
            <w:bottom w:val="none" w:sz="0" w:space="0" w:color="auto"/>
            <w:right w:val="none" w:sz="0" w:space="0" w:color="auto"/>
          </w:divBdr>
        </w:div>
        <w:div w:id="1087848294">
          <w:marLeft w:val="0"/>
          <w:marRight w:val="0"/>
          <w:marTop w:val="0"/>
          <w:marBottom w:val="0"/>
          <w:divBdr>
            <w:top w:val="none" w:sz="0" w:space="0" w:color="auto"/>
            <w:left w:val="none" w:sz="0" w:space="0" w:color="auto"/>
            <w:bottom w:val="none" w:sz="0" w:space="0" w:color="auto"/>
            <w:right w:val="none" w:sz="0" w:space="0" w:color="auto"/>
          </w:divBdr>
        </w:div>
      </w:divsChild>
    </w:div>
    <w:div w:id="1276714067">
      <w:bodyDiv w:val="1"/>
      <w:marLeft w:val="0"/>
      <w:marRight w:val="0"/>
      <w:marTop w:val="0"/>
      <w:marBottom w:val="0"/>
      <w:divBdr>
        <w:top w:val="none" w:sz="0" w:space="0" w:color="auto"/>
        <w:left w:val="none" w:sz="0" w:space="0" w:color="auto"/>
        <w:bottom w:val="none" w:sz="0" w:space="0" w:color="auto"/>
        <w:right w:val="none" w:sz="0" w:space="0" w:color="auto"/>
      </w:divBdr>
    </w:div>
    <w:div w:id="1279097462">
      <w:bodyDiv w:val="1"/>
      <w:marLeft w:val="0"/>
      <w:marRight w:val="0"/>
      <w:marTop w:val="0"/>
      <w:marBottom w:val="0"/>
      <w:divBdr>
        <w:top w:val="none" w:sz="0" w:space="0" w:color="auto"/>
        <w:left w:val="none" w:sz="0" w:space="0" w:color="auto"/>
        <w:bottom w:val="none" w:sz="0" w:space="0" w:color="auto"/>
        <w:right w:val="none" w:sz="0" w:space="0" w:color="auto"/>
      </w:divBdr>
    </w:div>
    <w:div w:id="1298611374">
      <w:bodyDiv w:val="1"/>
      <w:marLeft w:val="0"/>
      <w:marRight w:val="0"/>
      <w:marTop w:val="0"/>
      <w:marBottom w:val="0"/>
      <w:divBdr>
        <w:top w:val="none" w:sz="0" w:space="0" w:color="auto"/>
        <w:left w:val="none" w:sz="0" w:space="0" w:color="auto"/>
        <w:bottom w:val="none" w:sz="0" w:space="0" w:color="auto"/>
        <w:right w:val="none" w:sz="0" w:space="0" w:color="auto"/>
      </w:divBdr>
      <w:divsChild>
        <w:div w:id="1870796088">
          <w:marLeft w:val="0"/>
          <w:marRight w:val="0"/>
          <w:marTop w:val="0"/>
          <w:marBottom w:val="0"/>
          <w:divBdr>
            <w:top w:val="none" w:sz="0" w:space="0" w:color="auto"/>
            <w:left w:val="none" w:sz="0" w:space="0" w:color="auto"/>
            <w:bottom w:val="none" w:sz="0" w:space="0" w:color="auto"/>
            <w:right w:val="none" w:sz="0" w:space="0" w:color="auto"/>
          </w:divBdr>
        </w:div>
        <w:div w:id="139462850">
          <w:marLeft w:val="0"/>
          <w:marRight w:val="0"/>
          <w:marTop w:val="0"/>
          <w:marBottom w:val="0"/>
          <w:divBdr>
            <w:top w:val="none" w:sz="0" w:space="0" w:color="auto"/>
            <w:left w:val="none" w:sz="0" w:space="0" w:color="auto"/>
            <w:bottom w:val="none" w:sz="0" w:space="0" w:color="auto"/>
            <w:right w:val="none" w:sz="0" w:space="0" w:color="auto"/>
          </w:divBdr>
        </w:div>
        <w:div w:id="190654770">
          <w:marLeft w:val="0"/>
          <w:marRight w:val="0"/>
          <w:marTop w:val="0"/>
          <w:marBottom w:val="0"/>
          <w:divBdr>
            <w:top w:val="none" w:sz="0" w:space="0" w:color="auto"/>
            <w:left w:val="none" w:sz="0" w:space="0" w:color="auto"/>
            <w:bottom w:val="none" w:sz="0" w:space="0" w:color="auto"/>
            <w:right w:val="none" w:sz="0" w:space="0" w:color="auto"/>
          </w:divBdr>
        </w:div>
        <w:div w:id="1951283203">
          <w:marLeft w:val="0"/>
          <w:marRight w:val="0"/>
          <w:marTop w:val="0"/>
          <w:marBottom w:val="0"/>
          <w:divBdr>
            <w:top w:val="none" w:sz="0" w:space="0" w:color="auto"/>
            <w:left w:val="none" w:sz="0" w:space="0" w:color="auto"/>
            <w:bottom w:val="none" w:sz="0" w:space="0" w:color="auto"/>
            <w:right w:val="none" w:sz="0" w:space="0" w:color="auto"/>
          </w:divBdr>
        </w:div>
        <w:div w:id="1356804721">
          <w:marLeft w:val="0"/>
          <w:marRight w:val="0"/>
          <w:marTop w:val="0"/>
          <w:marBottom w:val="0"/>
          <w:divBdr>
            <w:top w:val="none" w:sz="0" w:space="0" w:color="auto"/>
            <w:left w:val="none" w:sz="0" w:space="0" w:color="auto"/>
            <w:bottom w:val="none" w:sz="0" w:space="0" w:color="auto"/>
            <w:right w:val="none" w:sz="0" w:space="0" w:color="auto"/>
          </w:divBdr>
        </w:div>
        <w:div w:id="1118990519">
          <w:marLeft w:val="0"/>
          <w:marRight w:val="0"/>
          <w:marTop w:val="0"/>
          <w:marBottom w:val="0"/>
          <w:divBdr>
            <w:top w:val="none" w:sz="0" w:space="0" w:color="auto"/>
            <w:left w:val="none" w:sz="0" w:space="0" w:color="auto"/>
            <w:bottom w:val="none" w:sz="0" w:space="0" w:color="auto"/>
            <w:right w:val="none" w:sz="0" w:space="0" w:color="auto"/>
          </w:divBdr>
        </w:div>
        <w:div w:id="886453402">
          <w:marLeft w:val="0"/>
          <w:marRight w:val="0"/>
          <w:marTop w:val="0"/>
          <w:marBottom w:val="0"/>
          <w:divBdr>
            <w:top w:val="none" w:sz="0" w:space="0" w:color="auto"/>
            <w:left w:val="none" w:sz="0" w:space="0" w:color="auto"/>
            <w:bottom w:val="none" w:sz="0" w:space="0" w:color="auto"/>
            <w:right w:val="none" w:sz="0" w:space="0" w:color="auto"/>
          </w:divBdr>
        </w:div>
        <w:div w:id="2105029803">
          <w:marLeft w:val="0"/>
          <w:marRight w:val="0"/>
          <w:marTop w:val="0"/>
          <w:marBottom w:val="0"/>
          <w:divBdr>
            <w:top w:val="none" w:sz="0" w:space="0" w:color="auto"/>
            <w:left w:val="none" w:sz="0" w:space="0" w:color="auto"/>
            <w:bottom w:val="none" w:sz="0" w:space="0" w:color="auto"/>
            <w:right w:val="none" w:sz="0" w:space="0" w:color="auto"/>
          </w:divBdr>
        </w:div>
        <w:div w:id="402265151">
          <w:marLeft w:val="0"/>
          <w:marRight w:val="0"/>
          <w:marTop w:val="0"/>
          <w:marBottom w:val="0"/>
          <w:divBdr>
            <w:top w:val="none" w:sz="0" w:space="0" w:color="auto"/>
            <w:left w:val="none" w:sz="0" w:space="0" w:color="auto"/>
            <w:bottom w:val="none" w:sz="0" w:space="0" w:color="auto"/>
            <w:right w:val="none" w:sz="0" w:space="0" w:color="auto"/>
          </w:divBdr>
        </w:div>
        <w:div w:id="938752814">
          <w:marLeft w:val="0"/>
          <w:marRight w:val="0"/>
          <w:marTop w:val="0"/>
          <w:marBottom w:val="0"/>
          <w:divBdr>
            <w:top w:val="none" w:sz="0" w:space="0" w:color="auto"/>
            <w:left w:val="none" w:sz="0" w:space="0" w:color="auto"/>
            <w:bottom w:val="none" w:sz="0" w:space="0" w:color="auto"/>
            <w:right w:val="none" w:sz="0" w:space="0" w:color="auto"/>
          </w:divBdr>
        </w:div>
        <w:div w:id="2052731267">
          <w:marLeft w:val="0"/>
          <w:marRight w:val="0"/>
          <w:marTop w:val="0"/>
          <w:marBottom w:val="0"/>
          <w:divBdr>
            <w:top w:val="none" w:sz="0" w:space="0" w:color="auto"/>
            <w:left w:val="none" w:sz="0" w:space="0" w:color="auto"/>
            <w:bottom w:val="none" w:sz="0" w:space="0" w:color="auto"/>
            <w:right w:val="none" w:sz="0" w:space="0" w:color="auto"/>
          </w:divBdr>
        </w:div>
        <w:div w:id="229928156">
          <w:marLeft w:val="0"/>
          <w:marRight w:val="0"/>
          <w:marTop w:val="0"/>
          <w:marBottom w:val="0"/>
          <w:divBdr>
            <w:top w:val="none" w:sz="0" w:space="0" w:color="auto"/>
            <w:left w:val="none" w:sz="0" w:space="0" w:color="auto"/>
            <w:bottom w:val="none" w:sz="0" w:space="0" w:color="auto"/>
            <w:right w:val="none" w:sz="0" w:space="0" w:color="auto"/>
          </w:divBdr>
        </w:div>
        <w:div w:id="1752313499">
          <w:marLeft w:val="0"/>
          <w:marRight w:val="0"/>
          <w:marTop w:val="0"/>
          <w:marBottom w:val="0"/>
          <w:divBdr>
            <w:top w:val="none" w:sz="0" w:space="0" w:color="auto"/>
            <w:left w:val="none" w:sz="0" w:space="0" w:color="auto"/>
            <w:bottom w:val="none" w:sz="0" w:space="0" w:color="auto"/>
            <w:right w:val="none" w:sz="0" w:space="0" w:color="auto"/>
          </w:divBdr>
        </w:div>
        <w:div w:id="326906377">
          <w:marLeft w:val="0"/>
          <w:marRight w:val="0"/>
          <w:marTop w:val="0"/>
          <w:marBottom w:val="0"/>
          <w:divBdr>
            <w:top w:val="none" w:sz="0" w:space="0" w:color="auto"/>
            <w:left w:val="none" w:sz="0" w:space="0" w:color="auto"/>
            <w:bottom w:val="none" w:sz="0" w:space="0" w:color="auto"/>
            <w:right w:val="none" w:sz="0" w:space="0" w:color="auto"/>
          </w:divBdr>
        </w:div>
        <w:div w:id="319306492">
          <w:marLeft w:val="0"/>
          <w:marRight w:val="0"/>
          <w:marTop w:val="0"/>
          <w:marBottom w:val="0"/>
          <w:divBdr>
            <w:top w:val="none" w:sz="0" w:space="0" w:color="auto"/>
            <w:left w:val="none" w:sz="0" w:space="0" w:color="auto"/>
            <w:bottom w:val="none" w:sz="0" w:space="0" w:color="auto"/>
            <w:right w:val="none" w:sz="0" w:space="0" w:color="auto"/>
          </w:divBdr>
        </w:div>
        <w:div w:id="1627199722">
          <w:marLeft w:val="0"/>
          <w:marRight w:val="0"/>
          <w:marTop w:val="0"/>
          <w:marBottom w:val="0"/>
          <w:divBdr>
            <w:top w:val="none" w:sz="0" w:space="0" w:color="auto"/>
            <w:left w:val="none" w:sz="0" w:space="0" w:color="auto"/>
            <w:bottom w:val="none" w:sz="0" w:space="0" w:color="auto"/>
            <w:right w:val="none" w:sz="0" w:space="0" w:color="auto"/>
          </w:divBdr>
        </w:div>
        <w:div w:id="1181702582">
          <w:marLeft w:val="0"/>
          <w:marRight w:val="0"/>
          <w:marTop w:val="0"/>
          <w:marBottom w:val="0"/>
          <w:divBdr>
            <w:top w:val="none" w:sz="0" w:space="0" w:color="auto"/>
            <w:left w:val="none" w:sz="0" w:space="0" w:color="auto"/>
            <w:bottom w:val="none" w:sz="0" w:space="0" w:color="auto"/>
            <w:right w:val="none" w:sz="0" w:space="0" w:color="auto"/>
          </w:divBdr>
        </w:div>
        <w:div w:id="974145987">
          <w:marLeft w:val="0"/>
          <w:marRight w:val="0"/>
          <w:marTop w:val="0"/>
          <w:marBottom w:val="0"/>
          <w:divBdr>
            <w:top w:val="none" w:sz="0" w:space="0" w:color="auto"/>
            <w:left w:val="none" w:sz="0" w:space="0" w:color="auto"/>
            <w:bottom w:val="none" w:sz="0" w:space="0" w:color="auto"/>
            <w:right w:val="none" w:sz="0" w:space="0" w:color="auto"/>
          </w:divBdr>
        </w:div>
      </w:divsChild>
    </w:div>
    <w:div w:id="1301498822">
      <w:bodyDiv w:val="1"/>
      <w:marLeft w:val="0"/>
      <w:marRight w:val="0"/>
      <w:marTop w:val="0"/>
      <w:marBottom w:val="0"/>
      <w:divBdr>
        <w:top w:val="none" w:sz="0" w:space="0" w:color="auto"/>
        <w:left w:val="none" w:sz="0" w:space="0" w:color="auto"/>
        <w:bottom w:val="none" w:sz="0" w:space="0" w:color="auto"/>
        <w:right w:val="none" w:sz="0" w:space="0" w:color="auto"/>
      </w:divBdr>
    </w:div>
    <w:div w:id="1307473085">
      <w:bodyDiv w:val="1"/>
      <w:marLeft w:val="0"/>
      <w:marRight w:val="0"/>
      <w:marTop w:val="0"/>
      <w:marBottom w:val="0"/>
      <w:divBdr>
        <w:top w:val="none" w:sz="0" w:space="0" w:color="auto"/>
        <w:left w:val="none" w:sz="0" w:space="0" w:color="auto"/>
        <w:bottom w:val="none" w:sz="0" w:space="0" w:color="auto"/>
        <w:right w:val="none" w:sz="0" w:space="0" w:color="auto"/>
      </w:divBdr>
    </w:div>
    <w:div w:id="1335063175">
      <w:bodyDiv w:val="1"/>
      <w:marLeft w:val="0"/>
      <w:marRight w:val="0"/>
      <w:marTop w:val="0"/>
      <w:marBottom w:val="0"/>
      <w:divBdr>
        <w:top w:val="none" w:sz="0" w:space="0" w:color="auto"/>
        <w:left w:val="none" w:sz="0" w:space="0" w:color="auto"/>
        <w:bottom w:val="none" w:sz="0" w:space="0" w:color="auto"/>
        <w:right w:val="none" w:sz="0" w:space="0" w:color="auto"/>
      </w:divBdr>
    </w:div>
    <w:div w:id="1345980865">
      <w:bodyDiv w:val="1"/>
      <w:marLeft w:val="0"/>
      <w:marRight w:val="0"/>
      <w:marTop w:val="0"/>
      <w:marBottom w:val="0"/>
      <w:divBdr>
        <w:top w:val="none" w:sz="0" w:space="0" w:color="auto"/>
        <w:left w:val="none" w:sz="0" w:space="0" w:color="auto"/>
        <w:bottom w:val="none" w:sz="0" w:space="0" w:color="auto"/>
        <w:right w:val="none" w:sz="0" w:space="0" w:color="auto"/>
      </w:divBdr>
      <w:divsChild>
        <w:div w:id="761604860">
          <w:marLeft w:val="0"/>
          <w:marRight w:val="0"/>
          <w:marTop w:val="0"/>
          <w:marBottom w:val="0"/>
          <w:divBdr>
            <w:top w:val="none" w:sz="0" w:space="0" w:color="auto"/>
            <w:left w:val="none" w:sz="0" w:space="0" w:color="auto"/>
            <w:bottom w:val="none" w:sz="0" w:space="0" w:color="auto"/>
            <w:right w:val="none" w:sz="0" w:space="0" w:color="auto"/>
          </w:divBdr>
        </w:div>
        <w:div w:id="375550579">
          <w:marLeft w:val="0"/>
          <w:marRight w:val="0"/>
          <w:marTop w:val="0"/>
          <w:marBottom w:val="0"/>
          <w:divBdr>
            <w:top w:val="none" w:sz="0" w:space="0" w:color="auto"/>
            <w:left w:val="none" w:sz="0" w:space="0" w:color="auto"/>
            <w:bottom w:val="none" w:sz="0" w:space="0" w:color="auto"/>
            <w:right w:val="none" w:sz="0" w:space="0" w:color="auto"/>
          </w:divBdr>
        </w:div>
        <w:div w:id="1383678525">
          <w:marLeft w:val="0"/>
          <w:marRight w:val="0"/>
          <w:marTop w:val="0"/>
          <w:marBottom w:val="0"/>
          <w:divBdr>
            <w:top w:val="none" w:sz="0" w:space="0" w:color="auto"/>
            <w:left w:val="none" w:sz="0" w:space="0" w:color="auto"/>
            <w:bottom w:val="none" w:sz="0" w:space="0" w:color="auto"/>
            <w:right w:val="none" w:sz="0" w:space="0" w:color="auto"/>
          </w:divBdr>
        </w:div>
        <w:div w:id="720129416">
          <w:marLeft w:val="0"/>
          <w:marRight w:val="0"/>
          <w:marTop w:val="0"/>
          <w:marBottom w:val="0"/>
          <w:divBdr>
            <w:top w:val="none" w:sz="0" w:space="0" w:color="auto"/>
            <w:left w:val="none" w:sz="0" w:space="0" w:color="auto"/>
            <w:bottom w:val="none" w:sz="0" w:space="0" w:color="auto"/>
            <w:right w:val="none" w:sz="0" w:space="0" w:color="auto"/>
          </w:divBdr>
        </w:div>
        <w:div w:id="199785745">
          <w:marLeft w:val="0"/>
          <w:marRight w:val="0"/>
          <w:marTop w:val="0"/>
          <w:marBottom w:val="0"/>
          <w:divBdr>
            <w:top w:val="none" w:sz="0" w:space="0" w:color="auto"/>
            <w:left w:val="none" w:sz="0" w:space="0" w:color="auto"/>
            <w:bottom w:val="none" w:sz="0" w:space="0" w:color="auto"/>
            <w:right w:val="none" w:sz="0" w:space="0" w:color="auto"/>
          </w:divBdr>
        </w:div>
        <w:div w:id="793449697">
          <w:marLeft w:val="0"/>
          <w:marRight w:val="0"/>
          <w:marTop w:val="0"/>
          <w:marBottom w:val="0"/>
          <w:divBdr>
            <w:top w:val="none" w:sz="0" w:space="0" w:color="auto"/>
            <w:left w:val="none" w:sz="0" w:space="0" w:color="auto"/>
            <w:bottom w:val="none" w:sz="0" w:space="0" w:color="auto"/>
            <w:right w:val="none" w:sz="0" w:space="0" w:color="auto"/>
          </w:divBdr>
        </w:div>
        <w:div w:id="77488456">
          <w:marLeft w:val="0"/>
          <w:marRight w:val="0"/>
          <w:marTop w:val="0"/>
          <w:marBottom w:val="0"/>
          <w:divBdr>
            <w:top w:val="none" w:sz="0" w:space="0" w:color="auto"/>
            <w:left w:val="none" w:sz="0" w:space="0" w:color="auto"/>
            <w:bottom w:val="none" w:sz="0" w:space="0" w:color="auto"/>
            <w:right w:val="none" w:sz="0" w:space="0" w:color="auto"/>
          </w:divBdr>
        </w:div>
        <w:div w:id="999230867">
          <w:marLeft w:val="0"/>
          <w:marRight w:val="0"/>
          <w:marTop w:val="0"/>
          <w:marBottom w:val="0"/>
          <w:divBdr>
            <w:top w:val="none" w:sz="0" w:space="0" w:color="auto"/>
            <w:left w:val="none" w:sz="0" w:space="0" w:color="auto"/>
            <w:bottom w:val="none" w:sz="0" w:space="0" w:color="auto"/>
            <w:right w:val="none" w:sz="0" w:space="0" w:color="auto"/>
          </w:divBdr>
        </w:div>
        <w:div w:id="1571381583">
          <w:marLeft w:val="0"/>
          <w:marRight w:val="0"/>
          <w:marTop w:val="0"/>
          <w:marBottom w:val="0"/>
          <w:divBdr>
            <w:top w:val="none" w:sz="0" w:space="0" w:color="auto"/>
            <w:left w:val="none" w:sz="0" w:space="0" w:color="auto"/>
            <w:bottom w:val="none" w:sz="0" w:space="0" w:color="auto"/>
            <w:right w:val="none" w:sz="0" w:space="0" w:color="auto"/>
          </w:divBdr>
        </w:div>
        <w:div w:id="1052659669">
          <w:marLeft w:val="0"/>
          <w:marRight w:val="0"/>
          <w:marTop w:val="0"/>
          <w:marBottom w:val="0"/>
          <w:divBdr>
            <w:top w:val="none" w:sz="0" w:space="0" w:color="auto"/>
            <w:left w:val="none" w:sz="0" w:space="0" w:color="auto"/>
            <w:bottom w:val="none" w:sz="0" w:space="0" w:color="auto"/>
            <w:right w:val="none" w:sz="0" w:space="0" w:color="auto"/>
          </w:divBdr>
        </w:div>
      </w:divsChild>
    </w:div>
    <w:div w:id="1359506904">
      <w:bodyDiv w:val="1"/>
      <w:marLeft w:val="0"/>
      <w:marRight w:val="0"/>
      <w:marTop w:val="0"/>
      <w:marBottom w:val="0"/>
      <w:divBdr>
        <w:top w:val="none" w:sz="0" w:space="0" w:color="auto"/>
        <w:left w:val="none" w:sz="0" w:space="0" w:color="auto"/>
        <w:bottom w:val="none" w:sz="0" w:space="0" w:color="auto"/>
        <w:right w:val="none" w:sz="0" w:space="0" w:color="auto"/>
      </w:divBdr>
    </w:div>
    <w:div w:id="1386291121">
      <w:bodyDiv w:val="1"/>
      <w:marLeft w:val="0"/>
      <w:marRight w:val="0"/>
      <w:marTop w:val="0"/>
      <w:marBottom w:val="0"/>
      <w:divBdr>
        <w:top w:val="none" w:sz="0" w:space="0" w:color="auto"/>
        <w:left w:val="none" w:sz="0" w:space="0" w:color="auto"/>
        <w:bottom w:val="none" w:sz="0" w:space="0" w:color="auto"/>
        <w:right w:val="none" w:sz="0" w:space="0" w:color="auto"/>
      </w:divBdr>
      <w:divsChild>
        <w:div w:id="622543900">
          <w:marLeft w:val="0"/>
          <w:marRight w:val="0"/>
          <w:marTop w:val="0"/>
          <w:marBottom w:val="0"/>
          <w:divBdr>
            <w:top w:val="none" w:sz="0" w:space="0" w:color="auto"/>
            <w:left w:val="none" w:sz="0" w:space="0" w:color="auto"/>
            <w:bottom w:val="none" w:sz="0" w:space="0" w:color="auto"/>
            <w:right w:val="none" w:sz="0" w:space="0" w:color="auto"/>
          </w:divBdr>
        </w:div>
        <w:div w:id="332803754">
          <w:marLeft w:val="0"/>
          <w:marRight w:val="0"/>
          <w:marTop w:val="0"/>
          <w:marBottom w:val="0"/>
          <w:divBdr>
            <w:top w:val="none" w:sz="0" w:space="0" w:color="auto"/>
            <w:left w:val="none" w:sz="0" w:space="0" w:color="auto"/>
            <w:bottom w:val="none" w:sz="0" w:space="0" w:color="auto"/>
            <w:right w:val="none" w:sz="0" w:space="0" w:color="auto"/>
          </w:divBdr>
        </w:div>
        <w:div w:id="1037045578">
          <w:marLeft w:val="0"/>
          <w:marRight w:val="0"/>
          <w:marTop w:val="0"/>
          <w:marBottom w:val="0"/>
          <w:divBdr>
            <w:top w:val="none" w:sz="0" w:space="0" w:color="auto"/>
            <w:left w:val="none" w:sz="0" w:space="0" w:color="auto"/>
            <w:bottom w:val="none" w:sz="0" w:space="0" w:color="auto"/>
            <w:right w:val="none" w:sz="0" w:space="0" w:color="auto"/>
          </w:divBdr>
        </w:div>
        <w:div w:id="586890396">
          <w:marLeft w:val="0"/>
          <w:marRight w:val="0"/>
          <w:marTop w:val="0"/>
          <w:marBottom w:val="0"/>
          <w:divBdr>
            <w:top w:val="none" w:sz="0" w:space="0" w:color="auto"/>
            <w:left w:val="none" w:sz="0" w:space="0" w:color="auto"/>
            <w:bottom w:val="none" w:sz="0" w:space="0" w:color="auto"/>
            <w:right w:val="none" w:sz="0" w:space="0" w:color="auto"/>
          </w:divBdr>
        </w:div>
        <w:div w:id="1093277906">
          <w:marLeft w:val="0"/>
          <w:marRight w:val="0"/>
          <w:marTop w:val="0"/>
          <w:marBottom w:val="0"/>
          <w:divBdr>
            <w:top w:val="none" w:sz="0" w:space="0" w:color="auto"/>
            <w:left w:val="none" w:sz="0" w:space="0" w:color="auto"/>
            <w:bottom w:val="none" w:sz="0" w:space="0" w:color="auto"/>
            <w:right w:val="none" w:sz="0" w:space="0" w:color="auto"/>
          </w:divBdr>
        </w:div>
        <w:div w:id="920480171">
          <w:marLeft w:val="0"/>
          <w:marRight w:val="0"/>
          <w:marTop w:val="0"/>
          <w:marBottom w:val="0"/>
          <w:divBdr>
            <w:top w:val="none" w:sz="0" w:space="0" w:color="auto"/>
            <w:left w:val="none" w:sz="0" w:space="0" w:color="auto"/>
            <w:bottom w:val="none" w:sz="0" w:space="0" w:color="auto"/>
            <w:right w:val="none" w:sz="0" w:space="0" w:color="auto"/>
          </w:divBdr>
        </w:div>
        <w:div w:id="1665278284">
          <w:marLeft w:val="0"/>
          <w:marRight w:val="0"/>
          <w:marTop w:val="0"/>
          <w:marBottom w:val="0"/>
          <w:divBdr>
            <w:top w:val="none" w:sz="0" w:space="0" w:color="auto"/>
            <w:left w:val="none" w:sz="0" w:space="0" w:color="auto"/>
            <w:bottom w:val="none" w:sz="0" w:space="0" w:color="auto"/>
            <w:right w:val="none" w:sz="0" w:space="0" w:color="auto"/>
          </w:divBdr>
        </w:div>
        <w:div w:id="1755973548">
          <w:marLeft w:val="0"/>
          <w:marRight w:val="0"/>
          <w:marTop w:val="0"/>
          <w:marBottom w:val="0"/>
          <w:divBdr>
            <w:top w:val="none" w:sz="0" w:space="0" w:color="auto"/>
            <w:left w:val="none" w:sz="0" w:space="0" w:color="auto"/>
            <w:bottom w:val="none" w:sz="0" w:space="0" w:color="auto"/>
            <w:right w:val="none" w:sz="0" w:space="0" w:color="auto"/>
          </w:divBdr>
        </w:div>
      </w:divsChild>
    </w:div>
    <w:div w:id="1430545815">
      <w:bodyDiv w:val="1"/>
      <w:marLeft w:val="0"/>
      <w:marRight w:val="0"/>
      <w:marTop w:val="0"/>
      <w:marBottom w:val="0"/>
      <w:divBdr>
        <w:top w:val="none" w:sz="0" w:space="0" w:color="auto"/>
        <w:left w:val="none" w:sz="0" w:space="0" w:color="auto"/>
        <w:bottom w:val="none" w:sz="0" w:space="0" w:color="auto"/>
        <w:right w:val="none" w:sz="0" w:space="0" w:color="auto"/>
      </w:divBdr>
    </w:div>
    <w:div w:id="1494681883">
      <w:bodyDiv w:val="1"/>
      <w:marLeft w:val="0"/>
      <w:marRight w:val="0"/>
      <w:marTop w:val="0"/>
      <w:marBottom w:val="0"/>
      <w:divBdr>
        <w:top w:val="none" w:sz="0" w:space="0" w:color="auto"/>
        <w:left w:val="none" w:sz="0" w:space="0" w:color="auto"/>
        <w:bottom w:val="none" w:sz="0" w:space="0" w:color="auto"/>
        <w:right w:val="none" w:sz="0" w:space="0" w:color="auto"/>
      </w:divBdr>
      <w:divsChild>
        <w:div w:id="1276985021">
          <w:marLeft w:val="0"/>
          <w:marRight w:val="0"/>
          <w:marTop w:val="0"/>
          <w:marBottom w:val="0"/>
          <w:divBdr>
            <w:top w:val="none" w:sz="0" w:space="0" w:color="auto"/>
            <w:left w:val="none" w:sz="0" w:space="0" w:color="auto"/>
            <w:bottom w:val="none" w:sz="0" w:space="0" w:color="auto"/>
            <w:right w:val="none" w:sz="0" w:space="0" w:color="auto"/>
          </w:divBdr>
        </w:div>
        <w:div w:id="1913154237">
          <w:marLeft w:val="0"/>
          <w:marRight w:val="0"/>
          <w:marTop w:val="0"/>
          <w:marBottom w:val="0"/>
          <w:divBdr>
            <w:top w:val="none" w:sz="0" w:space="0" w:color="auto"/>
            <w:left w:val="none" w:sz="0" w:space="0" w:color="auto"/>
            <w:bottom w:val="none" w:sz="0" w:space="0" w:color="auto"/>
            <w:right w:val="none" w:sz="0" w:space="0" w:color="auto"/>
          </w:divBdr>
        </w:div>
        <w:div w:id="213347554">
          <w:marLeft w:val="0"/>
          <w:marRight w:val="0"/>
          <w:marTop w:val="0"/>
          <w:marBottom w:val="0"/>
          <w:divBdr>
            <w:top w:val="none" w:sz="0" w:space="0" w:color="auto"/>
            <w:left w:val="none" w:sz="0" w:space="0" w:color="auto"/>
            <w:bottom w:val="none" w:sz="0" w:space="0" w:color="auto"/>
            <w:right w:val="none" w:sz="0" w:space="0" w:color="auto"/>
          </w:divBdr>
        </w:div>
        <w:div w:id="1327320669">
          <w:marLeft w:val="0"/>
          <w:marRight w:val="0"/>
          <w:marTop w:val="0"/>
          <w:marBottom w:val="0"/>
          <w:divBdr>
            <w:top w:val="none" w:sz="0" w:space="0" w:color="auto"/>
            <w:left w:val="none" w:sz="0" w:space="0" w:color="auto"/>
            <w:bottom w:val="none" w:sz="0" w:space="0" w:color="auto"/>
            <w:right w:val="none" w:sz="0" w:space="0" w:color="auto"/>
          </w:divBdr>
        </w:div>
        <w:div w:id="2016296501">
          <w:marLeft w:val="0"/>
          <w:marRight w:val="0"/>
          <w:marTop w:val="0"/>
          <w:marBottom w:val="0"/>
          <w:divBdr>
            <w:top w:val="none" w:sz="0" w:space="0" w:color="auto"/>
            <w:left w:val="none" w:sz="0" w:space="0" w:color="auto"/>
            <w:bottom w:val="none" w:sz="0" w:space="0" w:color="auto"/>
            <w:right w:val="none" w:sz="0" w:space="0" w:color="auto"/>
          </w:divBdr>
        </w:div>
        <w:div w:id="442311520">
          <w:marLeft w:val="0"/>
          <w:marRight w:val="0"/>
          <w:marTop w:val="0"/>
          <w:marBottom w:val="0"/>
          <w:divBdr>
            <w:top w:val="none" w:sz="0" w:space="0" w:color="auto"/>
            <w:left w:val="none" w:sz="0" w:space="0" w:color="auto"/>
            <w:bottom w:val="none" w:sz="0" w:space="0" w:color="auto"/>
            <w:right w:val="none" w:sz="0" w:space="0" w:color="auto"/>
          </w:divBdr>
        </w:div>
        <w:div w:id="663123064">
          <w:marLeft w:val="0"/>
          <w:marRight w:val="0"/>
          <w:marTop w:val="0"/>
          <w:marBottom w:val="0"/>
          <w:divBdr>
            <w:top w:val="none" w:sz="0" w:space="0" w:color="auto"/>
            <w:left w:val="none" w:sz="0" w:space="0" w:color="auto"/>
            <w:bottom w:val="none" w:sz="0" w:space="0" w:color="auto"/>
            <w:right w:val="none" w:sz="0" w:space="0" w:color="auto"/>
          </w:divBdr>
        </w:div>
        <w:div w:id="1366635071">
          <w:marLeft w:val="0"/>
          <w:marRight w:val="0"/>
          <w:marTop w:val="0"/>
          <w:marBottom w:val="0"/>
          <w:divBdr>
            <w:top w:val="none" w:sz="0" w:space="0" w:color="auto"/>
            <w:left w:val="none" w:sz="0" w:space="0" w:color="auto"/>
            <w:bottom w:val="none" w:sz="0" w:space="0" w:color="auto"/>
            <w:right w:val="none" w:sz="0" w:space="0" w:color="auto"/>
          </w:divBdr>
        </w:div>
        <w:div w:id="1088114584">
          <w:marLeft w:val="0"/>
          <w:marRight w:val="0"/>
          <w:marTop w:val="0"/>
          <w:marBottom w:val="0"/>
          <w:divBdr>
            <w:top w:val="none" w:sz="0" w:space="0" w:color="auto"/>
            <w:left w:val="none" w:sz="0" w:space="0" w:color="auto"/>
            <w:bottom w:val="none" w:sz="0" w:space="0" w:color="auto"/>
            <w:right w:val="none" w:sz="0" w:space="0" w:color="auto"/>
          </w:divBdr>
        </w:div>
        <w:div w:id="361325547">
          <w:marLeft w:val="0"/>
          <w:marRight w:val="0"/>
          <w:marTop w:val="0"/>
          <w:marBottom w:val="0"/>
          <w:divBdr>
            <w:top w:val="none" w:sz="0" w:space="0" w:color="auto"/>
            <w:left w:val="none" w:sz="0" w:space="0" w:color="auto"/>
            <w:bottom w:val="none" w:sz="0" w:space="0" w:color="auto"/>
            <w:right w:val="none" w:sz="0" w:space="0" w:color="auto"/>
          </w:divBdr>
        </w:div>
        <w:div w:id="1666855657">
          <w:marLeft w:val="0"/>
          <w:marRight w:val="0"/>
          <w:marTop w:val="0"/>
          <w:marBottom w:val="0"/>
          <w:divBdr>
            <w:top w:val="none" w:sz="0" w:space="0" w:color="auto"/>
            <w:left w:val="none" w:sz="0" w:space="0" w:color="auto"/>
            <w:bottom w:val="none" w:sz="0" w:space="0" w:color="auto"/>
            <w:right w:val="none" w:sz="0" w:space="0" w:color="auto"/>
          </w:divBdr>
        </w:div>
        <w:div w:id="448746588">
          <w:marLeft w:val="0"/>
          <w:marRight w:val="0"/>
          <w:marTop w:val="0"/>
          <w:marBottom w:val="0"/>
          <w:divBdr>
            <w:top w:val="none" w:sz="0" w:space="0" w:color="auto"/>
            <w:left w:val="none" w:sz="0" w:space="0" w:color="auto"/>
            <w:bottom w:val="none" w:sz="0" w:space="0" w:color="auto"/>
            <w:right w:val="none" w:sz="0" w:space="0" w:color="auto"/>
          </w:divBdr>
        </w:div>
        <w:div w:id="1562668439">
          <w:marLeft w:val="0"/>
          <w:marRight w:val="0"/>
          <w:marTop w:val="0"/>
          <w:marBottom w:val="0"/>
          <w:divBdr>
            <w:top w:val="none" w:sz="0" w:space="0" w:color="auto"/>
            <w:left w:val="none" w:sz="0" w:space="0" w:color="auto"/>
            <w:bottom w:val="none" w:sz="0" w:space="0" w:color="auto"/>
            <w:right w:val="none" w:sz="0" w:space="0" w:color="auto"/>
          </w:divBdr>
        </w:div>
        <w:div w:id="1559511135">
          <w:marLeft w:val="0"/>
          <w:marRight w:val="0"/>
          <w:marTop w:val="0"/>
          <w:marBottom w:val="0"/>
          <w:divBdr>
            <w:top w:val="none" w:sz="0" w:space="0" w:color="auto"/>
            <w:left w:val="none" w:sz="0" w:space="0" w:color="auto"/>
            <w:bottom w:val="none" w:sz="0" w:space="0" w:color="auto"/>
            <w:right w:val="none" w:sz="0" w:space="0" w:color="auto"/>
          </w:divBdr>
        </w:div>
        <w:div w:id="464353767">
          <w:marLeft w:val="0"/>
          <w:marRight w:val="0"/>
          <w:marTop w:val="0"/>
          <w:marBottom w:val="0"/>
          <w:divBdr>
            <w:top w:val="none" w:sz="0" w:space="0" w:color="auto"/>
            <w:left w:val="none" w:sz="0" w:space="0" w:color="auto"/>
            <w:bottom w:val="none" w:sz="0" w:space="0" w:color="auto"/>
            <w:right w:val="none" w:sz="0" w:space="0" w:color="auto"/>
          </w:divBdr>
        </w:div>
        <w:div w:id="893397163">
          <w:marLeft w:val="0"/>
          <w:marRight w:val="0"/>
          <w:marTop w:val="0"/>
          <w:marBottom w:val="0"/>
          <w:divBdr>
            <w:top w:val="none" w:sz="0" w:space="0" w:color="auto"/>
            <w:left w:val="none" w:sz="0" w:space="0" w:color="auto"/>
            <w:bottom w:val="none" w:sz="0" w:space="0" w:color="auto"/>
            <w:right w:val="none" w:sz="0" w:space="0" w:color="auto"/>
          </w:divBdr>
        </w:div>
        <w:div w:id="696810755">
          <w:marLeft w:val="0"/>
          <w:marRight w:val="0"/>
          <w:marTop w:val="0"/>
          <w:marBottom w:val="0"/>
          <w:divBdr>
            <w:top w:val="none" w:sz="0" w:space="0" w:color="auto"/>
            <w:left w:val="none" w:sz="0" w:space="0" w:color="auto"/>
            <w:bottom w:val="none" w:sz="0" w:space="0" w:color="auto"/>
            <w:right w:val="none" w:sz="0" w:space="0" w:color="auto"/>
          </w:divBdr>
        </w:div>
        <w:div w:id="450712817">
          <w:marLeft w:val="0"/>
          <w:marRight w:val="0"/>
          <w:marTop w:val="0"/>
          <w:marBottom w:val="0"/>
          <w:divBdr>
            <w:top w:val="none" w:sz="0" w:space="0" w:color="auto"/>
            <w:left w:val="none" w:sz="0" w:space="0" w:color="auto"/>
            <w:bottom w:val="none" w:sz="0" w:space="0" w:color="auto"/>
            <w:right w:val="none" w:sz="0" w:space="0" w:color="auto"/>
          </w:divBdr>
        </w:div>
        <w:div w:id="1266888713">
          <w:marLeft w:val="0"/>
          <w:marRight w:val="0"/>
          <w:marTop w:val="0"/>
          <w:marBottom w:val="0"/>
          <w:divBdr>
            <w:top w:val="none" w:sz="0" w:space="0" w:color="auto"/>
            <w:left w:val="none" w:sz="0" w:space="0" w:color="auto"/>
            <w:bottom w:val="none" w:sz="0" w:space="0" w:color="auto"/>
            <w:right w:val="none" w:sz="0" w:space="0" w:color="auto"/>
          </w:divBdr>
        </w:div>
        <w:div w:id="1526360713">
          <w:marLeft w:val="0"/>
          <w:marRight w:val="0"/>
          <w:marTop w:val="0"/>
          <w:marBottom w:val="0"/>
          <w:divBdr>
            <w:top w:val="none" w:sz="0" w:space="0" w:color="auto"/>
            <w:left w:val="none" w:sz="0" w:space="0" w:color="auto"/>
            <w:bottom w:val="none" w:sz="0" w:space="0" w:color="auto"/>
            <w:right w:val="none" w:sz="0" w:space="0" w:color="auto"/>
          </w:divBdr>
        </w:div>
        <w:div w:id="1151287488">
          <w:marLeft w:val="0"/>
          <w:marRight w:val="0"/>
          <w:marTop w:val="0"/>
          <w:marBottom w:val="0"/>
          <w:divBdr>
            <w:top w:val="none" w:sz="0" w:space="0" w:color="auto"/>
            <w:left w:val="none" w:sz="0" w:space="0" w:color="auto"/>
            <w:bottom w:val="none" w:sz="0" w:space="0" w:color="auto"/>
            <w:right w:val="none" w:sz="0" w:space="0" w:color="auto"/>
          </w:divBdr>
        </w:div>
        <w:div w:id="590893630">
          <w:marLeft w:val="0"/>
          <w:marRight w:val="0"/>
          <w:marTop w:val="0"/>
          <w:marBottom w:val="0"/>
          <w:divBdr>
            <w:top w:val="none" w:sz="0" w:space="0" w:color="auto"/>
            <w:left w:val="none" w:sz="0" w:space="0" w:color="auto"/>
            <w:bottom w:val="none" w:sz="0" w:space="0" w:color="auto"/>
            <w:right w:val="none" w:sz="0" w:space="0" w:color="auto"/>
          </w:divBdr>
        </w:div>
        <w:div w:id="697631893">
          <w:marLeft w:val="0"/>
          <w:marRight w:val="0"/>
          <w:marTop w:val="0"/>
          <w:marBottom w:val="0"/>
          <w:divBdr>
            <w:top w:val="none" w:sz="0" w:space="0" w:color="auto"/>
            <w:left w:val="none" w:sz="0" w:space="0" w:color="auto"/>
            <w:bottom w:val="none" w:sz="0" w:space="0" w:color="auto"/>
            <w:right w:val="none" w:sz="0" w:space="0" w:color="auto"/>
          </w:divBdr>
        </w:div>
      </w:divsChild>
    </w:div>
    <w:div w:id="1502698439">
      <w:bodyDiv w:val="1"/>
      <w:marLeft w:val="0"/>
      <w:marRight w:val="0"/>
      <w:marTop w:val="0"/>
      <w:marBottom w:val="0"/>
      <w:divBdr>
        <w:top w:val="none" w:sz="0" w:space="0" w:color="auto"/>
        <w:left w:val="none" w:sz="0" w:space="0" w:color="auto"/>
        <w:bottom w:val="none" w:sz="0" w:space="0" w:color="auto"/>
        <w:right w:val="none" w:sz="0" w:space="0" w:color="auto"/>
      </w:divBdr>
    </w:div>
    <w:div w:id="1515455981">
      <w:bodyDiv w:val="1"/>
      <w:marLeft w:val="0"/>
      <w:marRight w:val="0"/>
      <w:marTop w:val="0"/>
      <w:marBottom w:val="0"/>
      <w:divBdr>
        <w:top w:val="none" w:sz="0" w:space="0" w:color="auto"/>
        <w:left w:val="none" w:sz="0" w:space="0" w:color="auto"/>
        <w:bottom w:val="none" w:sz="0" w:space="0" w:color="auto"/>
        <w:right w:val="none" w:sz="0" w:space="0" w:color="auto"/>
      </w:divBdr>
    </w:div>
    <w:div w:id="1550530666">
      <w:bodyDiv w:val="1"/>
      <w:marLeft w:val="0"/>
      <w:marRight w:val="0"/>
      <w:marTop w:val="0"/>
      <w:marBottom w:val="0"/>
      <w:divBdr>
        <w:top w:val="none" w:sz="0" w:space="0" w:color="auto"/>
        <w:left w:val="none" w:sz="0" w:space="0" w:color="auto"/>
        <w:bottom w:val="none" w:sz="0" w:space="0" w:color="auto"/>
        <w:right w:val="none" w:sz="0" w:space="0" w:color="auto"/>
      </w:divBdr>
    </w:div>
    <w:div w:id="1570385320">
      <w:bodyDiv w:val="1"/>
      <w:marLeft w:val="0"/>
      <w:marRight w:val="0"/>
      <w:marTop w:val="0"/>
      <w:marBottom w:val="0"/>
      <w:divBdr>
        <w:top w:val="none" w:sz="0" w:space="0" w:color="auto"/>
        <w:left w:val="none" w:sz="0" w:space="0" w:color="auto"/>
        <w:bottom w:val="none" w:sz="0" w:space="0" w:color="auto"/>
        <w:right w:val="none" w:sz="0" w:space="0" w:color="auto"/>
      </w:divBdr>
      <w:divsChild>
        <w:div w:id="1764719996">
          <w:marLeft w:val="547"/>
          <w:marRight w:val="0"/>
          <w:marTop w:val="77"/>
          <w:marBottom w:val="0"/>
          <w:divBdr>
            <w:top w:val="none" w:sz="0" w:space="0" w:color="auto"/>
            <w:left w:val="none" w:sz="0" w:space="0" w:color="auto"/>
            <w:bottom w:val="none" w:sz="0" w:space="0" w:color="auto"/>
            <w:right w:val="none" w:sz="0" w:space="0" w:color="auto"/>
          </w:divBdr>
        </w:div>
        <w:div w:id="677120915">
          <w:marLeft w:val="547"/>
          <w:marRight w:val="0"/>
          <w:marTop w:val="77"/>
          <w:marBottom w:val="0"/>
          <w:divBdr>
            <w:top w:val="none" w:sz="0" w:space="0" w:color="auto"/>
            <w:left w:val="none" w:sz="0" w:space="0" w:color="auto"/>
            <w:bottom w:val="none" w:sz="0" w:space="0" w:color="auto"/>
            <w:right w:val="none" w:sz="0" w:space="0" w:color="auto"/>
          </w:divBdr>
        </w:div>
        <w:div w:id="133256625">
          <w:marLeft w:val="547"/>
          <w:marRight w:val="0"/>
          <w:marTop w:val="77"/>
          <w:marBottom w:val="0"/>
          <w:divBdr>
            <w:top w:val="none" w:sz="0" w:space="0" w:color="auto"/>
            <w:left w:val="none" w:sz="0" w:space="0" w:color="auto"/>
            <w:bottom w:val="none" w:sz="0" w:space="0" w:color="auto"/>
            <w:right w:val="none" w:sz="0" w:space="0" w:color="auto"/>
          </w:divBdr>
        </w:div>
        <w:div w:id="1566603827">
          <w:marLeft w:val="547"/>
          <w:marRight w:val="0"/>
          <w:marTop w:val="77"/>
          <w:marBottom w:val="0"/>
          <w:divBdr>
            <w:top w:val="none" w:sz="0" w:space="0" w:color="auto"/>
            <w:left w:val="none" w:sz="0" w:space="0" w:color="auto"/>
            <w:bottom w:val="none" w:sz="0" w:space="0" w:color="auto"/>
            <w:right w:val="none" w:sz="0" w:space="0" w:color="auto"/>
          </w:divBdr>
        </w:div>
        <w:div w:id="168376360">
          <w:marLeft w:val="547"/>
          <w:marRight w:val="0"/>
          <w:marTop w:val="77"/>
          <w:marBottom w:val="0"/>
          <w:divBdr>
            <w:top w:val="none" w:sz="0" w:space="0" w:color="auto"/>
            <w:left w:val="none" w:sz="0" w:space="0" w:color="auto"/>
            <w:bottom w:val="none" w:sz="0" w:space="0" w:color="auto"/>
            <w:right w:val="none" w:sz="0" w:space="0" w:color="auto"/>
          </w:divBdr>
        </w:div>
        <w:div w:id="487206370">
          <w:marLeft w:val="547"/>
          <w:marRight w:val="0"/>
          <w:marTop w:val="77"/>
          <w:marBottom w:val="0"/>
          <w:divBdr>
            <w:top w:val="none" w:sz="0" w:space="0" w:color="auto"/>
            <w:left w:val="none" w:sz="0" w:space="0" w:color="auto"/>
            <w:bottom w:val="none" w:sz="0" w:space="0" w:color="auto"/>
            <w:right w:val="none" w:sz="0" w:space="0" w:color="auto"/>
          </w:divBdr>
        </w:div>
      </w:divsChild>
    </w:div>
    <w:div w:id="1621910333">
      <w:bodyDiv w:val="1"/>
      <w:marLeft w:val="0"/>
      <w:marRight w:val="0"/>
      <w:marTop w:val="0"/>
      <w:marBottom w:val="0"/>
      <w:divBdr>
        <w:top w:val="none" w:sz="0" w:space="0" w:color="auto"/>
        <w:left w:val="none" w:sz="0" w:space="0" w:color="auto"/>
        <w:bottom w:val="none" w:sz="0" w:space="0" w:color="auto"/>
        <w:right w:val="none" w:sz="0" w:space="0" w:color="auto"/>
      </w:divBdr>
      <w:divsChild>
        <w:div w:id="1506284164">
          <w:marLeft w:val="0"/>
          <w:marRight w:val="0"/>
          <w:marTop w:val="0"/>
          <w:marBottom w:val="0"/>
          <w:divBdr>
            <w:top w:val="none" w:sz="0" w:space="0" w:color="auto"/>
            <w:left w:val="none" w:sz="0" w:space="0" w:color="auto"/>
            <w:bottom w:val="none" w:sz="0" w:space="0" w:color="auto"/>
            <w:right w:val="none" w:sz="0" w:space="0" w:color="auto"/>
          </w:divBdr>
        </w:div>
        <w:div w:id="1577277682">
          <w:marLeft w:val="0"/>
          <w:marRight w:val="0"/>
          <w:marTop w:val="0"/>
          <w:marBottom w:val="0"/>
          <w:divBdr>
            <w:top w:val="none" w:sz="0" w:space="0" w:color="auto"/>
            <w:left w:val="none" w:sz="0" w:space="0" w:color="auto"/>
            <w:bottom w:val="none" w:sz="0" w:space="0" w:color="auto"/>
            <w:right w:val="none" w:sz="0" w:space="0" w:color="auto"/>
          </w:divBdr>
        </w:div>
        <w:div w:id="1428114482">
          <w:marLeft w:val="0"/>
          <w:marRight w:val="0"/>
          <w:marTop w:val="0"/>
          <w:marBottom w:val="0"/>
          <w:divBdr>
            <w:top w:val="none" w:sz="0" w:space="0" w:color="auto"/>
            <w:left w:val="none" w:sz="0" w:space="0" w:color="auto"/>
            <w:bottom w:val="none" w:sz="0" w:space="0" w:color="auto"/>
            <w:right w:val="none" w:sz="0" w:space="0" w:color="auto"/>
          </w:divBdr>
        </w:div>
        <w:div w:id="717971458">
          <w:marLeft w:val="0"/>
          <w:marRight w:val="0"/>
          <w:marTop w:val="0"/>
          <w:marBottom w:val="0"/>
          <w:divBdr>
            <w:top w:val="none" w:sz="0" w:space="0" w:color="auto"/>
            <w:left w:val="none" w:sz="0" w:space="0" w:color="auto"/>
            <w:bottom w:val="none" w:sz="0" w:space="0" w:color="auto"/>
            <w:right w:val="none" w:sz="0" w:space="0" w:color="auto"/>
          </w:divBdr>
        </w:div>
      </w:divsChild>
    </w:div>
    <w:div w:id="1746762109">
      <w:bodyDiv w:val="1"/>
      <w:marLeft w:val="0"/>
      <w:marRight w:val="0"/>
      <w:marTop w:val="0"/>
      <w:marBottom w:val="0"/>
      <w:divBdr>
        <w:top w:val="none" w:sz="0" w:space="0" w:color="auto"/>
        <w:left w:val="none" w:sz="0" w:space="0" w:color="auto"/>
        <w:bottom w:val="none" w:sz="0" w:space="0" w:color="auto"/>
        <w:right w:val="none" w:sz="0" w:space="0" w:color="auto"/>
      </w:divBdr>
      <w:divsChild>
        <w:div w:id="1649821389">
          <w:marLeft w:val="0"/>
          <w:marRight w:val="0"/>
          <w:marTop w:val="0"/>
          <w:marBottom w:val="0"/>
          <w:divBdr>
            <w:top w:val="none" w:sz="0" w:space="0" w:color="auto"/>
            <w:left w:val="none" w:sz="0" w:space="0" w:color="auto"/>
            <w:bottom w:val="none" w:sz="0" w:space="0" w:color="auto"/>
            <w:right w:val="none" w:sz="0" w:space="0" w:color="auto"/>
          </w:divBdr>
        </w:div>
        <w:div w:id="1446390146">
          <w:marLeft w:val="0"/>
          <w:marRight w:val="0"/>
          <w:marTop w:val="0"/>
          <w:marBottom w:val="0"/>
          <w:divBdr>
            <w:top w:val="none" w:sz="0" w:space="0" w:color="auto"/>
            <w:left w:val="none" w:sz="0" w:space="0" w:color="auto"/>
            <w:bottom w:val="none" w:sz="0" w:space="0" w:color="auto"/>
            <w:right w:val="none" w:sz="0" w:space="0" w:color="auto"/>
          </w:divBdr>
        </w:div>
        <w:div w:id="119881658">
          <w:marLeft w:val="0"/>
          <w:marRight w:val="0"/>
          <w:marTop w:val="0"/>
          <w:marBottom w:val="0"/>
          <w:divBdr>
            <w:top w:val="none" w:sz="0" w:space="0" w:color="auto"/>
            <w:left w:val="none" w:sz="0" w:space="0" w:color="auto"/>
            <w:bottom w:val="none" w:sz="0" w:space="0" w:color="auto"/>
            <w:right w:val="none" w:sz="0" w:space="0" w:color="auto"/>
          </w:divBdr>
        </w:div>
      </w:divsChild>
    </w:div>
    <w:div w:id="1752770490">
      <w:bodyDiv w:val="1"/>
      <w:marLeft w:val="0"/>
      <w:marRight w:val="0"/>
      <w:marTop w:val="0"/>
      <w:marBottom w:val="0"/>
      <w:divBdr>
        <w:top w:val="none" w:sz="0" w:space="0" w:color="auto"/>
        <w:left w:val="none" w:sz="0" w:space="0" w:color="auto"/>
        <w:bottom w:val="none" w:sz="0" w:space="0" w:color="auto"/>
        <w:right w:val="none" w:sz="0" w:space="0" w:color="auto"/>
      </w:divBdr>
      <w:divsChild>
        <w:div w:id="905795338">
          <w:marLeft w:val="0"/>
          <w:marRight w:val="0"/>
          <w:marTop w:val="0"/>
          <w:marBottom w:val="0"/>
          <w:divBdr>
            <w:top w:val="none" w:sz="0" w:space="0" w:color="auto"/>
            <w:left w:val="none" w:sz="0" w:space="0" w:color="auto"/>
            <w:bottom w:val="none" w:sz="0" w:space="0" w:color="auto"/>
            <w:right w:val="none" w:sz="0" w:space="0" w:color="auto"/>
          </w:divBdr>
        </w:div>
        <w:div w:id="918902546">
          <w:marLeft w:val="0"/>
          <w:marRight w:val="0"/>
          <w:marTop w:val="0"/>
          <w:marBottom w:val="0"/>
          <w:divBdr>
            <w:top w:val="none" w:sz="0" w:space="0" w:color="auto"/>
            <w:left w:val="none" w:sz="0" w:space="0" w:color="auto"/>
            <w:bottom w:val="none" w:sz="0" w:space="0" w:color="auto"/>
            <w:right w:val="none" w:sz="0" w:space="0" w:color="auto"/>
          </w:divBdr>
        </w:div>
        <w:div w:id="1713529519">
          <w:marLeft w:val="0"/>
          <w:marRight w:val="0"/>
          <w:marTop w:val="0"/>
          <w:marBottom w:val="0"/>
          <w:divBdr>
            <w:top w:val="none" w:sz="0" w:space="0" w:color="auto"/>
            <w:left w:val="none" w:sz="0" w:space="0" w:color="auto"/>
            <w:bottom w:val="none" w:sz="0" w:space="0" w:color="auto"/>
            <w:right w:val="none" w:sz="0" w:space="0" w:color="auto"/>
          </w:divBdr>
        </w:div>
        <w:div w:id="201790535">
          <w:marLeft w:val="0"/>
          <w:marRight w:val="0"/>
          <w:marTop w:val="0"/>
          <w:marBottom w:val="0"/>
          <w:divBdr>
            <w:top w:val="none" w:sz="0" w:space="0" w:color="auto"/>
            <w:left w:val="none" w:sz="0" w:space="0" w:color="auto"/>
            <w:bottom w:val="none" w:sz="0" w:space="0" w:color="auto"/>
            <w:right w:val="none" w:sz="0" w:space="0" w:color="auto"/>
          </w:divBdr>
        </w:div>
        <w:div w:id="77018864">
          <w:marLeft w:val="0"/>
          <w:marRight w:val="0"/>
          <w:marTop w:val="0"/>
          <w:marBottom w:val="0"/>
          <w:divBdr>
            <w:top w:val="none" w:sz="0" w:space="0" w:color="auto"/>
            <w:left w:val="none" w:sz="0" w:space="0" w:color="auto"/>
            <w:bottom w:val="none" w:sz="0" w:space="0" w:color="auto"/>
            <w:right w:val="none" w:sz="0" w:space="0" w:color="auto"/>
          </w:divBdr>
        </w:div>
        <w:div w:id="987317215">
          <w:marLeft w:val="0"/>
          <w:marRight w:val="0"/>
          <w:marTop w:val="0"/>
          <w:marBottom w:val="0"/>
          <w:divBdr>
            <w:top w:val="none" w:sz="0" w:space="0" w:color="auto"/>
            <w:left w:val="none" w:sz="0" w:space="0" w:color="auto"/>
            <w:bottom w:val="none" w:sz="0" w:space="0" w:color="auto"/>
            <w:right w:val="none" w:sz="0" w:space="0" w:color="auto"/>
          </w:divBdr>
        </w:div>
        <w:div w:id="1722359030">
          <w:marLeft w:val="0"/>
          <w:marRight w:val="0"/>
          <w:marTop w:val="0"/>
          <w:marBottom w:val="0"/>
          <w:divBdr>
            <w:top w:val="none" w:sz="0" w:space="0" w:color="auto"/>
            <w:left w:val="none" w:sz="0" w:space="0" w:color="auto"/>
            <w:bottom w:val="none" w:sz="0" w:space="0" w:color="auto"/>
            <w:right w:val="none" w:sz="0" w:space="0" w:color="auto"/>
          </w:divBdr>
        </w:div>
        <w:div w:id="211691826">
          <w:marLeft w:val="0"/>
          <w:marRight w:val="0"/>
          <w:marTop w:val="0"/>
          <w:marBottom w:val="0"/>
          <w:divBdr>
            <w:top w:val="none" w:sz="0" w:space="0" w:color="auto"/>
            <w:left w:val="none" w:sz="0" w:space="0" w:color="auto"/>
            <w:bottom w:val="none" w:sz="0" w:space="0" w:color="auto"/>
            <w:right w:val="none" w:sz="0" w:space="0" w:color="auto"/>
          </w:divBdr>
        </w:div>
      </w:divsChild>
    </w:div>
    <w:div w:id="1771513403">
      <w:bodyDiv w:val="1"/>
      <w:marLeft w:val="0"/>
      <w:marRight w:val="0"/>
      <w:marTop w:val="0"/>
      <w:marBottom w:val="0"/>
      <w:divBdr>
        <w:top w:val="none" w:sz="0" w:space="0" w:color="auto"/>
        <w:left w:val="none" w:sz="0" w:space="0" w:color="auto"/>
        <w:bottom w:val="none" w:sz="0" w:space="0" w:color="auto"/>
        <w:right w:val="none" w:sz="0" w:space="0" w:color="auto"/>
      </w:divBdr>
    </w:div>
    <w:div w:id="1863786093">
      <w:bodyDiv w:val="1"/>
      <w:marLeft w:val="0"/>
      <w:marRight w:val="0"/>
      <w:marTop w:val="0"/>
      <w:marBottom w:val="0"/>
      <w:divBdr>
        <w:top w:val="none" w:sz="0" w:space="0" w:color="auto"/>
        <w:left w:val="none" w:sz="0" w:space="0" w:color="auto"/>
        <w:bottom w:val="none" w:sz="0" w:space="0" w:color="auto"/>
        <w:right w:val="none" w:sz="0" w:space="0" w:color="auto"/>
      </w:divBdr>
      <w:divsChild>
        <w:div w:id="1954287002">
          <w:marLeft w:val="0"/>
          <w:marRight w:val="0"/>
          <w:marTop w:val="0"/>
          <w:marBottom w:val="0"/>
          <w:divBdr>
            <w:top w:val="none" w:sz="0" w:space="0" w:color="auto"/>
            <w:left w:val="none" w:sz="0" w:space="0" w:color="auto"/>
            <w:bottom w:val="none" w:sz="0" w:space="0" w:color="auto"/>
            <w:right w:val="none" w:sz="0" w:space="0" w:color="auto"/>
          </w:divBdr>
        </w:div>
        <w:div w:id="1463616761">
          <w:marLeft w:val="0"/>
          <w:marRight w:val="0"/>
          <w:marTop w:val="0"/>
          <w:marBottom w:val="0"/>
          <w:divBdr>
            <w:top w:val="none" w:sz="0" w:space="0" w:color="auto"/>
            <w:left w:val="none" w:sz="0" w:space="0" w:color="auto"/>
            <w:bottom w:val="none" w:sz="0" w:space="0" w:color="auto"/>
            <w:right w:val="none" w:sz="0" w:space="0" w:color="auto"/>
          </w:divBdr>
        </w:div>
        <w:div w:id="1254123336">
          <w:marLeft w:val="0"/>
          <w:marRight w:val="0"/>
          <w:marTop w:val="0"/>
          <w:marBottom w:val="0"/>
          <w:divBdr>
            <w:top w:val="none" w:sz="0" w:space="0" w:color="auto"/>
            <w:left w:val="none" w:sz="0" w:space="0" w:color="auto"/>
            <w:bottom w:val="none" w:sz="0" w:space="0" w:color="auto"/>
            <w:right w:val="none" w:sz="0" w:space="0" w:color="auto"/>
          </w:divBdr>
        </w:div>
        <w:div w:id="1288125453">
          <w:marLeft w:val="0"/>
          <w:marRight w:val="0"/>
          <w:marTop w:val="0"/>
          <w:marBottom w:val="0"/>
          <w:divBdr>
            <w:top w:val="none" w:sz="0" w:space="0" w:color="auto"/>
            <w:left w:val="none" w:sz="0" w:space="0" w:color="auto"/>
            <w:bottom w:val="none" w:sz="0" w:space="0" w:color="auto"/>
            <w:right w:val="none" w:sz="0" w:space="0" w:color="auto"/>
          </w:divBdr>
        </w:div>
        <w:div w:id="1187863611">
          <w:marLeft w:val="0"/>
          <w:marRight w:val="0"/>
          <w:marTop w:val="0"/>
          <w:marBottom w:val="0"/>
          <w:divBdr>
            <w:top w:val="none" w:sz="0" w:space="0" w:color="auto"/>
            <w:left w:val="none" w:sz="0" w:space="0" w:color="auto"/>
            <w:bottom w:val="none" w:sz="0" w:space="0" w:color="auto"/>
            <w:right w:val="none" w:sz="0" w:space="0" w:color="auto"/>
          </w:divBdr>
        </w:div>
        <w:div w:id="1630547794">
          <w:marLeft w:val="0"/>
          <w:marRight w:val="0"/>
          <w:marTop w:val="0"/>
          <w:marBottom w:val="0"/>
          <w:divBdr>
            <w:top w:val="none" w:sz="0" w:space="0" w:color="auto"/>
            <w:left w:val="none" w:sz="0" w:space="0" w:color="auto"/>
            <w:bottom w:val="none" w:sz="0" w:space="0" w:color="auto"/>
            <w:right w:val="none" w:sz="0" w:space="0" w:color="auto"/>
          </w:divBdr>
        </w:div>
      </w:divsChild>
    </w:div>
    <w:div w:id="1884247371">
      <w:bodyDiv w:val="1"/>
      <w:marLeft w:val="0"/>
      <w:marRight w:val="0"/>
      <w:marTop w:val="0"/>
      <w:marBottom w:val="0"/>
      <w:divBdr>
        <w:top w:val="none" w:sz="0" w:space="0" w:color="auto"/>
        <w:left w:val="none" w:sz="0" w:space="0" w:color="auto"/>
        <w:bottom w:val="none" w:sz="0" w:space="0" w:color="auto"/>
        <w:right w:val="none" w:sz="0" w:space="0" w:color="auto"/>
      </w:divBdr>
      <w:divsChild>
        <w:div w:id="892426634">
          <w:marLeft w:val="0"/>
          <w:marRight w:val="0"/>
          <w:marTop w:val="0"/>
          <w:marBottom w:val="0"/>
          <w:divBdr>
            <w:top w:val="none" w:sz="0" w:space="0" w:color="auto"/>
            <w:left w:val="none" w:sz="0" w:space="0" w:color="auto"/>
            <w:bottom w:val="none" w:sz="0" w:space="0" w:color="auto"/>
            <w:right w:val="none" w:sz="0" w:space="0" w:color="auto"/>
          </w:divBdr>
        </w:div>
        <w:div w:id="709182486">
          <w:marLeft w:val="0"/>
          <w:marRight w:val="0"/>
          <w:marTop w:val="0"/>
          <w:marBottom w:val="0"/>
          <w:divBdr>
            <w:top w:val="none" w:sz="0" w:space="0" w:color="auto"/>
            <w:left w:val="none" w:sz="0" w:space="0" w:color="auto"/>
            <w:bottom w:val="none" w:sz="0" w:space="0" w:color="auto"/>
            <w:right w:val="none" w:sz="0" w:space="0" w:color="auto"/>
          </w:divBdr>
        </w:div>
        <w:div w:id="479352108">
          <w:marLeft w:val="0"/>
          <w:marRight w:val="0"/>
          <w:marTop w:val="0"/>
          <w:marBottom w:val="0"/>
          <w:divBdr>
            <w:top w:val="none" w:sz="0" w:space="0" w:color="auto"/>
            <w:left w:val="none" w:sz="0" w:space="0" w:color="auto"/>
            <w:bottom w:val="none" w:sz="0" w:space="0" w:color="auto"/>
            <w:right w:val="none" w:sz="0" w:space="0" w:color="auto"/>
          </w:divBdr>
        </w:div>
        <w:div w:id="236670178">
          <w:marLeft w:val="0"/>
          <w:marRight w:val="0"/>
          <w:marTop w:val="0"/>
          <w:marBottom w:val="0"/>
          <w:divBdr>
            <w:top w:val="none" w:sz="0" w:space="0" w:color="auto"/>
            <w:left w:val="none" w:sz="0" w:space="0" w:color="auto"/>
            <w:bottom w:val="none" w:sz="0" w:space="0" w:color="auto"/>
            <w:right w:val="none" w:sz="0" w:space="0" w:color="auto"/>
          </w:divBdr>
        </w:div>
        <w:div w:id="244075919">
          <w:marLeft w:val="0"/>
          <w:marRight w:val="0"/>
          <w:marTop w:val="0"/>
          <w:marBottom w:val="0"/>
          <w:divBdr>
            <w:top w:val="none" w:sz="0" w:space="0" w:color="auto"/>
            <w:left w:val="none" w:sz="0" w:space="0" w:color="auto"/>
            <w:bottom w:val="none" w:sz="0" w:space="0" w:color="auto"/>
            <w:right w:val="none" w:sz="0" w:space="0" w:color="auto"/>
          </w:divBdr>
        </w:div>
        <w:div w:id="279385935">
          <w:marLeft w:val="0"/>
          <w:marRight w:val="0"/>
          <w:marTop w:val="0"/>
          <w:marBottom w:val="0"/>
          <w:divBdr>
            <w:top w:val="none" w:sz="0" w:space="0" w:color="auto"/>
            <w:left w:val="none" w:sz="0" w:space="0" w:color="auto"/>
            <w:bottom w:val="none" w:sz="0" w:space="0" w:color="auto"/>
            <w:right w:val="none" w:sz="0" w:space="0" w:color="auto"/>
          </w:divBdr>
        </w:div>
        <w:div w:id="1344429709">
          <w:marLeft w:val="0"/>
          <w:marRight w:val="0"/>
          <w:marTop w:val="0"/>
          <w:marBottom w:val="0"/>
          <w:divBdr>
            <w:top w:val="none" w:sz="0" w:space="0" w:color="auto"/>
            <w:left w:val="none" w:sz="0" w:space="0" w:color="auto"/>
            <w:bottom w:val="none" w:sz="0" w:space="0" w:color="auto"/>
            <w:right w:val="none" w:sz="0" w:space="0" w:color="auto"/>
          </w:divBdr>
        </w:div>
        <w:div w:id="1522863468">
          <w:marLeft w:val="0"/>
          <w:marRight w:val="0"/>
          <w:marTop w:val="0"/>
          <w:marBottom w:val="0"/>
          <w:divBdr>
            <w:top w:val="none" w:sz="0" w:space="0" w:color="auto"/>
            <w:left w:val="none" w:sz="0" w:space="0" w:color="auto"/>
            <w:bottom w:val="none" w:sz="0" w:space="0" w:color="auto"/>
            <w:right w:val="none" w:sz="0" w:space="0" w:color="auto"/>
          </w:divBdr>
        </w:div>
        <w:div w:id="1867404097">
          <w:marLeft w:val="0"/>
          <w:marRight w:val="0"/>
          <w:marTop w:val="0"/>
          <w:marBottom w:val="0"/>
          <w:divBdr>
            <w:top w:val="none" w:sz="0" w:space="0" w:color="auto"/>
            <w:left w:val="none" w:sz="0" w:space="0" w:color="auto"/>
            <w:bottom w:val="none" w:sz="0" w:space="0" w:color="auto"/>
            <w:right w:val="none" w:sz="0" w:space="0" w:color="auto"/>
          </w:divBdr>
        </w:div>
        <w:div w:id="203753840">
          <w:marLeft w:val="0"/>
          <w:marRight w:val="0"/>
          <w:marTop w:val="0"/>
          <w:marBottom w:val="0"/>
          <w:divBdr>
            <w:top w:val="none" w:sz="0" w:space="0" w:color="auto"/>
            <w:left w:val="none" w:sz="0" w:space="0" w:color="auto"/>
            <w:bottom w:val="none" w:sz="0" w:space="0" w:color="auto"/>
            <w:right w:val="none" w:sz="0" w:space="0" w:color="auto"/>
          </w:divBdr>
        </w:div>
        <w:div w:id="680471281">
          <w:marLeft w:val="0"/>
          <w:marRight w:val="0"/>
          <w:marTop w:val="0"/>
          <w:marBottom w:val="0"/>
          <w:divBdr>
            <w:top w:val="none" w:sz="0" w:space="0" w:color="auto"/>
            <w:left w:val="none" w:sz="0" w:space="0" w:color="auto"/>
            <w:bottom w:val="none" w:sz="0" w:space="0" w:color="auto"/>
            <w:right w:val="none" w:sz="0" w:space="0" w:color="auto"/>
          </w:divBdr>
        </w:div>
        <w:div w:id="1954896512">
          <w:marLeft w:val="0"/>
          <w:marRight w:val="0"/>
          <w:marTop w:val="0"/>
          <w:marBottom w:val="0"/>
          <w:divBdr>
            <w:top w:val="none" w:sz="0" w:space="0" w:color="auto"/>
            <w:left w:val="none" w:sz="0" w:space="0" w:color="auto"/>
            <w:bottom w:val="none" w:sz="0" w:space="0" w:color="auto"/>
            <w:right w:val="none" w:sz="0" w:space="0" w:color="auto"/>
          </w:divBdr>
        </w:div>
      </w:divsChild>
    </w:div>
    <w:div w:id="1899902418">
      <w:bodyDiv w:val="1"/>
      <w:marLeft w:val="0"/>
      <w:marRight w:val="0"/>
      <w:marTop w:val="0"/>
      <w:marBottom w:val="0"/>
      <w:divBdr>
        <w:top w:val="none" w:sz="0" w:space="0" w:color="auto"/>
        <w:left w:val="none" w:sz="0" w:space="0" w:color="auto"/>
        <w:bottom w:val="none" w:sz="0" w:space="0" w:color="auto"/>
        <w:right w:val="none" w:sz="0" w:space="0" w:color="auto"/>
      </w:divBdr>
    </w:div>
    <w:div w:id="1977681888">
      <w:bodyDiv w:val="1"/>
      <w:marLeft w:val="0"/>
      <w:marRight w:val="0"/>
      <w:marTop w:val="0"/>
      <w:marBottom w:val="0"/>
      <w:divBdr>
        <w:top w:val="none" w:sz="0" w:space="0" w:color="auto"/>
        <w:left w:val="none" w:sz="0" w:space="0" w:color="auto"/>
        <w:bottom w:val="none" w:sz="0" w:space="0" w:color="auto"/>
        <w:right w:val="none" w:sz="0" w:space="0" w:color="auto"/>
      </w:divBdr>
      <w:divsChild>
        <w:div w:id="1143816523">
          <w:marLeft w:val="0"/>
          <w:marRight w:val="0"/>
          <w:marTop w:val="0"/>
          <w:marBottom w:val="0"/>
          <w:divBdr>
            <w:top w:val="none" w:sz="0" w:space="0" w:color="auto"/>
            <w:left w:val="none" w:sz="0" w:space="0" w:color="auto"/>
            <w:bottom w:val="none" w:sz="0" w:space="0" w:color="auto"/>
            <w:right w:val="none" w:sz="0" w:space="0" w:color="auto"/>
          </w:divBdr>
        </w:div>
        <w:div w:id="20254430">
          <w:marLeft w:val="0"/>
          <w:marRight w:val="0"/>
          <w:marTop w:val="0"/>
          <w:marBottom w:val="0"/>
          <w:divBdr>
            <w:top w:val="none" w:sz="0" w:space="0" w:color="auto"/>
            <w:left w:val="none" w:sz="0" w:space="0" w:color="auto"/>
            <w:bottom w:val="none" w:sz="0" w:space="0" w:color="auto"/>
            <w:right w:val="none" w:sz="0" w:space="0" w:color="auto"/>
          </w:divBdr>
        </w:div>
        <w:div w:id="1806120496">
          <w:marLeft w:val="0"/>
          <w:marRight w:val="0"/>
          <w:marTop w:val="0"/>
          <w:marBottom w:val="0"/>
          <w:divBdr>
            <w:top w:val="none" w:sz="0" w:space="0" w:color="auto"/>
            <w:left w:val="none" w:sz="0" w:space="0" w:color="auto"/>
            <w:bottom w:val="none" w:sz="0" w:space="0" w:color="auto"/>
            <w:right w:val="none" w:sz="0" w:space="0" w:color="auto"/>
          </w:divBdr>
        </w:div>
        <w:div w:id="1553036946">
          <w:marLeft w:val="0"/>
          <w:marRight w:val="0"/>
          <w:marTop w:val="0"/>
          <w:marBottom w:val="0"/>
          <w:divBdr>
            <w:top w:val="none" w:sz="0" w:space="0" w:color="auto"/>
            <w:left w:val="none" w:sz="0" w:space="0" w:color="auto"/>
            <w:bottom w:val="none" w:sz="0" w:space="0" w:color="auto"/>
            <w:right w:val="none" w:sz="0" w:space="0" w:color="auto"/>
          </w:divBdr>
        </w:div>
        <w:div w:id="1628970289">
          <w:marLeft w:val="0"/>
          <w:marRight w:val="0"/>
          <w:marTop w:val="0"/>
          <w:marBottom w:val="0"/>
          <w:divBdr>
            <w:top w:val="none" w:sz="0" w:space="0" w:color="auto"/>
            <w:left w:val="none" w:sz="0" w:space="0" w:color="auto"/>
            <w:bottom w:val="none" w:sz="0" w:space="0" w:color="auto"/>
            <w:right w:val="none" w:sz="0" w:space="0" w:color="auto"/>
          </w:divBdr>
        </w:div>
        <w:div w:id="30149914">
          <w:marLeft w:val="0"/>
          <w:marRight w:val="0"/>
          <w:marTop w:val="0"/>
          <w:marBottom w:val="0"/>
          <w:divBdr>
            <w:top w:val="none" w:sz="0" w:space="0" w:color="auto"/>
            <w:left w:val="none" w:sz="0" w:space="0" w:color="auto"/>
            <w:bottom w:val="none" w:sz="0" w:space="0" w:color="auto"/>
            <w:right w:val="none" w:sz="0" w:space="0" w:color="auto"/>
          </w:divBdr>
        </w:div>
        <w:div w:id="894270996">
          <w:marLeft w:val="0"/>
          <w:marRight w:val="0"/>
          <w:marTop w:val="0"/>
          <w:marBottom w:val="0"/>
          <w:divBdr>
            <w:top w:val="none" w:sz="0" w:space="0" w:color="auto"/>
            <w:left w:val="none" w:sz="0" w:space="0" w:color="auto"/>
            <w:bottom w:val="none" w:sz="0" w:space="0" w:color="auto"/>
            <w:right w:val="none" w:sz="0" w:space="0" w:color="auto"/>
          </w:divBdr>
        </w:div>
        <w:div w:id="1914703845">
          <w:marLeft w:val="0"/>
          <w:marRight w:val="0"/>
          <w:marTop w:val="0"/>
          <w:marBottom w:val="0"/>
          <w:divBdr>
            <w:top w:val="none" w:sz="0" w:space="0" w:color="auto"/>
            <w:left w:val="none" w:sz="0" w:space="0" w:color="auto"/>
            <w:bottom w:val="none" w:sz="0" w:space="0" w:color="auto"/>
            <w:right w:val="none" w:sz="0" w:space="0" w:color="auto"/>
          </w:divBdr>
        </w:div>
        <w:div w:id="1529373595">
          <w:marLeft w:val="0"/>
          <w:marRight w:val="0"/>
          <w:marTop w:val="0"/>
          <w:marBottom w:val="0"/>
          <w:divBdr>
            <w:top w:val="none" w:sz="0" w:space="0" w:color="auto"/>
            <w:left w:val="none" w:sz="0" w:space="0" w:color="auto"/>
            <w:bottom w:val="none" w:sz="0" w:space="0" w:color="auto"/>
            <w:right w:val="none" w:sz="0" w:space="0" w:color="auto"/>
          </w:divBdr>
        </w:div>
        <w:div w:id="1344432862">
          <w:marLeft w:val="0"/>
          <w:marRight w:val="0"/>
          <w:marTop w:val="0"/>
          <w:marBottom w:val="0"/>
          <w:divBdr>
            <w:top w:val="none" w:sz="0" w:space="0" w:color="auto"/>
            <w:left w:val="none" w:sz="0" w:space="0" w:color="auto"/>
            <w:bottom w:val="none" w:sz="0" w:space="0" w:color="auto"/>
            <w:right w:val="none" w:sz="0" w:space="0" w:color="auto"/>
          </w:divBdr>
        </w:div>
        <w:div w:id="1655716331">
          <w:marLeft w:val="0"/>
          <w:marRight w:val="0"/>
          <w:marTop w:val="0"/>
          <w:marBottom w:val="0"/>
          <w:divBdr>
            <w:top w:val="none" w:sz="0" w:space="0" w:color="auto"/>
            <w:left w:val="none" w:sz="0" w:space="0" w:color="auto"/>
            <w:bottom w:val="none" w:sz="0" w:space="0" w:color="auto"/>
            <w:right w:val="none" w:sz="0" w:space="0" w:color="auto"/>
          </w:divBdr>
        </w:div>
        <w:div w:id="1966158367">
          <w:marLeft w:val="0"/>
          <w:marRight w:val="0"/>
          <w:marTop w:val="0"/>
          <w:marBottom w:val="0"/>
          <w:divBdr>
            <w:top w:val="none" w:sz="0" w:space="0" w:color="auto"/>
            <w:left w:val="none" w:sz="0" w:space="0" w:color="auto"/>
            <w:bottom w:val="none" w:sz="0" w:space="0" w:color="auto"/>
            <w:right w:val="none" w:sz="0" w:space="0" w:color="auto"/>
          </w:divBdr>
        </w:div>
        <w:div w:id="1401634478">
          <w:marLeft w:val="0"/>
          <w:marRight w:val="0"/>
          <w:marTop w:val="0"/>
          <w:marBottom w:val="0"/>
          <w:divBdr>
            <w:top w:val="none" w:sz="0" w:space="0" w:color="auto"/>
            <w:left w:val="none" w:sz="0" w:space="0" w:color="auto"/>
            <w:bottom w:val="none" w:sz="0" w:space="0" w:color="auto"/>
            <w:right w:val="none" w:sz="0" w:space="0" w:color="auto"/>
          </w:divBdr>
        </w:div>
        <w:div w:id="641233795">
          <w:marLeft w:val="0"/>
          <w:marRight w:val="0"/>
          <w:marTop w:val="0"/>
          <w:marBottom w:val="0"/>
          <w:divBdr>
            <w:top w:val="none" w:sz="0" w:space="0" w:color="auto"/>
            <w:left w:val="none" w:sz="0" w:space="0" w:color="auto"/>
            <w:bottom w:val="none" w:sz="0" w:space="0" w:color="auto"/>
            <w:right w:val="none" w:sz="0" w:space="0" w:color="auto"/>
          </w:divBdr>
        </w:div>
        <w:div w:id="447894558">
          <w:marLeft w:val="0"/>
          <w:marRight w:val="0"/>
          <w:marTop w:val="0"/>
          <w:marBottom w:val="0"/>
          <w:divBdr>
            <w:top w:val="none" w:sz="0" w:space="0" w:color="auto"/>
            <w:left w:val="none" w:sz="0" w:space="0" w:color="auto"/>
            <w:bottom w:val="none" w:sz="0" w:space="0" w:color="auto"/>
            <w:right w:val="none" w:sz="0" w:space="0" w:color="auto"/>
          </w:divBdr>
        </w:div>
        <w:div w:id="567419156">
          <w:marLeft w:val="0"/>
          <w:marRight w:val="0"/>
          <w:marTop w:val="0"/>
          <w:marBottom w:val="0"/>
          <w:divBdr>
            <w:top w:val="none" w:sz="0" w:space="0" w:color="auto"/>
            <w:left w:val="none" w:sz="0" w:space="0" w:color="auto"/>
            <w:bottom w:val="none" w:sz="0" w:space="0" w:color="auto"/>
            <w:right w:val="none" w:sz="0" w:space="0" w:color="auto"/>
          </w:divBdr>
        </w:div>
        <w:div w:id="406266271">
          <w:marLeft w:val="0"/>
          <w:marRight w:val="0"/>
          <w:marTop w:val="0"/>
          <w:marBottom w:val="0"/>
          <w:divBdr>
            <w:top w:val="none" w:sz="0" w:space="0" w:color="auto"/>
            <w:left w:val="none" w:sz="0" w:space="0" w:color="auto"/>
            <w:bottom w:val="none" w:sz="0" w:space="0" w:color="auto"/>
            <w:right w:val="none" w:sz="0" w:space="0" w:color="auto"/>
          </w:divBdr>
        </w:div>
      </w:divsChild>
    </w:div>
    <w:div w:id="2016959719">
      <w:bodyDiv w:val="1"/>
      <w:marLeft w:val="0"/>
      <w:marRight w:val="0"/>
      <w:marTop w:val="0"/>
      <w:marBottom w:val="0"/>
      <w:divBdr>
        <w:top w:val="none" w:sz="0" w:space="0" w:color="auto"/>
        <w:left w:val="none" w:sz="0" w:space="0" w:color="auto"/>
        <w:bottom w:val="none" w:sz="0" w:space="0" w:color="auto"/>
        <w:right w:val="none" w:sz="0" w:space="0" w:color="auto"/>
      </w:divBdr>
    </w:div>
    <w:div w:id="2027168883">
      <w:bodyDiv w:val="1"/>
      <w:marLeft w:val="0"/>
      <w:marRight w:val="0"/>
      <w:marTop w:val="0"/>
      <w:marBottom w:val="0"/>
      <w:divBdr>
        <w:top w:val="none" w:sz="0" w:space="0" w:color="auto"/>
        <w:left w:val="none" w:sz="0" w:space="0" w:color="auto"/>
        <w:bottom w:val="none" w:sz="0" w:space="0" w:color="auto"/>
        <w:right w:val="none" w:sz="0" w:space="0" w:color="auto"/>
      </w:divBdr>
    </w:div>
    <w:div w:id="2038192174">
      <w:bodyDiv w:val="1"/>
      <w:marLeft w:val="0"/>
      <w:marRight w:val="0"/>
      <w:marTop w:val="0"/>
      <w:marBottom w:val="0"/>
      <w:divBdr>
        <w:top w:val="none" w:sz="0" w:space="0" w:color="auto"/>
        <w:left w:val="none" w:sz="0" w:space="0" w:color="auto"/>
        <w:bottom w:val="none" w:sz="0" w:space="0" w:color="auto"/>
        <w:right w:val="none" w:sz="0" w:space="0" w:color="auto"/>
      </w:divBdr>
      <w:divsChild>
        <w:div w:id="979111155">
          <w:marLeft w:val="0"/>
          <w:marRight w:val="0"/>
          <w:marTop w:val="0"/>
          <w:marBottom w:val="0"/>
          <w:divBdr>
            <w:top w:val="none" w:sz="0" w:space="0" w:color="auto"/>
            <w:left w:val="none" w:sz="0" w:space="0" w:color="auto"/>
            <w:bottom w:val="none" w:sz="0" w:space="0" w:color="auto"/>
            <w:right w:val="none" w:sz="0" w:space="0" w:color="auto"/>
          </w:divBdr>
        </w:div>
        <w:div w:id="1155338120">
          <w:marLeft w:val="0"/>
          <w:marRight w:val="0"/>
          <w:marTop w:val="0"/>
          <w:marBottom w:val="0"/>
          <w:divBdr>
            <w:top w:val="none" w:sz="0" w:space="0" w:color="auto"/>
            <w:left w:val="none" w:sz="0" w:space="0" w:color="auto"/>
            <w:bottom w:val="none" w:sz="0" w:space="0" w:color="auto"/>
            <w:right w:val="none" w:sz="0" w:space="0" w:color="auto"/>
          </w:divBdr>
        </w:div>
        <w:div w:id="1806970536">
          <w:marLeft w:val="0"/>
          <w:marRight w:val="0"/>
          <w:marTop w:val="0"/>
          <w:marBottom w:val="0"/>
          <w:divBdr>
            <w:top w:val="none" w:sz="0" w:space="0" w:color="auto"/>
            <w:left w:val="none" w:sz="0" w:space="0" w:color="auto"/>
            <w:bottom w:val="none" w:sz="0" w:space="0" w:color="auto"/>
            <w:right w:val="none" w:sz="0" w:space="0" w:color="auto"/>
          </w:divBdr>
        </w:div>
      </w:divsChild>
    </w:div>
    <w:div w:id="2043094261">
      <w:bodyDiv w:val="1"/>
      <w:marLeft w:val="0"/>
      <w:marRight w:val="0"/>
      <w:marTop w:val="0"/>
      <w:marBottom w:val="0"/>
      <w:divBdr>
        <w:top w:val="none" w:sz="0" w:space="0" w:color="auto"/>
        <w:left w:val="none" w:sz="0" w:space="0" w:color="auto"/>
        <w:bottom w:val="none" w:sz="0" w:space="0" w:color="auto"/>
        <w:right w:val="none" w:sz="0" w:space="0" w:color="auto"/>
      </w:divBdr>
    </w:div>
    <w:div w:id="2058578527">
      <w:bodyDiv w:val="1"/>
      <w:marLeft w:val="0"/>
      <w:marRight w:val="0"/>
      <w:marTop w:val="0"/>
      <w:marBottom w:val="0"/>
      <w:divBdr>
        <w:top w:val="none" w:sz="0" w:space="0" w:color="auto"/>
        <w:left w:val="none" w:sz="0" w:space="0" w:color="auto"/>
        <w:bottom w:val="none" w:sz="0" w:space="0" w:color="auto"/>
        <w:right w:val="none" w:sz="0" w:space="0" w:color="auto"/>
      </w:divBdr>
      <w:divsChild>
        <w:div w:id="413821921">
          <w:marLeft w:val="0"/>
          <w:marRight w:val="0"/>
          <w:marTop w:val="0"/>
          <w:marBottom w:val="0"/>
          <w:divBdr>
            <w:top w:val="none" w:sz="0" w:space="0" w:color="auto"/>
            <w:left w:val="none" w:sz="0" w:space="0" w:color="auto"/>
            <w:bottom w:val="none" w:sz="0" w:space="0" w:color="auto"/>
            <w:right w:val="none" w:sz="0" w:space="0" w:color="auto"/>
          </w:divBdr>
        </w:div>
        <w:div w:id="1128666676">
          <w:marLeft w:val="0"/>
          <w:marRight w:val="0"/>
          <w:marTop w:val="0"/>
          <w:marBottom w:val="0"/>
          <w:divBdr>
            <w:top w:val="none" w:sz="0" w:space="0" w:color="auto"/>
            <w:left w:val="none" w:sz="0" w:space="0" w:color="auto"/>
            <w:bottom w:val="none" w:sz="0" w:space="0" w:color="auto"/>
            <w:right w:val="none" w:sz="0" w:space="0" w:color="auto"/>
          </w:divBdr>
        </w:div>
        <w:div w:id="1477643458">
          <w:marLeft w:val="0"/>
          <w:marRight w:val="0"/>
          <w:marTop w:val="0"/>
          <w:marBottom w:val="0"/>
          <w:divBdr>
            <w:top w:val="none" w:sz="0" w:space="0" w:color="auto"/>
            <w:left w:val="none" w:sz="0" w:space="0" w:color="auto"/>
            <w:bottom w:val="none" w:sz="0" w:space="0" w:color="auto"/>
            <w:right w:val="none" w:sz="0" w:space="0" w:color="auto"/>
          </w:divBdr>
        </w:div>
        <w:div w:id="54160445">
          <w:marLeft w:val="0"/>
          <w:marRight w:val="0"/>
          <w:marTop w:val="0"/>
          <w:marBottom w:val="0"/>
          <w:divBdr>
            <w:top w:val="none" w:sz="0" w:space="0" w:color="auto"/>
            <w:left w:val="none" w:sz="0" w:space="0" w:color="auto"/>
            <w:bottom w:val="none" w:sz="0" w:space="0" w:color="auto"/>
            <w:right w:val="none" w:sz="0" w:space="0" w:color="auto"/>
          </w:divBdr>
        </w:div>
        <w:div w:id="2136606126">
          <w:marLeft w:val="0"/>
          <w:marRight w:val="0"/>
          <w:marTop w:val="0"/>
          <w:marBottom w:val="0"/>
          <w:divBdr>
            <w:top w:val="none" w:sz="0" w:space="0" w:color="auto"/>
            <w:left w:val="none" w:sz="0" w:space="0" w:color="auto"/>
            <w:bottom w:val="none" w:sz="0" w:space="0" w:color="auto"/>
            <w:right w:val="none" w:sz="0" w:space="0" w:color="auto"/>
          </w:divBdr>
        </w:div>
        <w:div w:id="1749616757">
          <w:marLeft w:val="0"/>
          <w:marRight w:val="0"/>
          <w:marTop w:val="0"/>
          <w:marBottom w:val="0"/>
          <w:divBdr>
            <w:top w:val="none" w:sz="0" w:space="0" w:color="auto"/>
            <w:left w:val="none" w:sz="0" w:space="0" w:color="auto"/>
            <w:bottom w:val="none" w:sz="0" w:space="0" w:color="auto"/>
            <w:right w:val="none" w:sz="0" w:space="0" w:color="auto"/>
          </w:divBdr>
        </w:div>
        <w:div w:id="2043900715">
          <w:marLeft w:val="0"/>
          <w:marRight w:val="0"/>
          <w:marTop w:val="0"/>
          <w:marBottom w:val="0"/>
          <w:divBdr>
            <w:top w:val="none" w:sz="0" w:space="0" w:color="auto"/>
            <w:left w:val="none" w:sz="0" w:space="0" w:color="auto"/>
            <w:bottom w:val="none" w:sz="0" w:space="0" w:color="auto"/>
            <w:right w:val="none" w:sz="0" w:space="0" w:color="auto"/>
          </w:divBdr>
        </w:div>
        <w:div w:id="1773937904">
          <w:marLeft w:val="0"/>
          <w:marRight w:val="0"/>
          <w:marTop w:val="0"/>
          <w:marBottom w:val="0"/>
          <w:divBdr>
            <w:top w:val="none" w:sz="0" w:space="0" w:color="auto"/>
            <w:left w:val="none" w:sz="0" w:space="0" w:color="auto"/>
            <w:bottom w:val="none" w:sz="0" w:space="0" w:color="auto"/>
            <w:right w:val="none" w:sz="0" w:space="0" w:color="auto"/>
          </w:divBdr>
        </w:div>
        <w:div w:id="735204254">
          <w:marLeft w:val="0"/>
          <w:marRight w:val="0"/>
          <w:marTop w:val="0"/>
          <w:marBottom w:val="0"/>
          <w:divBdr>
            <w:top w:val="none" w:sz="0" w:space="0" w:color="auto"/>
            <w:left w:val="none" w:sz="0" w:space="0" w:color="auto"/>
            <w:bottom w:val="none" w:sz="0" w:space="0" w:color="auto"/>
            <w:right w:val="none" w:sz="0" w:space="0" w:color="auto"/>
          </w:divBdr>
        </w:div>
      </w:divsChild>
    </w:div>
    <w:div w:id="2065710869">
      <w:bodyDiv w:val="1"/>
      <w:marLeft w:val="0"/>
      <w:marRight w:val="0"/>
      <w:marTop w:val="0"/>
      <w:marBottom w:val="0"/>
      <w:divBdr>
        <w:top w:val="none" w:sz="0" w:space="0" w:color="auto"/>
        <w:left w:val="none" w:sz="0" w:space="0" w:color="auto"/>
        <w:bottom w:val="none" w:sz="0" w:space="0" w:color="auto"/>
        <w:right w:val="none" w:sz="0" w:space="0" w:color="auto"/>
      </w:divBdr>
      <w:divsChild>
        <w:div w:id="1942294682">
          <w:marLeft w:val="0"/>
          <w:marRight w:val="0"/>
          <w:marTop w:val="0"/>
          <w:marBottom w:val="0"/>
          <w:divBdr>
            <w:top w:val="none" w:sz="0" w:space="0" w:color="auto"/>
            <w:left w:val="none" w:sz="0" w:space="0" w:color="auto"/>
            <w:bottom w:val="none" w:sz="0" w:space="0" w:color="auto"/>
            <w:right w:val="none" w:sz="0" w:space="0" w:color="auto"/>
          </w:divBdr>
        </w:div>
        <w:div w:id="1919169219">
          <w:marLeft w:val="0"/>
          <w:marRight w:val="0"/>
          <w:marTop w:val="0"/>
          <w:marBottom w:val="0"/>
          <w:divBdr>
            <w:top w:val="none" w:sz="0" w:space="0" w:color="auto"/>
            <w:left w:val="none" w:sz="0" w:space="0" w:color="auto"/>
            <w:bottom w:val="none" w:sz="0" w:space="0" w:color="auto"/>
            <w:right w:val="none" w:sz="0" w:space="0" w:color="auto"/>
          </w:divBdr>
        </w:div>
      </w:divsChild>
    </w:div>
    <w:div w:id="2079009521">
      <w:bodyDiv w:val="1"/>
      <w:marLeft w:val="0"/>
      <w:marRight w:val="0"/>
      <w:marTop w:val="0"/>
      <w:marBottom w:val="0"/>
      <w:divBdr>
        <w:top w:val="none" w:sz="0" w:space="0" w:color="auto"/>
        <w:left w:val="none" w:sz="0" w:space="0" w:color="auto"/>
        <w:bottom w:val="none" w:sz="0" w:space="0" w:color="auto"/>
        <w:right w:val="none" w:sz="0" w:space="0" w:color="auto"/>
      </w:divBdr>
    </w:div>
    <w:div w:id="2081563540">
      <w:bodyDiv w:val="1"/>
      <w:marLeft w:val="0"/>
      <w:marRight w:val="0"/>
      <w:marTop w:val="0"/>
      <w:marBottom w:val="0"/>
      <w:divBdr>
        <w:top w:val="none" w:sz="0" w:space="0" w:color="auto"/>
        <w:left w:val="none" w:sz="0" w:space="0" w:color="auto"/>
        <w:bottom w:val="none" w:sz="0" w:space="0" w:color="auto"/>
        <w:right w:val="none" w:sz="0" w:space="0" w:color="auto"/>
      </w:divBdr>
    </w:div>
    <w:div w:id="210345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chart" Target="charts/chart5.xml"/><Relationship Id="rId26" Type="http://schemas.openxmlformats.org/officeDocument/2006/relationships/hyperlink" Target="https://es.wikipedia.org/wiki/Recurso_natural" TargetMode="External"/><Relationship Id="rId39" Type="http://schemas.openxmlformats.org/officeDocument/2006/relationships/chart" Target="charts/chart14.xml"/><Relationship Id="rId21" Type="http://schemas.openxmlformats.org/officeDocument/2006/relationships/image" Target="media/image5.png"/><Relationship Id="rId34" Type="http://schemas.openxmlformats.org/officeDocument/2006/relationships/hyperlink" Target="https://es.wikipedia.org/wiki/Agua_dulce" TargetMode="External"/><Relationship Id="rId42" Type="http://schemas.openxmlformats.org/officeDocument/2006/relationships/chart" Target="charts/chart17.xml"/><Relationship Id="rId47" Type="http://schemas.openxmlformats.org/officeDocument/2006/relationships/chart" Target="charts/chart21.xml"/><Relationship Id="rId50" Type="http://schemas.openxmlformats.org/officeDocument/2006/relationships/chart" Target="charts/chart22.xml"/><Relationship Id="rId55" Type="http://schemas.openxmlformats.org/officeDocument/2006/relationships/chart" Target="charts/chart24.xml"/><Relationship Id="rId63" Type="http://schemas.openxmlformats.org/officeDocument/2006/relationships/chart" Target="charts/chart32.xml"/><Relationship Id="rId68" Type="http://schemas.openxmlformats.org/officeDocument/2006/relationships/fontTable" Target="fontTable.xml"/><Relationship Id="rId7" Type="http://schemas.openxmlformats.org/officeDocument/2006/relationships/webSettings" Target="webSettings.xml"/><Relationship Id="rId71"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hart" Target="charts/chart3.xml"/><Relationship Id="rId29" Type="http://schemas.openxmlformats.org/officeDocument/2006/relationships/hyperlink" Target="https://es.wikipedia.org/wiki/Disoluci%C3%B3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chart" Target="charts/chart9.xml"/><Relationship Id="rId32" Type="http://schemas.openxmlformats.org/officeDocument/2006/relationships/hyperlink" Target="https://es.wikipedia.org/wiki/Mar" TargetMode="External"/><Relationship Id="rId37" Type="http://schemas.openxmlformats.org/officeDocument/2006/relationships/chart" Target="charts/chart12.xml"/><Relationship Id="rId40" Type="http://schemas.openxmlformats.org/officeDocument/2006/relationships/chart" Target="charts/chart15.xml"/><Relationship Id="rId45" Type="http://schemas.openxmlformats.org/officeDocument/2006/relationships/chart" Target="charts/chart20.xml"/><Relationship Id="rId53" Type="http://schemas.openxmlformats.org/officeDocument/2006/relationships/image" Target="media/image10.emf"/><Relationship Id="rId58" Type="http://schemas.openxmlformats.org/officeDocument/2006/relationships/chart" Target="charts/chart27.xml"/><Relationship Id="rId66"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chart" Target="charts/chart2.xml"/><Relationship Id="rId23" Type="http://schemas.openxmlformats.org/officeDocument/2006/relationships/chart" Target="charts/chart8.xml"/><Relationship Id="rId28" Type="http://schemas.openxmlformats.org/officeDocument/2006/relationships/hyperlink" Target="https://es.wikipedia.org/wiki/Ciclo_del_agua" TargetMode="External"/><Relationship Id="rId36" Type="http://schemas.openxmlformats.org/officeDocument/2006/relationships/chart" Target="charts/chart11.xml"/><Relationship Id="rId49" Type="http://schemas.openxmlformats.org/officeDocument/2006/relationships/image" Target="media/image8.png"/><Relationship Id="rId57" Type="http://schemas.openxmlformats.org/officeDocument/2006/relationships/chart" Target="charts/chart26.xml"/><Relationship Id="rId61" Type="http://schemas.openxmlformats.org/officeDocument/2006/relationships/chart" Target="charts/chart30.xml"/><Relationship Id="rId10" Type="http://schemas.openxmlformats.org/officeDocument/2006/relationships/image" Target="media/image1.jpeg"/><Relationship Id="rId19" Type="http://schemas.openxmlformats.org/officeDocument/2006/relationships/chart" Target="charts/chart6.xml"/><Relationship Id="rId31" Type="http://schemas.openxmlformats.org/officeDocument/2006/relationships/hyperlink" Target="https://es.wikipedia.org/wiki/Oc%C3%A9ano" TargetMode="External"/><Relationship Id="rId44" Type="http://schemas.openxmlformats.org/officeDocument/2006/relationships/chart" Target="charts/chart19.xml"/><Relationship Id="rId52" Type="http://schemas.openxmlformats.org/officeDocument/2006/relationships/chart" Target="charts/chart23.xml"/><Relationship Id="rId60" Type="http://schemas.openxmlformats.org/officeDocument/2006/relationships/chart" Target="charts/chart29.xml"/><Relationship Id="rId65" Type="http://schemas.openxmlformats.org/officeDocument/2006/relationships/chart" Target="charts/chart3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1.xml"/><Relationship Id="rId22" Type="http://schemas.openxmlformats.org/officeDocument/2006/relationships/image" Target="media/image6.png"/><Relationship Id="rId27" Type="http://schemas.openxmlformats.org/officeDocument/2006/relationships/hyperlink" Target="https://es.wikipedia.org/wiki/Recurso_renovable" TargetMode="External"/><Relationship Id="rId30" Type="http://schemas.openxmlformats.org/officeDocument/2006/relationships/hyperlink" Target="https://es.wikipedia.org/wiki/Agua" TargetMode="External"/><Relationship Id="rId35" Type="http://schemas.openxmlformats.org/officeDocument/2006/relationships/chart" Target="charts/chart10.xml"/><Relationship Id="rId43" Type="http://schemas.openxmlformats.org/officeDocument/2006/relationships/chart" Target="charts/chart18.xml"/><Relationship Id="rId48" Type="http://schemas.openxmlformats.org/officeDocument/2006/relationships/image" Target="media/image7.png"/><Relationship Id="rId56" Type="http://schemas.openxmlformats.org/officeDocument/2006/relationships/chart" Target="charts/chart25.xml"/><Relationship Id="rId64" Type="http://schemas.openxmlformats.org/officeDocument/2006/relationships/chart" Target="charts/chart33.xml"/><Relationship Id="rId69"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image" Target="media/image9.png"/><Relationship Id="rId72" Type="http://schemas.microsoft.com/office/2011/relationships/people" Target="people.xml"/><Relationship Id="rId3" Type="http://schemas.openxmlformats.org/officeDocument/2006/relationships/numbering" Target="numbering.xml"/><Relationship Id="rId12" Type="http://schemas.openxmlformats.org/officeDocument/2006/relationships/image" Target="media/image3.jpeg"/><Relationship Id="rId17" Type="http://schemas.openxmlformats.org/officeDocument/2006/relationships/chart" Target="charts/chart4.xml"/><Relationship Id="rId25" Type="http://schemas.openxmlformats.org/officeDocument/2006/relationships/hyperlink" Target="https://es.wikipedia.org/wiki/Ecosistema" TargetMode="External"/><Relationship Id="rId33" Type="http://schemas.openxmlformats.org/officeDocument/2006/relationships/hyperlink" Target="https://es.wikipedia.org/wiki/Sal_(qu%C3%ADmica)" TargetMode="External"/><Relationship Id="rId38" Type="http://schemas.openxmlformats.org/officeDocument/2006/relationships/chart" Target="charts/chart13.xml"/><Relationship Id="rId46" Type="http://schemas.openxmlformats.org/officeDocument/2006/relationships/image" Target="media/image5.emf"/><Relationship Id="rId59" Type="http://schemas.openxmlformats.org/officeDocument/2006/relationships/chart" Target="charts/chart28.xml"/><Relationship Id="rId67" Type="http://schemas.openxmlformats.org/officeDocument/2006/relationships/footer" Target="footer2.xml"/><Relationship Id="rId20" Type="http://schemas.openxmlformats.org/officeDocument/2006/relationships/chart" Target="charts/chart7.xml"/><Relationship Id="rId41" Type="http://schemas.openxmlformats.org/officeDocument/2006/relationships/chart" Target="charts/chart16.xml"/><Relationship Id="rId54" Type="http://schemas.openxmlformats.org/officeDocument/2006/relationships/image" Target="media/image11.png"/><Relationship Id="rId62" Type="http://schemas.openxmlformats.org/officeDocument/2006/relationships/chart" Target="charts/chart3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10.xml.rels><?xml version="1.0" encoding="UTF-8" standalone="yes"?>
<Relationships xmlns="http://schemas.openxmlformats.org/package/2006/relationships"><Relationship Id="rId2" Type="http://schemas.openxmlformats.org/officeDocument/2006/relationships/oleObject" Target="file:///C:\Users\Ivonne%20Cartes\Desktop\INFORME_FINAL_APL\Tabulacion_planta_final.xlsx" TargetMode="External"/><Relationship Id="rId1" Type="http://schemas.openxmlformats.org/officeDocument/2006/relationships/themeOverride" Target="../theme/themeOverride4.xml"/></Relationships>
</file>

<file path=word/charts/_rels/chart11.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21.xml.rels><?xml version="1.0" encoding="UTF-8" standalone="yes"?>
<Relationships xmlns="http://schemas.openxmlformats.org/package/2006/relationships"><Relationship Id="rId2" Type="http://schemas.openxmlformats.org/officeDocument/2006/relationships/oleObject" Target="file:///C:\Users\Ivonne%20Cartes\Desktop\INFORME_FINAL_APL\Copia%20de%20Tabulacion(5)_V2.xlsx" TargetMode="External"/><Relationship Id="rId1" Type="http://schemas.openxmlformats.org/officeDocument/2006/relationships/themeOverride" Target="../theme/themeOverride5.xml"/></Relationships>
</file>

<file path=word/charts/_rels/chart22.xml.rels><?xml version="1.0" encoding="UTF-8" standalone="yes"?>
<Relationships xmlns="http://schemas.openxmlformats.org/package/2006/relationships"><Relationship Id="rId2" Type="http://schemas.openxmlformats.org/officeDocument/2006/relationships/oleObject" Target="file:///C:\Users\Ivonne%20Cartes\Desktop\INFORME_FINAL_APL\Copia%20de%20Tabulacion(5)_V2.xlsx" TargetMode="External"/><Relationship Id="rId1" Type="http://schemas.openxmlformats.org/officeDocument/2006/relationships/themeOverride" Target="../theme/themeOverride6.xml"/></Relationships>
</file>

<file path=word/charts/_rels/chart23.xml.rels><?xml version="1.0" encoding="UTF-8" standalone="yes"?>
<Relationships xmlns="http://schemas.openxmlformats.org/package/2006/relationships"><Relationship Id="rId2" Type="http://schemas.openxmlformats.org/officeDocument/2006/relationships/oleObject" Target="file:///C:\Users\Ivonne%20Cartes\Desktop\INFORME_FINAL_APL\Copia%20de%20Tabulacion(5)_V2.xlsx" TargetMode="External"/><Relationship Id="rId1" Type="http://schemas.openxmlformats.org/officeDocument/2006/relationships/themeOverride" Target="../theme/themeOverride7.xml"/></Relationships>
</file>

<file path=word/charts/_rels/chart24.xml.rels><?xml version="1.0" encoding="UTF-8" standalone="yes"?>
<Relationships xmlns="http://schemas.openxmlformats.org/package/2006/relationships"><Relationship Id="rId2" Type="http://schemas.openxmlformats.org/officeDocument/2006/relationships/oleObject" Target="file:///C:\Users\Ivonne%20Cartes\Desktop\INFORME_FINAL_APL\Copia%20de%20Tabulacion(5)_V2.xlsx" TargetMode="External"/><Relationship Id="rId1" Type="http://schemas.openxmlformats.org/officeDocument/2006/relationships/themeOverride" Target="../theme/themeOverride8.xml"/></Relationships>
</file>

<file path=word/charts/_rels/chart25.xml.rels><?xml version="1.0" encoding="UTF-8" standalone="yes"?>
<Relationships xmlns="http://schemas.openxmlformats.org/package/2006/relationships"><Relationship Id="rId1" Type="http://schemas.openxmlformats.org/officeDocument/2006/relationships/oleObject" Target="file:///C:\Users\Ivonne%20Cartes\Desktop\INFORME_FINAL_APL\EFICIENCIA_ENERG&#201;TICA_PLANTAS.xlsx" TargetMode="External"/></Relationships>
</file>

<file path=word/charts/_rels/chart26.xml.rels><?xml version="1.0" encoding="UTF-8" standalone="yes"?>
<Relationships xmlns="http://schemas.openxmlformats.org/package/2006/relationships"><Relationship Id="rId2" Type="http://schemas.openxmlformats.org/officeDocument/2006/relationships/oleObject" Target="file:///C:\Users\Ivonne%20Cartes\Desktop\INFORME_FINAL_APL\Tabulacion(4)_Plantas_Procesos.xlsx" TargetMode="External"/><Relationship Id="rId1" Type="http://schemas.openxmlformats.org/officeDocument/2006/relationships/themeOverride" Target="../theme/themeOverride9.xml"/></Relationships>
</file>

<file path=word/charts/_rels/chart27.xml.rels><?xml version="1.0" encoding="UTF-8" standalone="yes"?>
<Relationships xmlns="http://schemas.openxmlformats.org/package/2006/relationships"><Relationship Id="rId1" Type="http://schemas.openxmlformats.org/officeDocument/2006/relationships/oleObject" Target="file:///C:\Users\Yohana\Desktop\APL_POSTULADO\Tabulacion\Tabulacion.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Users\Ivonne%20Cartes\Desktop\INFORME_FINAL_APL\Tabulacion(4)_Plantas_Procesos.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C:\Users\Ivonne%20Cartes\Desktop\INFORME_FINAL_APL\Tabulacion(4)_Plantas_Procesos.xlsx" TargetMode="External"/><Relationship Id="rId1" Type="http://schemas.openxmlformats.org/officeDocument/2006/relationships/themeOverride" Target="../theme/themeOverride1.xml"/></Relationships>
</file>

<file path=word/charts/_rels/chart30.xml.rels><?xml version="1.0" encoding="UTF-8" standalone="yes"?>
<Relationships xmlns="http://schemas.openxmlformats.org/package/2006/relationships"><Relationship Id="rId2" Type="http://schemas.openxmlformats.org/officeDocument/2006/relationships/oleObject" Target="file:///C:\Users\Ivonne%20Cartes\Desktop\INFORME_FINAL_APL\Tabulacion_planta_final.xlsx" TargetMode="External"/><Relationship Id="rId1" Type="http://schemas.openxmlformats.org/officeDocument/2006/relationships/themeOverride" Target="../theme/themeOverride10.xml"/></Relationships>
</file>

<file path=word/charts/_rels/chart31.xml.rels><?xml version="1.0" encoding="UTF-8" standalone="yes"?>
<Relationships xmlns="http://schemas.openxmlformats.org/package/2006/relationships"><Relationship Id="rId1" Type="http://schemas.openxmlformats.org/officeDocument/2006/relationships/oleObject" Target="file:///C:\Users\Yohana\Desktop\APL_POSTULADO\Tabulacion\Tabulacion.xlsx" TargetMode="External"/></Relationships>
</file>

<file path=word/charts/_rels/chart32.xml.rels><?xml version="1.0" encoding="UTF-8" standalone="yes"?>
<Relationships xmlns="http://schemas.openxmlformats.org/package/2006/relationships"><Relationship Id="rId2" Type="http://schemas.openxmlformats.org/officeDocument/2006/relationships/oleObject" Target="file:///C:\Users\Ivonne%20Cartes\Desktop\INFORME_FINAL_APL\Tabulacion_planta_final.xlsx" TargetMode="External"/><Relationship Id="rId1" Type="http://schemas.openxmlformats.org/officeDocument/2006/relationships/themeOverride" Target="../theme/themeOverride11.xml"/></Relationships>
</file>

<file path=word/charts/_rels/chart33.xml.rels><?xml version="1.0" encoding="UTF-8" standalone="yes"?>
<Relationships xmlns="http://schemas.openxmlformats.org/package/2006/relationships"><Relationship Id="rId2" Type="http://schemas.openxmlformats.org/officeDocument/2006/relationships/oleObject" Target="file:///C:\Users\Ivonne%20Cartes\Desktop\INFORME_FINAL_APL\Copia%20de%20Tabulacion(5)_V2.xlsx" TargetMode="External"/><Relationship Id="rId1" Type="http://schemas.openxmlformats.org/officeDocument/2006/relationships/themeOverride" Target="../theme/themeOverride12.xml"/></Relationships>
</file>

<file path=word/charts/_rels/chart34.xml.rels><?xml version="1.0" encoding="UTF-8" standalone="yes"?>
<Relationships xmlns="http://schemas.openxmlformats.org/package/2006/relationships"><Relationship Id="rId1" Type="http://schemas.openxmlformats.org/officeDocument/2006/relationships/oleObject" Target="file:///C:\Users\Yohana\Desktop\APL_POSTULADO\Tabulacion\Tabulacion.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Ivonne%20Cartes\Desktop\INFORME_FINAL_APL\Tabulacion_planta_final.xlsx" TargetMode="External"/></Relationships>
</file>

<file path=word/charts/_rels/chart8.xml.rels><?xml version="1.0" encoding="UTF-8" standalone="yes"?>
<Relationships xmlns="http://schemas.openxmlformats.org/package/2006/relationships"><Relationship Id="rId2" Type="http://schemas.openxmlformats.org/officeDocument/2006/relationships/oleObject" Target="file:///C:\Users\Ivonne%20Cartes\Desktop\INFORME_FINAL_APL\Tabulacion(5).xlsx" TargetMode="External"/><Relationship Id="rId1" Type="http://schemas.openxmlformats.org/officeDocument/2006/relationships/themeOverride" Target="../theme/themeOverride2.xml"/></Relationships>
</file>

<file path=word/charts/_rels/chart9.xml.rels><?xml version="1.0" encoding="UTF-8" standalone="yes"?>
<Relationships xmlns="http://schemas.openxmlformats.org/package/2006/relationships"><Relationship Id="rId2" Type="http://schemas.openxmlformats.org/officeDocument/2006/relationships/oleObject" Target="file:///C:\Users\Ivonne%20Cartes\Desktop\INFORME_FINAL_APL\Tabulacion_planta_final.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lgn="ctr">
              <a:defRPr sz="900"/>
            </a:pPr>
            <a:r>
              <a:rPr lang="es-CL" sz="900"/>
              <a:t>Volumen  de Materia Prima y Producto Final  de la muestra (Ton)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3.6111111111111108E-2"/>
                  <c:y val="-3.7037037037037077E-2"/>
                </c:manualLayout>
              </c:layout>
              <c:showLegendKey val="0"/>
              <c:showVal val="1"/>
              <c:showCatName val="0"/>
              <c:showSerName val="0"/>
              <c:showPercent val="0"/>
              <c:showBubbleSize val="0"/>
            </c:dLbl>
            <c:dLbl>
              <c:idx val="1"/>
              <c:layout>
                <c:manualLayout>
                  <c:x val="4.1666666666666664E-2"/>
                  <c:y val="-4.6296296296296294E-2"/>
                </c:manualLayout>
              </c:layout>
              <c:showLegendKey val="0"/>
              <c:showVal val="1"/>
              <c:showCatName val="0"/>
              <c:showSerName val="0"/>
              <c:showPercent val="0"/>
              <c:showBubbleSize val="0"/>
            </c:dLbl>
            <c:txPr>
              <a:bodyPr/>
              <a:lstStyle/>
              <a:p>
                <a:pPr>
                  <a:defRPr sz="900"/>
                </a:pPr>
                <a:endParaRPr lang="es-CL"/>
              </a:p>
            </c:txPr>
            <c:showLegendKey val="0"/>
            <c:showVal val="1"/>
            <c:showCatName val="0"/>
            <c:showSerName val="0"/>
            <c:showPercent val="0"/>
            <c:showBubbleSize val="0"/>
            <c:showLeaderLines val="0"/>
          </c:dLbls>
          <c:cat>
            <c:strRef>
              <c:f>'Produccion 2015'!$E$33:$F$33</c:f>
              <c:strCache>
                <c:ptCount val="2"/>
                <c:pt idx="0">
                  <c:v>Materia Prima (Ton)</c:v>
                </c:pt>
                <c:pt idx="1">
                  <c:v>Producto final (Ton)</c:v>
                </c:pt>
              </c:strCache>
            </c:strRef>
          </c:cat>
          <c:val>
            <c:numRef>
              <c:f>'Produccion 2015'!$E$34:$F$34</c:f>
              <c:numCache>
                <c:formatCode>#,##0</c:formatCode>
                <c:ptCount val="2"/>
                <c:pt idx="0">
                  <c:v>171819.342</c:v>
                </c:pt>
                <c:pt idx="1">
                  <c:v>50708.676699999996</c:v>
                </c:pt>
              </c:numCache>
            </c:numRef>
          </c:val>
        </c:ser>
        <c:dLbls>
          <c:showLegendKey val="0"/>
          <c:showVal val="1"/>
          <c:showCatName val="0"/>
          <c:showSerName val="0"/>
          <c:showPercent val="0"/>
          <c:showBubbleSize val="0"/>
        </c:dLbls>
        <c:gapWidth val="150"/>
        <c:shape val="box"/>
        <c:axId val="192539648"/>
        <c:axId val="228348288"/>
        <c:axId val="0"/>
      </c:bar3DChart>
      <c:catAx>
        <c:axId val="192539648"/>
        <c:scaling>
          <c:orientation val="minMax"/>
        </c:scaling>
        <c:delete val="0"/>
        <c:axPos val="b"/>
        <c:majorTickMark val="none"/>
        <c:minorTickMark val="none"/>
        <c:tickLblPos val="nextTo"/>
        <c:txPr>
          <a:bodyPr/>
          <a:lstStyle/>
          <a:p>
            <a:pPr>
              <a:defRPr sz="800"/>
            </a:pPr>
            <a:endParaRPr lang="es-CL"/>
          </a:p>
        </c:txPr>
        <c:crossAx val="228348288"/>
        <c:crosses val="autoZero"/>
        <c:auto val="1"/>
        <c:lblAlgn val="ctr"/>
        <c:lblOffset val="100"/>
        <c:noMultiLvlLbl val="0"/>
      </c:catAx>
      <c:valAx>
        <c:axId val="228348288"/>
        <c:scaling>
          <c:orientation val="minMax"/>
        </c:scaling>
        <c:delete val="1"/>
        <c:axPos val="l"/>
        <c:numFmt formatCode="#,##0" sourceLinked="1"/>
        <c:majorTickMark val="out"/>
        <c:minorTickMark val="none"/>
        <c:tickLblPos val="nextTo"/>
        <c:crossAx val="192539648"/>
        <c:crosses val="autoZero"/>
        <c:crossBetween val="between"/>
      </c:valAx>
    </c:plotArea>
    <c:plotVisOnly val="1"/>
    <c:dispBlanksAs val="gap"/>
    <c:showDLblsOverMax val="0"/>
  </c:chart>
  <c:txPr>
    <a:bodyPr/>
    <a:lstStyle/>
    <a:p>
      <a:pPr>
        <a:defRPr sz="1000"/>
      </a:pPr>
      <a:endParaRPr lang="es-C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lrMapOvr bg1="lt1" tx1="dk1" bg2="lt2" tx2="dk2" accent1="accent1" accent2="accent2" accent3="accent3" accent4="accent4" accent5="accent5" accent6="accent6" hlink="hlink" folHlink="folHlink"/>
  <c:chart>
    <c:title>
      <c:tx>
        <c:rich>
          <a:bodyPr/>
          <a:lstStyle/>
          <a:p>
            <a:pPr>
              <a:defRPr sz="900"/>
            </a:pPr>
            <a:r>
              <a:rPr lang="en-US" sz="900"/>
              <a:t>Consumo</a:t>
            </a:r>
            <a:r>
              <a:rPr lang="en-US" sz="900" baseline="0"/>
              <a:t> promedio de agua y por tonelada de producto final</a:t>
            </a:r>
            <a:endParaRPr lang="en-US" sz="90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Hoja4!$E$90</c:f>
              <c:strCache>
                <c:ptCount val="1"/>
                <c:pt idx="0">
                  <c:v>Planta</c:v>
                </c:pt>
              </c:strCache>
            </c:strRef>
          </c:tx>
          <c:invertIfNegative val="0"/>
          <c:dLbls>
            <c:dLbl>
              <c:idx val="0"/>
              <c:layout>
                <c:manualLayout>
                  <c:x val="4.1666666666666664E-2"/>
                  <c:y val="-5.0925925925925881E-2"/>
                </c:manualLayout>
              </c:layout>
              <c:showLegendKey val="0"/>
              <c:showVal val="1"/>
              <c:showCatName val="0"/>
              <c:showSerName val="0"/>
              <c:showPercent val="0"/>
              <c:showBubbleSize val="0"/>
            </c:dLbl>
            <c:dLbl>
              <c:idx val="1"/>
              <c:layout>
                <c:manualLayout>
                  <c:x val="4.1666666666666664E-2"/>
                  <c:y val="-7.4074438611840265E-2"/>
                </c:manualLayout>
              </c:layout>
              <c:showLegendKey val="0"/>
              <c:showVal val="1"/>
              <c:showCatName val="0"/>
              <c:showSerName val="0"/>
              <c:showPercent val="0"/>
              <c:showBubbleSize val="0"/>
            </c:dLbl>
            <c:txPr>
              <a:bodyPr/>
              <a:lstStyle/>
              <a:p>
                <a:pPr>
                  <a:defRPr sz="900"/>
                </a:pPr>
                <a:endParaRPr lang="es-CL"/>
              </a:p>
            </c:txPr>
            <c:showLegendKey val="0"/>
            <c:showVal val="1"/>
            <c:showCatName val="0"/>
            <c:showSerName val="0"/>
            <c:showPercent val="0"/>
            <c:showBubbleSize val="0"/>
            <c:showLeaderLines val="0"/>
          </c:dLbls>
          <c:cat>
            <c:strRef>
              <c:f>Hoja4!$F$89:$G$89</c:f>
              <c:strCache>
                <c:ptCount val="2"/>
                <c:pt idx="0">
                  <c:v>Agua (M3)</c:v>
                </c:pt>
                <c:pt idx="1">
                  <c:v>Agua (M3/Ton)</c:v>
                </c:pt>
              </c:strCache>
            </c:strRef>
          </c:cat>
          <c:val>
            <c:numRef>
              <c:f>Hoja4!$F$90:$G$90</c:f>
              <c:numCache>
                <c:formatCode>#,##0</c:formatCode>
                <c:ptCount val="2"/>
                <c:pt idx="0">
                  <c:v>506736.66666666663</c:v>
                </c:pt>
                <c:pt idx="1">
                  <c:v>114.58313032269287</c:v>
                </c:pt>
              </c:numCache>
            </c:numRef>
          </c:val>
        </c:ser>
        <c:dLbls>
          <c:showLegendKey val="0"/>
          <c:showVal val="1"/>
          <c:showCatName val="0"/>
          <c:showSerName val="0"/>
          <c:showPercent val="0"/>
          <c:showBubbleSize val="0"/>
        </c:dLbls>
        <c:gapWidth val="150"/>
        <c:shape val="box"/>
        <c:axId val="134990080"/>
        <c:axId val="134993024"/>
        <c:axId val="0"/>
      </c:bar3DChart>
      <c:catAx>
        <c:axId val="134990080"/>
        <c:scaling>
          <c:orientation val="minMax"/>
        </c:scaling>
        <c:delete val="0"/>
        <c:axPos val="b"/>
        <c:majorTickMark val="none"/>
        <c:minorTickMark val="none"/>
        <c:tickLblPos val="nextTo"/>
        <c:txPr>
          <a:bodyPr/>
          <a:lstStyle/>
          <a:p>
            <a:pPr>
              <a:defRPr sz="900"/>
            </a:pPr>
            <a:endParaRPr lang="es-CL"/>
          </a:p>
        </c:txPr>
        <c:crossAx val="134993024"/>
        <c:crosses val="autoZero"/>
        <c:auto val="1"/>
        <c:lblAlgn val="ctr"/>
        <c:lblOffset val="100"/>
        <c:noMultiLvlLbl val="0"/>
      </c:catAx>
      <c:valAx>
        <c:axId val="134993024"/>
        <c:scaling>
          <c:orientation val="minMax"/>
        </c:scaling>
        <c:delete val="1"/>
        <c:axPos val="l"/>
        <c:numFmt formatCode="#,##0" sourceLinked="1"/>
        <c:majorTickMark val="out"/>
        <c:minorTickMark val="none"/>
        <c:tickLblPos val="nextTo"/>
        <c:crossAx val="134990080"/>
        <c:crosses val="autoZero"/>
        <c:crossBetween val="between"/>
      </c:valAx>
    </c:plotArea>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Porcentaje</a:t>
            </a:r>
            <a:r>
              <a:rPr lang="en-US" sz="800" baseline="0"/>
              <a:t> de empresas que utilizan agua dulce  y agua mixta (agua dulce y agua salada) (%) </a:t>
            </a:r>
            <a:endParaRPr lang="en-US" sz="800"/>
          </a:p>
        </c:rich>
      </c:tx>
      <c:overlay val="0"/>
    </c:title>
    <c:autoTitleDeleted val="0"/>
    <c:view3D>
      <c:rotX val="15"/>
      <c:rotY val="0"/>
      <c:rAngAx val="1"/>
    </c:view3D>
    <c:floor>
      <c:thickness val="0"/>
    </c:floor>
    <c:sideWall>
      <c:thickness val="0"/>
    </c:sideWall>
    <c:backWall>
      <c:thickness val="0"/>
    </c:backWall>
    <c:plotArea>
      <c:layout>
        <c:manualLayout>
          <c:layoutTarget val="inner"/>
          <c:xMode val="edge"/>
          <c:yMode val="edge"/>
          <c:x val="0.10488917209048292"/>
          <c:y val="0.44208268838190096"/>
          <c:w val="0.74783244579976638"/>
          <c:h val="0.45234717455189899"/>
        </c:manualLayout>
      </c:layout>
      <c:pie3DChart>
        <c:varyColors val="1"/>
        <c:ser>
          <c:idx val="0"/>
          <c:order val="0"/>
          <c:tx>
            <c:strRef>
              <c:f>Hoja4!$E$109</c:f>
              <c:strCache>
                <c:ptCount val="1"/>
                <c:pt idx="0">
                  <c:v>Planta</c:v>
                </c:pt>
              </c:strCache>
            </c:strRef>
          </c:tx>
          <c:dLbls>
            <c:dLbl>
              <c:idx val="0"/>
              <c:layout>
                <c:manualLayout>
                  <c:x val="-0.16537149254949937"/>
                  <c:y val="2.9825100526966818E-2"/>
                </c:manualLayout>
              </c:layout>
              <c:showLegendKey val="0"/>
              <c:showVal val="1"/>
              <c:showCatName val="0"/>
              <c:showSerName val="0"/>
              <c:showPercent val="0"/>
              <c:showBubbleSize val="0"/>
            </c:dLbl>
            <c:dLbl>
              <c:idx val="1"/>
              <c:layout>
                <c:manualLayout>
                  <c:x val="0.20405170451959401"/>
                  <c:y val="-0.11958319312650022"/>
                </c:manualLayout>
              </c:layout>
              <c:showLegendKey val="0"/>
              <c:showVal val="1"/>
              <c:showCatName val="0"/>
              <c:showSerName val="0"/>
              <c:showPercent val="0"/>
              <c:showBubbleSize val="0"/>
            </c:dLbl>
            <c:txPr>
              <a:bodyPr/>
              <a:lstStyle/>
              <a:p>
                <a:pPr>
                  <a:defRPr sz="800"/>
                </a:pPr>
                <a:endParaRPr lang="es-CL"/>
              </a:p>
            </c:txPr>
            <c:showLegendKey val="0"/>
            <c:showVal val="1"/>
            <c:showCatName val="0"/>
            <c:showSerName val="0"/>
            <c:showPercent val="0"/>
            <c:showBubbleSize val="0"/>
            <c:showLeaderLines val="1"/>
          </c:dLbls>
          <c:cat>
            <c:strRef>
              <c:f>Hoja4!$F$108:$G$108</c:f>
              <c:strCache>
                <c:ptCount val="2"/>
                <c:pt idx="0">
                  <c:v>A. dulce </c:v>
                </c:pt>
                <c:pt idx="1">
                  <c:v>A. mixta</c:v>
                </c:pt>
              </c:strCache>
            </c:strRef>
          </c:cat>
          <c:val>
            <c:numRef>
              <c:f>Hoja4!$F$109:$G$109</c:f>
              <c:numCache>
                <c:formatCode>0%</c:formatCode>
                <c:ptCount val="2"/>
                <c:pt idx="0">
                  <c:v>0.44444444444444442</c:v>
                </c:pt>
                <c:pt idx="1">
                  <c:v>0.55555555555555558</c:v>
                </c:pt>
              </c:numCache>
            </c:numRef>
          </c:val>
        </c:ser>
        <c:dLbls>
          <c:showLegendKey val="0"/>
          <c:showVal val="0"/>
          <c:showCatName val="0"/>
          <c:showSerName val="0"/>
          <c:showPercent val="0"/>
          <c:showBubbleSize val="0"/>
          <c:showLeaderLines val="1"/>
        </c:dLbls>
      </c:pie3DChart>
    </c:plotArea>
    <c:legend>
      <c:legendPos val="t"/>
      <c:overlay val="0"/>
      <c:txPr>
        <a:bodyPr/>
        <a:lstStyle/>
        <a:p>
          <a:pPr>
            <a:defRPr sz="800"/>
          </a:pPr>
          <a:endParaRPr lang="es-CL"/>
        </a:p>
      </c:tx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Consumo promedio de agua</a:t>
            </a:r>
            <a:r>
              <a:rPr lang="es-CL" sz="800" baseline="0"/>
              <a:t> dulce y agua mixta (agua dulce y agua salada) (M</a:t>
            </a:r>
            <a:r>
              <a:rPr lang="es-CL" sz="800" baseline="30000"/>
              <a:t>3</a:t>
            </a:r>
            <a:r>
              <a:rPr lang="es-CL" sz="800" baseline="0"/>
              <a:t>)</a:t>
            </a:r>
            <a:endParaRPr lang="es-CL" sz="80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4.1666666666666664E-2"/>
                  <c:y val="-4.1666666666666664E-2"/>
                </c:manualLayout>
              </c:layout>
              <c:showLegendKey val="0"/>
              <c:showVal val="1"/>
              <c:showCatName val="0"/>
              <c:showSerName val="0"/>
              <c:showPercent val="0"/>
              <c:showBubbleSize val="0"/>
            </c:dLbl>
            <c:dLbl>
              <c:idx val="1"/>
              <c:layout>
                <c:manualLayout>
                  <c:x val="4.1666666666666664E-2"/>
                  <c:y val="-4.1666666666666664E-2"/>
                </c:manualLayout>
              </c:layout>
              <c:showLegendKey val="0"/>
              <c:showVal val="1"/>
              <c:showCatName val="0"/>
              <c:showSerName val="0"/>
              <c:showPercent val="0"/>
              <c:showBubbleSize val="0"/>
            </c:dLbl>
            <c:txPr>
              <a:bodyPr/>
              <a:lstStyle/>
              <a:p>
                <a:pPr>
                  <a:defRPr sz="800"/>
                </a:pPr>
                <a:endParaRPr lang="es-CL"/>
              </a:p>
            </c:txPr>
            <c:showLegendKey val="0"/>
            <c:showVal val="1"/>
            <c:showCatName val="0"/>
            <c:showSerName val="0"/>
            <c:showPercent val="0"/>
            <c:showBubbleSize val="0"/>
            <c:showLeaderLines val="0"/>
          </c:dLbls>
          <c:cat>
            <c:strRef>
              <c:f>Hoja4!$H$108:$I$108</c:f>
              <c:strCache>
                <c:ptCount val="2"/>
                <c:pt idx="0">
                  <c:v>A. dulce</c:v>
                </c:pt>
                <c:pt idx="1">
                  <c:v>A. mixta</c:v>
                </c:pt>
              </c:strCache>
            </c:strRef>
          </c:cat>
          <c:val>
            <c:numRef>
              <c:f>Hoja4!$H$109:$I$109</c:f>
              <c:numCache>
                <c:formatCode>#,##0</c:formatCode>
                <c:ptCount val="2"/>
                <c:pt idx="0">
                  <c:v>265417.77777777775</c:v>
                </c:pt>
                <c:pt idx="1">
                  <c:v>506736.66666666663</c:v>
                </c:pt>
              </c:numCache>
            </c:numRef>
          </c:val>
        </c:ser>
        <c:dLbls>
          <c:showLegendKey val="0"/>
          <c:showVal val="1"/>
          <c:showCatName val="0"/>
          <c:showSerName val="0"/>
          <c:showPercent val="0"/>
          <c:showBubbleSize val="0"/>
        </c:dLbls>
        <c:gapWidth val="150"/>
        <c:shape val="box"/>
        <c:axId val="146217984"/>
        <c:axId val="146233216"/>
        <c:axId val="0"/>
      </c:bar3DChart>
      <c:catAx>
        <c:axId val="146217984"/>
        <c:scaling>
          <c:orientation val="minMax"/>
        </c:scaling>
        <c:delete val="0"/>
        <c:axPos val="b"/>
        <c:majorTickMark val="none"/>
        <c:minorTickMark val="none"/>
        <c:tickLblPos val="nextTo"/>
        <c:txPr>
          <a:bodyPr/>
          <a:lstStyle/>
          <a:p>
            <a:pPr>
              <a:defRPr sz="800"/>
            </a:pPr>
            <a:endParaRPr lang="es-CL"/>
          </a:p>
        </c:txPr>
        <c:crossAx val="146233216"/>
        <c:crosses val="autoZero"/>
        <c:auto val="1"/>
        <c:lblAlgn val="ctr"/>
        <c:lblOffset val="100"/>
        <c:noMultiLvlLbl val="0"/>
      </c:catAx>
      <c:valAx>
        <c:axId val="146233216"/>
        <c:scaling>
          <c:orientation val="minMax"/>
        </c:scaling>
        <c:delete val="1"/>
        <c:axPos val="l"/>
        <c:numFmt formatCode="#,##0" sourceLinked="1"/>
        <c:majorTickMark val="out"/>
        <c:minorTickMark val="none"/>
        <c:tickLblPos val="nextTo"/>
        <c:crossAx val="146217984"/>
        <c:crosses val="autoZero"/>
        <c:crossBetween val="between"/>
      </c:valAx>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Consumo</a:t>
            </a:r>
            <a:r>
              <a:rPr lang="es-CL" sz="800" baseline="0"/>
              <a:t> total de energía eléctrica y combustibles  de la muestra </a:t>
            </a:r>
            <a:endParaRPr lang="es-CL" sz="80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2.5000000000000001E-2"/>
                  <c:y val="-1.8518518518518517E-2"/>
                </c:manualLayout>
              </c:layout>
              <c:showLegendKey val="0"/>
              <c:showVal val="1"/>
              <c:showCatName val="0"/>
              <c:showSerName val="0"/>
              <c:showPercent val="0"/>
              <c:showBubbleSize val="0"/>
            </c:dLbl>
            <c:dLbl>
              <c:idx val="1"/>
              <c:layout>
                <c:manualLayout>
                  <c:x val="2.2222222222222223E-2"/>
                  <c:y val="-1.3888888888888888E-2"/>
                </c:manualLayout>
              </c:layout>
              <c:showLegendKey val="0"/>
              <c:showVal val="1"/>
              <c:showCatName val="0"/>
              <c:showSerName val="0"/>
              <c:showPercent val="0"/>
              <c:showBubbleSize val="0"/>
            </c:dLbl>
            <c:dLbl>
              <c:idx val="2"/>
              <c:layout>
                <c:manualLayout>
                  <c:x val="1.6666666666666666E-2"/>
                  <c:y val="-3.2407407407407489E-2"/>
                </c:manualLayout>
              </c:layout>
              <c:showLegendKey val="0"/>
              <c:showVal val="1"/>
              <c:showCatName val="0"/>
              <c:showSerName val="0"/>
              <c:showPercent val="0"/>
              <c:showBubbleSize val="0"/>
            </c:dLbl>
            <c:dLbl>
              <c:idx val="3"/>
              <c:layout>
                <c:manualLayout>
                  <c:x val="1.3888888888888888E-2"/>
                  <c:y val="-2.7777777777777693E-2"/>
                </c:manualLayout>
              </c:layout>
              <c:showLegendKey val="0"/>
              <c:showVal val="1"/>
              <c:showCatName val="0"/>
              <c:showSerName val="0"/>
              <c:showPercent val="0"/>
              <c:showBubbleSize val="0"/>
            </c:dLbl>
            <c:dLbl>
              <c:idx val="4"/>
              <c:layout>
                <c:manualLayout>
                  <c:x val="1.9444444444444445E-2"/>
                  <c:y val="-3.2407407407407406E-2"/>
                </c:manualLayout>
              </c:layout>
              <c:showLegendKey val="0"/>
              <c:showVal val="1"/>
              <c:showCatName val="0"/>
              <c:showSerName val="0"/>
              <c:showPercent val="0"/>
              <c:showBubbleSize val="0"/>
            </c:dLbl>
            <c:txPr>
              <a:bodyPr/>
              <a:lstStyle/>
              <a:p>
                <a:pPr>
                  <a:defRPr sz="720"/>
                </a:pPr>
                <a:endParaRPr lang="es-CL"/>
              </a:p>
            </c:txPr>
            <c:showLegendKey val="0"/>
            <c:showVal val="1"/>
            <c:showCatName val="0"/>
            <c:showSerName val="0"/>
            <c:showPercent val="0"/>
            <c:showBubbleSize val="0"/>
            <c:showLeaderLines val="0"/>
          </c:dLbls>
          <c:cat>
            <c:strRef>
              <c:f>Hoja4!$R$34:$V$34</c:f>
              <c:strCache>
                <c:ptCount val="5"/>
                <c:pt idx="0">
                  <c:v>Energía Eléctrica (KWH)</c:v>
                </c:pt>
                <c:pt idx="1">
                  <c:v>Petróleo Diesel (L)</c:v>
                </c:pt>
                <c:pt idx="2">
                  <c:v>Bencina (L)</c:v>
                </c:pt>
                <c:pt idx="3">
                  <c:v>Gas (L)</c:v>
                </c:pt>
                <c:pt idx="4">
                  <c:v>Leña (Mt)</c:v>
                </c:pt>
              </c:strCache>
            </c:strRef>
          </c:cat>
          <c:val>
            <c:numRef>
              <c:f>Hoja4!$R$35:$V$35</c:f>
              <c:numCache>
                <c:formatCode>#,##0</c:formatCode>
                <c:ptCount val="5"/>
                <c:pt idx="0">
                  <c:v>36272209.230000004</c:v>
                </c:pt>
                <c:pt idx="1">
                  <c:v>5534854</c:v>
                </c:pt>
                <c:pt idx="2">
                  <c:v>78000</c:v>
                </c:pt>
                <c:pt idx="3">
                  <c:v>553218.08333333337</c:v>
                </c:pt>
                <c:pt idx="4">
                  <c:v>6158</c:v>
                </c:pt>
              </c:numCache>
            </c:numRef>
          </c:val>
        </c:ser>
        <c:dLbls>
          <c:showLegendKey val="0"/>
          <c:showVal val="1"/>
          <c:showCatName val="0"/>
          <c:showSerName val="0"/>
          <c:showPercent val="0"/>
          <c:showBubbleSize val="0"/>
        </c:dLbls>
        <c:gapWidth val="150"/>
        <c:shape val="box"/>
        <c:axId val="146238080"/>
        <c:axId val="146256256"/>
        <c:axId val="0"/>
      </c:bar3DChart>
      <c:catAx>
        <c:axId val="146238080"/>
        <c:scaling>
          <c:orientation val="minMax"/>
        </c:scaling>
        <c:delete val="0"/>
        <c:axPos val="b"/>
        <c:majorTickMark val="none"/>
        <c:minorTickMark val="none"/>
        <c:tickLblPos val="nextTo"/>
        <c:txPr>
          <a:bodyPr/>
          <a:lstStyle/>
          <a:p>
            <a:pPr>
              <a:defRPr sz="750"/>
            </a:pPr>
            <a:endParaRPr lang="es-CL"/>
          </a:p>
        </c:txPr>
        <c:crossAx val="146256256"/>
        <c:crosses val="autoZero"/>
        <c:auto val="1"/>
        <c:lblAlgn val="ctr"/>
        <c:lblOffset val="100"/>
        <c:noMultiLvlLbl val="0"/>
      </c:catAx>
      <c:valAx>
        <c:axId val="146256256"/>
        <c:scaling>
          <c:orientation val="minMax"/>
        </c:scaling>
        <c:delete val="1"/>
        <c:axPos val="l"/>
        <c:numFmt formatCode="#,##0" sourceLinked="1"/>
        <c:majorTickMark val="out"/>
        <c:minorTickMark val="none"/>
        <c:tickLblPos val="nextTo"/>
        <c:crossAx val="146238080"/>
        <c:crosses val="autoZero"/>
        <c:crossBetween val="between"/>
      </c:valAx>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Consumo</a:t>
            </a:r>
            <a:r>
              <a:rPr lang="es-CL" sz="800" baseline="0"/>
              <a:t> promedio de energía eléctrica y combustibles</a:t>
            </a:r>
            <a:endParaRPr lang="es-CL" sz="80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2.2222222222222223E-2"/>
                  <c:y val="-9.2592592592592587E-3"/>
                </c:manualLayout>
              </c:layout>
              <c:showLegendKey val="0"/>
              <c:showVal val="1"/>
              <c:showCatName val="0"/>
              <c:showSerName val="0"/>
              <c:showPercent val="0"/>
              <c:showBubbleSize val="0"/>
            </c:dLbl>
            <c:dLbl>
              <c:idx val="1"/>
              <c:layout>
                <c:manualLayout>
                  <c:x val="1.6666666666666666E-2"/>
                  <c:y val="-2.7777777777777776E-2"/>
                </c:manualLayout>
              </c:layout>
              <c:showLegendKey val="0"/>
              <c:showVal val="1"/>
              <c:showCatName val="0"/>
              <c:showSerName val="0"/>
              <c:showPercent val="0"/>
              <c:showBubbleSize val="0"/>
            </c:dLbl>
            <c:dLbl>
              <c:idx val="2"/>
              <c:layout>
                <c:manualLayout>
                  <c:x val="2.2222222222222223E-2"/>
                  <c:y val="-3.2407407407407489E-2"/>
                </c:manualLayout>
              </c:layout>
              <c:showLegendKey val="0"/>
              <c:showVal val="1"/>
              <c:showCatName val="0"/>
              <c:showSerName val="0"/>
              <c:showPercent val="0"/>
              <c:showBubbleSize val="0"/>
            </c:dLbl>
            <c:dLbl>
              <c:idx val="3"/>
              <c:layout>
                <c:manualLayout>
                  <c:x val="1.6666666666666666E-2"/>
                  <c:y val="-2.7777777777777776E-2"/>
                </c:manualLayout>
              </c:layout>
              <c:showLegendKey val="0"/>
              <c:showVal val="1"/>
              <c:showCatName val="0"/>
              <c:showSerName val="0"/>
              <c:showPercent val="0"/>
              <c:showBubbleSize val="0"/>
            </c:dLbl>
            <c:dLbl>
              <c:idx val="4"/>
              <c:layout>
                <c:manualLayout>
                  <c:x val="1.3888888888888888E-2"/>
                  <c:y val="-3.2407407407407406E-2"/>
                </c:manualLayout>
              </c:layout>
              <c:showLegendKey val="0"/>
              <c:showVal val="1"/>
              <c:showCatName val="0"/>
              <c:showSerName val="0"/>
              <c:showPercent val="0"/>
              <c:showBubbleSize val="0"/>
            </c:dLbl>
            <c:txPr>
              <a:bodyPr/>
              <a:lstStyle/>
              <a:p>
                <a:pPr>
                  <a:defRPr sz="720"/>
                </a:pPr>
                <a:endParaRPr lang="es-CL"/>
              </a:p>
            </c:txPr>
            <c:showLegendKey val="0"/>
            <c:showVal val="1"/>
            <c:showCatName val="0"/>
            <c:showSerName val="0"/>
            <c:showPercent val="0"/>
            <c:showBubbleSize val="0"/>
            <c:showLeaderLines val="0"/>
          </c:dLbls>
          <c:cat>
            <c:strRef>
              <c:f>Hoja4!$R$34:$V$34</c:f>
              <c:strCache>
                <c:ptCount val="5"/>
                <c:pt idx="0">
                  <c:v>Energía Eléctrica (KWH)</c:v>
                </c:pt>
                <c:pt idx="1">
                  <c:v>Petróleo Diesel (L)</c:v>
                </c:pt>
                <c:pt idx="2">
                  <c:v>Bencina (L)</c:v>
                </c:pt>
                <c:pt idx="3">
                  <c:v>Gas (L)</c:v>
                </c:pt>
                <c:pt idx="4">
                  <c:v>Leña (Mt)</c:v>
                </c:pt>
              </c:strCache>
            </c:strRef>
          </c:cat>
          <c:val>
            <c:numRef>
              <c:f>Hoja4!$R$36:$V$36</c:f>
              <c:numCache>
                <c:formatCode>#,##0</c:formatCode>
                <c:ptCount val="5"/>
                <c:pt idx="0">
                  <c:v>4030245.4700000007</c:v>
                </c:pt>
                <c:pt idx="1">
                  <c:v>614983.77777777775</c:v>
                </c:pt>
                <c:pt idx="2">
                  <c:v>78000</c:v>
                </c:pt>
                <c:pt idx="3">
                  <c:v>61468.675925925927</c:v>
                </c:pt>
                <c:pt idx="4">
                  <c:v>6158</c:v>
                </c:pt>
              </c:numCache>
            </c:numRef>
          </c:val>
        </c:ser>
        <c:dLbls>
          <c:showLegendKey val="0"/>
          <c:showVal val="1"/>
          <c:showCatName val="0"/>
          <c:showSerName val="0"/>
          <c:showPercent val="0"/>
          <c:showBubbleSize val="0"/>
        </c:dLbls>
        <c:gapWidth val="150"/>
        <c:shape val="box"/>
        <c:axId val="161037696"/>
        <c:axId val="163932416"/>
        <c:axId val="0"/>
      </c:bar3DChart>
      <c:catAx>
        <c:axId val="161037696"/>
        <c:scaling>
          <c:orientation val="minMax"/>
        </c:scaling>
        <c:delete val="0"/>
        <c:axPos val="b"/>
        <c:majorTickMark val="none"/>
        <c:minorTickMark val="none"/>
        <c:tickLblPos val="nextTo"/>
        <c:txPr>
          <a:bodyPr/>
          <a:lstStyle/>
          <a:p>
            <a:pPr>
              <a:defRPr sz="750"/>
            </a:pPr>
            <a:endParaRPr lang="es-CL"/>
          </a:p>
        </c:txPr>
        <c:crossAx val="163932416"/>
        <c:crosses val="autoZero"/>
        <c:auto val="1"/>
        <c:lblAlgn val="ctr"/>
        <c:lblOffset val="100"/>
        <c:noMultiLvlLbl val="0"/>
      </c:catAx>
      <c:valAx>
        <c:axId val="163932416"/>
        <c:scaling>
          <c:orientation val="minMax"/>
        </c:scaling>
        <c:delete val="1"/>
        <c:axPos val="l"/>
        <c:numFmt formatCode="#,##0" sourceLinked="1"/>
        <c:majorTickMark val="out"/>
        <c:minorTickMark val="none"/>
        <c:tickLblPos val="nextTo"/>
        <c:crossAx val="161037696"/>
        <c:crosses val="autoZero"/>
        <c:crossBetween val="between"/>
      </c:valAx>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Consumo  promedio anual de energía  eléctrica  de la muestra (KWH)</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Hoja4!$E$55</c:f>
              <c:strCache>
                <c:ptCount val="1"/>
                <c:pt idx="0">
                  <c:v>Planta</c:v>
                </c:pt>
              </c:strCache>
            </c:strRef>
          </c:tx>
          <c:invertIfNegative val="0"/>
          <c:dLbls>
            <c:dLbl>
              <c:idx val="0"/>
              <c:layout>
                <c:manualLayout>
                  <c:x val="6.7061572704924674E-2"/>
                  <c:y val="-7.2759766535364132E-2"/>
                </c:manualLayout>
              </c:layout>
              <c:showLegendKey val="0"/>
              <c:showVal val="1"/>
              <c:showCatName val="0"/>
              <c:showSerName val="0"/>
              <c:showPercent val="0"/>
              <c:showBubbleSize val="0"/>
            </c:dLbl>
            <c:txPr>
              <a:bodyPr/>
              <a:lstStyle/>
              <a:p>
                <a:pPr>
                  <a:defRPr sz="700"/>
                </a:pPr>
                <a:endParaRPr lang="es-CL"/>
              </a:p>
            </c:txPr>
            <c:showLegendKey val="0"/>
            <c:showVal val="1"/>
            <c:showCatName val="0"/>
            <c:showSerName val="0"/>
            <c:showPercent val="0"/>
            <c:showBubbleSize val="0"/>
            <c:showLeaderLines val="0"/>
          </c:dLbls>
          <c:cat>
            <c:strRef>
              <c:f>Hoja4!$F$54</c:f>
              <c:strCache>
                <c:ptCount val="1"/>
                <c:pt idx="0">
                  <c:v>Energía (kWh)</c:v>
                </c:pt>
              </c:strCache>
            </c:strRef>
          </c:cat>
          <c:val>
            <c:numRef>
              <c:f>Hoja4!$F$55</c:f>
              <c:numCache>
                <c:formatCode>#,##0</c:formatCode>
                <c:ptCount val="1"/>
                <c:pt idx="0">
                  <c:v>4030245.4700000007</c:v>
                </c:pt>
              </c:numCache>
            </c:numRef>
          </c:val>
        </c:ser>
        <c:dLbls>
          <c:showLegendKey val="0"/>
          <c:showVal val="1"/>
          <c:showCatName val="0"/>
          <c:showSerName val="0"/>
          <c:showPercent val="0"/>
          <c:showBubbleSize val="0"/>
        </c:dLbls>
        <c:gapWidth val="150"/>
        <c:shape val="box"/>
        <c:axId val="192493056"/>
        <c:axId val="192508288"/>
        <c:axId val="0"/>
      </c:bar3DChart>
      <c:catAx>
        <c:axId val="192493056"/>
        <c:scaling>
          <c:orientation val="minMax"/>
        </c:scaling>
        <c:delete val="0"/>
        <c:axPos val="b"/>
        <c:majorTickMark val="none"/>
        <c:minorTickMark val="none"/>
        <c:tickLblPos val="nextTo"/>
        <c:txPr>
          <a:bodyPr/>
          <a:lstStyle/>
          <a:p>
            <a:pPr>
              <a:defRPr sz="800"/>
            </a:pPr>
            <a:endParaRPr lang="es-CL"/>
          </a:p>
        </c:txPr>
        <c:crossAx val="192508288"/>
        <c:crosses val="autoZero"/>
        <c:auto val="1"/>
        <c:lblAlgn val="ctr"/>
        <c:lblOffset val="100"/>
        <c:noMultiLvlLbl val="0"/>
      </c:catAx>
      <c:valAx>
        <c:axId val="192508288"/>
        <c:scaling>
          <c:orientation val="minMax"/>
        </c:scaling>
        <c:delete val="1"/>
        <c:axPos val="l"/>
        <c:numFmt formatCode="#,##0" sourceLinked="1"/>
        <c:majorTickMark val="out"/>
        <c:minorTickMark val="none"/>
        <c:tickLblPos val="nextTo"/>
        <c:crossAx val="192493056"/>
        <c:crosses val="autoZero"/>
        <c:crossBetween val="between"/>
      </c:valAx>
    </c:plotArea>
    <c:plotVisOnly val="1"/>
    <c:dispBlanksAs val="gap"/>
    <c:showDLblsOverMax val="0"/>
  </c:chart>
  <c:txPr>
    <a:bodyPr/>
    <a:lstStyle/>
    <a:p>
      <a:pPr>
        <a:defRPr sz="1000"/>
      </a:pPr>
      <a:endParaRPr lang="es-CL"/>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Consumo  promedio  energía  eléctrica por tonelada de producto</a:t>
            </a:r>
            <a:r>
              <a:rPr lang="en-US" sz="800" baseline="0"/>
              <a:t> final </a:t>
            </a:r>
            <a:r>
              <a:rPr lang="en-US" sz="800"/>
              <a:t>(KWH / (Ton)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Hoja4!$E$55</c:f>
              <c:strCache>
                <c:ptCount val="1"/>
                <c:pt idx="0">
                  <c:v>Planta</c:v>
                </c:pt>
              </c:strCache>
            </c:strRef>
          </c:tx>
          <c:invertIfNegative val="0"/>
          <c:dLbls>
            <c:dLbl>
              <c:idx val="0"/>
              <c:layout>
                <c:manualLayout>
                  <c:x val="5.8721724549262402E-2"/>
                  <c:y val="-6.638780557190356E-2"/>
                </c:manualLayout>
              </c:layout>
              <c:showLegendKey val="0"/>
              <c:showVal val="1"/>
              <c:showCatName val="0"/>
              <c:showSerName val="0"/>
              <c:showPercent val="0"/>
              <c:showBubbleSize val="0"/>
            </c:dLbl>
            <c:txPr>
              <a:bodyPr/>
              <a:lstStyle/>
              <a:p>
                <a:pPr>
                  <a:defRPr sz="700"/>
                </a:pPr>
                <a:endParaRPr lang="es-CL"/>
              </a:p>
            </c:txPr>
            <c:showLegendKey val="0"/>
            <c:showVal val="1"/>
            <c:showCatName val="0"/>
            <c:showSerName val="0"/>
            <c:showPercent val="0"/>
            <c:showBubbleSize val="0"/>
            <c:showLeaderLines val="0"/>
          </c:dLbls>
          <c:cat>
            <c:strRef>
              <c:f>Hoja4!$J$54</c:f>
              <c:strCache>
                <c:ptCount val="1"/>
                <c:pt idx="0">
                  <c:v> (kWh/Ton)</c:v>
                </c:pt>
              </c:strCache>
            </c:strRef>
          </c:cat>
          <c:val>
            <c:numRef>
              <c:f>Hoja4!$J$55</c:f>
              <c:numCache>
                <c:formatCode>#,##0</c:formatCode>
                <c:ptCount val="1"/>
                <c:pt idx="0">
                  <c:v>852.34808643135477</c:v>
                </c:pt>
              </c:numCache>
            </c:numRef>
          </c:val>
        </c:ser>
        <c:dLbls>
          <c:showLegendKey val="0"/>
          <c:showVal val="1"/>
          <c:showCatName val="0"/>
          <c:showSerName val="0"/>
          <c:showPercent val="0"/>
          <c:showBubbleSize val="0"/>
        </c:dLbls>
        <c:gapWidth val="150"/>
        <c:shape val="box"/>
        <c:axId val="192515456"/>
        <c:axId val="225384704"/>
        <c:axId val="0"/>
      </c:bar3DChart>
      <c:catAx>
        <c:axId val="192515456"/>
        <c:scaling>
          <c:orientation val="minMax"/>
        </c:scaling>
        <c:delete val="0"/>
        <c:axPos val="b"/>
        <c:majorTickMark val="none"/>
        <c:minorTickMark val="none"/>
        <c:tickLblPos val="nextTo"/>
        <c:txPr>
          <a:bodyPr/>
          <a:lstStyle/>
          <a:p>
            <a:pPr>
              <a:defRPr sz="800"/>
            </a:pPr>
            <a:endParaRPr lang="es-CL"/>
          </a:p>
        </c:txPr>
        <c:crossAx val="225384704"/>
        <c:crosses val="autoZero"/>
        <c:auto val="1"/>
        <c:lblAlgn val="ctr"/>
        <c:lblOffset val="100"/>
        <c:noMultiLvlLbl val="0"/>
      </c:catAx>
      <c:valAx>
        <c:axId val="225384704"/>
        <c:scaling>
          <c:orientation val="minMax"/>
        </c:scaling>
        <c:delete val="1"/>
        <c:axPos val="l"/>
        <c:numFmt formatCode="#,##0" sourceLinked="1"/>
        <c:majorTickMark val="out"/>
        <c:minorTickMark val="none"/>
        <c:tickLblPos val="nextTo"/>
        <c:crossAx val="192515456"/>
        <c:crosses val="autoZero"/>
        <c:crossBetween val="between"/>
      </c:valAx>
    </c:plotArea>
    <c:plotVisOnly val="1"/>
    <c:dispBlanksAs val="gap"/>
    <c:showDLblsOverMax val="0"/>
  </c:chart>
  <c:txPr>
    <a:bodyPr/>
    <a:lstStyle/>
    <a:p>
      <a:pPr>
        <a:defRPr sz="1000"/>
      </a:pPr>
      <a:endParaRPr lang="es-C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lgn="ctr">
              <a:defRPr sz="800"/>
            </a:pPr>
            <a:r>
              <a:rPr lang="es-CL" sz="800"/>
              <a:t>Porcentaje de empresas por tipo  de combustible utlilizado</a:t>
            </a:r>
          </a:p>
        </c:rich>
      </c:tx>
      <c:layout>
        <c:manualLayout>
          <c:xMode val="edge"/>
          <c:yMode val="edge"/>
          <c:x val="0.17810007620015239"/>
          <c:y val="4.6116000205856621E-3"/>
        </c:manualLayout>
      </c:layout>
      <c:overlay val="1"/>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4.0011976284324888E-2"/>
                  <c:y val="-4.2147588158772273E-2"/>
                </c:manualLayout>
              </c:layout>
              <c:showLegendKey val="0"/>
              <c:showVal val="1"/>
              <c:showCatName val="0"/>
              <c:showSerName val="0"/>
              <c:showPercent val="0"/>
              <c:showBubbleSize val="0"/>
            </c:dLbl>
            <c:dLbl>
              <c:idx val="1"/>
              <c:layout>
                <c:manualLayout>
                  <c:x val="1.026106846362073E-2"/>
                  <c:y val="0.15024071894198868"/>
                </c:manualLayout>
              </c:layout>
              <c:showLegendKey val="0"/>
              <c:showVal val="1"/>
              <c:showCatName val="0"/>
              <c:showSerName val="0"/>
              <c:showPercent val="0"/>
              <c:showBubbleSize val="0"/>
            </c:dLbl>
            <c:dLbl>
              <c:idx val="2"/>
              <c:layout>
                <c:manualLayout>
                  <c:x val="5.7662638479526358E-2"/>
                  <c:y val="-2.8512171634568585E-2"/>
                </c:manualLayout>
              </c:layout>
              <c:showLegendKey val="0"/>
              <c:showVal val="1"/>
              <c:showCatName val="0"/>
              <c:showSerName val="0"/>
              <c:showPercent val="0"/>
              <c:showBubbleSize val="0"/>
            </c:dLbl>
            <c:dLbl>
              <c:idx val="4"/>
              <c:layout>
                <c:manualLayout>
                  <c:x val="2.2857142857142763E-2"/>
                  <c:y val="-1.7699115044247787E-2"/>
                </c:manualLayout>
              </c:layout>
              <c:showLegendKey val="0"/>
              <c:showVal val="1"/>
              <c:showCatName val="0"/>
              <c:showSerName val="0"/>
              <c:showPercent val="0"/>
              <c:showBubbleSize val="0"/>
            </c:dLbl>
            <c:txPr>
              <a:bodyPr/>
              <a:lstStyle/>
              <a:p>
                <a:pPr>
                  <a:defRPr sz="800"/>
                </a:pPr>
                <a:endParaRPr lang="es-CL"/>
              </a:p>
            </c:txPr>
            <c:showLegendKey val="0"/>
            <c:showVal val="1"/>
            <c:showCatName val="0"/>
            <c:showSerName val="0"/>
            <c:showPercent val="0"/>
            <c:showBubbleSize val="0"/>
            <c:showLeaderLines val="0"/>
          </c:dLbls>
          <c:cat>
            <c:strRef>
              <c:f>Hoja4!$D$24:$F$24</c:f>
              <c:strCache>
                <c:ptCount val="3"/>
                <c:pt idx="0">
                  <c:v>Leña (%) </c:v>
                </c:pt>
                <c:pt idx="1">
                  <c:v>Diesel (%)  </c:v>
                </c:pt>
                <c:pt idx="2">
                  <c:v>Gas (%) </c:v>
                </c:pt>
              </c:strCache>
            </c:strRef>
          </c:cat>
          <c:val>
            <c:numRef>
              <c:f>Hoja4!$D$26:$F$26</c:f>
              <c:numCache>
                <c:formatCode>0%</c:formatCode>
                <c:ptCount val="3"/>
                <c:pt idx="0">
                  <c:v>0.1111111111111111</c:v>
                </c:pt>
                <c:pt idx="1">
                  <c:v>0.77777777777777779</c:v>
                </c:pt>
                <c:pt idx="2">
                  <c:v>0.1111111111111111</c:v>
                </c:pt>
              </c:numCache>
            </c:numRef>
          </c:val>
        </c:ser>
        <c:dLbls>
          <c:showLegendKey val="0"/>
          <c:showVal val="1"/>
          <c:showCatName val="0"/>
          <c:showSerName val="0"/>
          <c:showPercent val="0"/>
          <c:showBubbleSize val="0"/>
        </c:dLbls>
        <c:gapWidth val="150"/>
        <c:shape val="box"/>
        <c:axId val="225416704"/>
        <c:axId val="225431936"/>
        <c:axId val="0"/>
      </c:bar3DChart>
      <c:catAx>
        <c:axId val="225416704"/>
        <c:scaling>
          <c:orientation val="minMax"/>
        </c:scaling>
        <c:delete val="0"/>
        <c:axPos val="b"/>
        <c:numFmt formatCode="General" sourceLinked="1"/>
        <c:majorTickMark val="none"/>
        <c:minorTickMark val="none"/>
        <c:tickLblPos val="nextTo"/>
        <c:txPr>
          <a:bodyPr/>
          <a:lstStyle/>
          <a:p>
            <a:pPr>
              <a:defRPr sz="800"/>
            </a:pPr>
            <a:endParaRPr lang="es-CL"/>
          </a:p>
        </c:txPr>
        <c:crossAx val="225431936"/>
        <c:crosses val="autoZero"/>
        <c:auto val="1"/>
        <c:lblAlgn val="ctr"/>
        <c:lblOffset val="100"/>
        <c:noMultiLvlLbl val="0"/>
      </c:catAx>
      <c:valAx>
        <c:axId val="225431936"/>
        <c:scaling>
          <c:orientation val="minMax"/>
        </c:scaling>
        <c:delete val="1"/>
        <c:axPos val="l"/>
        <c:numFmt formatCode="0%" sourceLinked="1"/>
        <c:majorTickMark val="out"/>
        <c:minorTickMark val="none"/>
        <c:tickLblPos val="nextTo"/>
        <c:crossAx val="225416704"/>
        <c:crosses val="autoZero"/>
        <c:crossBetween val="between"/>
      </c:valAx>
    </c:plotArea>
    <c:plotVisOnly val="1"/>
    <c:dispBlanksAs val="gap"/>
    <c:showDLblsOverMax val="0"/>
  </c:chart>
  <c:txPr>
    <a:bodyPr/>
    <a:lstStyle/>
    <a:p>
      <a:pPr>
        <a:defRPr sz="900"/>
      </a:pPr>
      <a:endParaRPr lang="es-C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lgn="ctr">
              <a:defRPr sz="800"/>
            </a:pPr>
            <a:r>
              <a:rPr lang="es-CL" sz="800"/>
              <a:t>Combustible utilizado por tonelada de  producto final </a:t>
            </a:r>
          </a:p>
        </c:rich>
      </c:tx>
      <c:layout>
        <c:manualLayout>
          <c:xMode val="edge"/>
          <c:yMode val="edge"/>
          <c:x val="0.1997788912749543"/>
          <c:y val="4.4482391508290377E-4"/>
        </c:manualLayout>
      </c:layout>
      <c:overlay val="1"/>
    </c:title>
    <c:autoTitleDeleted val="0"/>
    <c:view3D>
      <c:rotX val="15"/>
      <c:rotY val="20"/>
      <c:rAngAx val="1"/>
    </c:view3D>
    <c:floor>
      <c:thickness val="0"/>
    </c:floor>
    <c:sideWall>
      <c:thickness val="0"/>
    </c:sideWall>
    <c:backWall>
      <c:thickness val="0"/>
    </c:backWall>
    <c:plotArea>
      <c:layout>
        <c:manualLayout>
          <c:layoutTarget val="inner"/>
          <c:xMode val="edge"/>
          <c:yMode val="edge"/>
          <c:x val="9.1333810546408989E-2"/>
          <c:y val="5.186098725611106E-2"/>
          <c:w val="0.8710316653966641"/>
          <c:h val="0.82780581561163125"/>
        </c:manualLayout>
      </c:layout>
      <c:bar3DChart>
        <c:barDir val="col"/>
        <c:grouping val="clustered"/>
        <c:varyColors val="0"/>
        <c:ser>
          <c:idx val="0"/>
          <c:order val="0"/>
          <c:invertIfNegative val="0"/>
          <c:dLbls>
            <c:dLbl>
              <c:idx val="0"/>
              <c:layout>
                <c:manualLayout>
                  <c:x val="3.6213304682775026E-2"/>
                  <c:y val="-3.1930478603200446E-2"/>
                </c:manualLayout>
              </c:layout>
              <c:showLegendKey val="0"/>
              <c:showVal val="1"/>
              <c:showCatName val="0"/>
              <c:showSerName val="0"/>
              <c:showPercent val="0"/>
              <c:showBubbleSize val="0"/>
            </c:dLbl>
            <c:dLbl>
              <c:idx val="1"/>
              <c:layout>
                <c:manualLayout>
                  <c:x val="1.026106846362073E-2"/>
                  <c:y val="0.15024071894198868"/>
                </c:manualLayout>
              </c:layout>
              <c:showLegendKey val="0"/>
              <c:showVal val="1"/>
              <c:showCatName val="0"/>
              <c:showSerName val="0"/>
              <c:showPercent val="0"/>
              <c:showBubbleSize val="0"/>
            </c:dLbl>
            <c:dLbl>
              <c:idx val="2"/>
              <c:layout>
                <c:manualLayout>
                  <c:x val="3.1071937268677352E-2"/>
                  <c:y val="-2.8512171634568574E-2"/>
                </c:manualLayout>
              </c:layout>
              <c:showLegendKey val="0"/>
              <c:showVal val="1"/>
              <c:showCatName val="0"/>
              <c:showSerName val="0"/>
              <c:showPercent val="0"/>
              <c:showBubbleSize val="0"/>
            </c:dLbl>
            <c:dLbl>
              <c:idx val="4"/>
              <c:layout>
                <c:manualLayout>
                  <c:x val="2.2857142857142763E-2"/>
                  <c:y val="-1.7699115044247787E-2"/>
                </c:manualLayout>
              </c:layout>
              <c:showLegendKey val="0"/>
              <c:showVal val="1"/>
              <c:showCatName val="0"/>
              <c:showSerName val="0"/>
              <c:showPercent val="0"/>
              <c:showBubbleSize val="0"/>
            </c:dLbl>
            <c:txPr>
              <a:bodyPr/>
              <a:lstStyle/>
              <a:p>
                <a:pPr>
                  <a:defRPr sz="800"/>
                </a:pPr>
                <a:endParaRPr lang="es-CL"/>
              </a:p>
            </c:txPr>
            <c:showLegendKey val="0"/>
            <c:showVal val="1"/>
            <c:showCatName val="0"/>
            <c:showSerName val="0"/>
            <c:showPercent val="0"/>
            <c:showBubbleSize val="0"/>
            <c:showLeaderLines val="0"/>
          </c:dLbls>
          <c:cat>
            <c:strRef>
              <c:f>Hoja4!$N$24:$P$24</c:f>
              <c:strCache>
                <c:ptCount val="3"/>
                <c:pt idx="0">
                  <c:v>Leña (M)/Ton</c:v>
                </c:pt>
                <c:pt idx="1">
                  <c:v>Diesel(L)/Ton</c:v>
                </c:pt>
                <c:pt idx="2">
                  <c:v>Gas (L)/Ton</c:v>
                </c:pt>
              </c:strCache>
            </c:strRef>
          </c:cat>
          <c:val>
            <c:numRef>
              <c:f>Hoja4!$N$25:$P$25</c:f>
              <c:numCache>
                <c:formatCode>0</c:formatCode>
                <c:ptCount val="3"/>
                <c:pt idx="0" formatCode="0.00">
                  <c:v>0.15971573814711071</c:v>
                </c:pt>
                <c:pt idx="1">
                  <c:v>110.50494277986787</c:v>
                </c:pt>
                <c:pt idx="2">
                  <c:v>11.958831317286659</c:v>
                </c:pt>
              </c:numCache>
            </c:numRef>
          </c:val>
        </c:ser>
        <c:dLbls>
          <c:showLegendKey val="0"/>
          <c:showVal val="1"/>
          <c:showCatName val="0"/>
          <c:showSerName val="0"/>
          <c:showPercent val="0"/>
          <c:showBubbleSize val="0"/>
        </c:dLbls>
        <c:gapWidth val="150"/>
        <c:shape val="box"/>
        <c:axId val="225443200"/>
        <c:axId val="226965760"/>
        <c:axId val="0"/>
      </c:bar3DChart>
      <c:catAx>
        <c:axId val="225443200"/>
        <c:scaling>
          <c:orientation val="minMax"/>
        </c:scaling>
        <c:delete val="0"/>
        <c:axPos val="b"/>
        <c:numFmt formatCode="General" sourceLinked="1"/>
        <c:majorTickMark val="none"/>
        <c:minorTickMark val="none"/>
        <c:tickLblPos val="nextTo"/>
        <c:txPr>
          <a:bodyPr/>
          <a:lstStyle/>
          <a:p>
            <a:pPr>
              <a:defRPr sz="800"/>
            </a:pPr>
            <a:endParaRPr lang="es-CL"/>
          </a:p>
        </c:txPr>
        <c:crossAx val="226965760"/>
        <c:crosses val="autoZero"/>
        <c:auto val="1"/>
        <c:lblAlgn val="ctr"/>
        <c:lblOffset val="100"/>
        <c:noMultiLvlLbl val="0"/>
      </c:catAx>
      <c:valAx>
        <c:axId val="226965760"/>
        <c:scaling>
          <c:orientation val="minMax"/>
        </c:scaling>
        <c:delete val="1"/>
        <c:axPos val="l"/>
        <c:numFmt formatCode="0.00" sourceLinked="1"/>
        <c:majorTickMark val="out"/>
        <c:minorTickMark val="none"/>
        <c:tickLblPos val="nextTo"/>
        <c:crossAx val="225443200"/>
        <c:crosses val="autoZero"/>
        <c:crossBetween val="between"/>
      </c:valAx>
    </c:plotArea>
    <c:plotVisOnly val="1"/>
    <c:dispBlanksAs val="gap"/>
    <c:showDLblsOverMax val="0"/>
  </c:chart>
  <c:txPr>
    <a:bodyPr/>
    <a:lstStyle/>
    <a:p>
      <a:pPr>
        <a:defRPr sz="900"/>
      </a:pPr>
      <a:endParaRPr lang="es-C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Volumen promedio de residuos generados por las plantas</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invertIfNegative val="0"/>
          <c:dLbls>
            <c:dLbl>
              <c:idx val="0"/>
              <c:layout>
                <c:manualLayout>
                  <c:x val="-0.10169995004633108"/>
                  <c:y val="-7.051293126269649E-2"/>
                </c:manualLayout>
              </c:layout>
              <c:showLegendKey val="0"/>
              <c:showVal val="1"/>
              <c:showCatName val="0"/>
              <c:showSerName val="0"/>
              <c:showPercent val="0"/>
              <c:showBubbleSize val="0"/>
            </c:dLbl>
            <c:dLbl>
              <c:idx val="1"/>
              <c:layout>
                <c:manualLayout>
                  <c:x val="1.6666666666666666E-2"/>
                  <c:y val="-1.3888888888888888E-2"/>
                </c:manualLayout>
              </c:layout>
              <c:showLegendKey val="0"/>
              <c:showVal val="1"/>
              <c:showCatName val="0"/>
              <c:showSerName val="0"/>
              <c:showPercent val="0"/>
              <c:showBubbleSize val="0"/>
            </c:dLbl>
            <c:dLbl>
              <c:idx val="2"/>
              <c:layout>
                <c:manualLayout>
                  <c:x val="2.5000000000000001E-2"/>
                  <c:y val="-1.8518518518518517E-2"/>
                </c:manualLayout>
              </c:layout>
              <c:showLegendKey val="0"/>
              <c:showVal val="1"/>
              <c:showCatName val="0"/>
              <c:showSerName val="0"/>
              <c:showPercent val="0"/>
              <c:showBubbleSize val="0"/>
            </c:dLbl>
            <c:dLbl>
              <c:idx val="3"/>
              <c:layout>
                <c:manualLayout>
                  <c:x val="3.0555555555555555E-2"/>
                  <c:y val="-1.3888888888888888E-2"/>
                </c:manualLayout>
              </c:layout>
              <c:showLegendKey val="0"/>
              <c:showVal val="1"/>
              <c:showCatName val="0"/>
              <c:showSerName val="0"/>
              <c:showPercent val="0"/>
              <c:showBubbleSize val="0"/>
            </c:dLbl>
            <c:txPr>
              <a:bodyPr/>
              <a:lstStyle/>
              <a:p>
                <a:pPr>
                  <a:defRPr sz="800"/>
                </a:pPr>
                <a:endParaRPr lang="es-CL"/>
              </a:p>
            </c:txPr>
            <c:showLegendKey val="0"/>
            <c:showVal val="1"/>
            <c:showCatName val="0"/>
            <c:showSerName val="0"/>
            <c:showPercent val="0"/>
            <c:showBubbleSize val="0"/>
            <c:showLeaderLines val="0"/>
          </c:dLbls>
          <c:cat>
            <c:strRef>
              <c:f>Residuos!$C$17:$F$17</c:f>
              <c:strCache>
                <c:ptCount val="4"/>
                <c:pt idx="0">
                  <c:v>Riles (M3)</c:v>
                </c:pt>
                <c:pt idx="1">
                  <c:v>Conchillas (M3)</c:v>
                </c:pt>
                <c:pt idx="2">
                  <c:v>Residuos sólidos (M3)</c:v>
                </c:pt>
                <c:pt idx="3">
                  <c:v>Residuos Peligrosos (Kg)</c:v>
                </c:pt>
              </c:strCache>
            </c:strRef>
          </c:cat>
          <c:val>
            <c:numRef>
              <c:f>Residuos!$C$18:$F$18</c:f>
              <c:numCache>
                <c:formatCode>_-* #,##0\ _€_-;\-* #,##0\ _€_-;_-* "-"??\ _€_-;_-@_-</c:formatCode>
                <c:ptCount val="4"/>
                <c:pt idx="0" formatCode="#,##0">
                  <c:v>3840249</c:v>
                </c:pt>
                <c:pt idx="1">
                  <c:v>92509</c:v>
                </c:pt>
                <c:pt idx="2" formatCode="#,##0">
                  <c:v>84811</c:v>
                </c:pt>
                <c:pt idx="3">
                  <c:v>30698</c:v>
                </c:pt>
              </c:numCache>
            </c:numRef>
          </c:val>
        </c:ser>
        <c:dLbls>
          <c:showLegendKey val="0"/>
          <c:showVal val="1"/>
          <c:showCatName val="0"/>
          <c:showSerName val="0"/>
          <c:showPercent val="0"/>
          <c:showBubbleSize val="0"/>
        </c:dLbls>
        <c:gapWidth val="150"/>
        <c:shape val="box"/>
        <c:axId val="226981376"/>
        <c:axId val="228192640"/>
        <c:axId val="0"/>
      </c:bar3DChart>
      <c:catAx>
        <c:axId val="226981376"/>
        <c:scaling>
          <c:orientation val="minMax"/>
        </c:scaling>
        <c:delete val="0"/>
        <c:axPos val="l"/>
        <c:majorTickMark val="none"/>
        <c:minorTickMark val="none"/>
        <c:tickLblPos val="nextTo"/>
        <c:txPr>
          <a:bodyPr/>
          <a:lstStyle/>
          <a:p>
            <a:pPr>
              <a:defRPr sz="800"/>
            </a:pPr>
            <a:endParaRPr lang="es-CL"/>
          </a:p>
        </c:txPr>
        <c:crossAx val="228192640"/>
        <c:crosses val="autoZero"/>
        <c:auto val="1"/>
        <c:lblAlgn val="ctr"/>
        <c:lblOffset val="100"/>
        <c:noMultiLvlLbl val="0"/>
      </c:catAx>
      <c:valAx>
        <c:axId val="228192640"/>
        <c:scaling>
          <c:orientation val="minMax"/>
        </c:scaling>
        <c:delete val="1"/>
        <c:axPos val="b"/>
        <c:numFmt formatCode="#,##0" sourceLinked="1"/>
        <c:majorTickMark val="out"/>
        <c:minorTickMark val="none"/>
        <c:tickLblPos val="nextTo"/>
        <c:crossAx val="226981376"/>
        <c:crosses val="autoZero"/>
        <c:crossBetween val="between"/>
      </c:valAx>
    </c:plotArea>
    <c:plotVisOnly val="1"/>
    <c:dispBlanksAs val="gap"/>
    <c:showDLblsOverMax val="0"/>
  </c:chart>
  <c:txPr>
    <a:bodyPr/>
    <a:lstStyle/>
    <a:p>
      <a:pPr>
        <a:defRPr sz="700"/>
      </a:pPr>
      <a:endParaRPr lang="es-C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900"/>
            </a:pPr>
            <a:r>
              <a:rPr lang="es-CL" sz="900"/>
              <a:t>Volumen promedio de  Materia Prima y Producto Final  de la muestra (Ton)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3.6111111111111108E-2"/>
                  <c:y val="-3.7037037037037077E-2"/>
                </c:manualLayout>
              </c:layout>
              <c:showLegendKey val="0"/>
              <c:showVal val="1"/>
              <c:showCatName val="0"/>
              <c:showSerName val="0"/>
              <c:showPercent val="0"/>
              <c:showBubbleSize val="0"/>
            </c:dLbl>
            <c:dLbl>
              <c:idx val="1"/>
              <c:layout>
                <c:manualLayout>
                  <c:x val="4.1666666666666664E-2"/>
                  <c:y val="-4.6296296296296294E-2"/>
                </c:manualLayout>
              </c:layout>
              <c:showLegendKey val="0"/>
              <c:showVal val="1"/>
              <c:showCatName val="0"/>
              <c:showSerName val="0"/>
              <c:showPercent val="0"/>
              <c:showBubbleSize val="0"/>
            </c:dLbl>
            <c:txPr>
              <a:bodyPr/>
              <a:lstStyle/>
              <a:p>
                <a:pPr>
                  <a:defRPr sz="900"/>
                </a:pPr>
                <a:endParaRPr lang="es-CL"/>
              </a:p>
            </c:txPr>
            <c:showLegendKey val="0"/>
            <c:showVal val="1"/>
            <c:showCatName val="0"/>
            <c:showSerName val="0"/>
            <c:showPercent val="0"/>
            <c:showBubbleSize val="0"/>
            <c:showLeaderLines val="0"/>
          </c:dLbls>
          <c:cat>
            <c:strRef>
              <c:f>'Produccion 2015'!$G$33:$H$33</c:f>
              <c:strCache>
                <c:ptCount val="2"/>
                <c:pt idx="0">
                  <c:v>Materia Prima (Ton)</c:v>
                </c:pt>
                <c:pt idx="1">
                  <c:v>Producto final (Ton)</c:v>
                </c:pt>
              </c:strCache>
            </c:strRef>
          </c:cat>
          <c:val>
            <c:numRef>
              <c:f>'Produccion 2015'!$G$34:$H$34</c:f>
              <c:numCache>
                <c:formatCode>#,##0</c:formatCode>
                <c:ptCount val="2"/>
                <c:pt idx="0">
                  <c:v>19091.038</c:v>
                </c:pt>
                <c:pt idx="1">
                  <c:v>5634.2974111111107</c:v>
                </c:pt>
              </c:numCache>
            </c:numRef>
          </c:val>
        </c:ser>
        <c:dLbls>
          <c:showLegendKey val="0"/>
          <c:showVal val="1"/>
          <c:showCatName val="0"/>
          <c:showSerName val="0"/>
          <c:showPercent val="0"/>
          <c:showBubbleSize val="0"/>
        </c:dLbls>
        <c:gapWidth val="150"/>
        <c:shape val="box"/>
        <c:axId val="261974272"/>
        <c:axId val="262018176"/>
        <c:axId val="0"/>
      </c:bar3DChart>
      <c:catAx>
        <c:axId val="261974272"/>
        <c:scaling>
          <c:orientation val="minMax"/>
        </c:scaling>
        <c:delete val="0"/>
        <c:axPos val="b"/>
        <c:majorTickMark val="none"/>
        <c:minorTickMark val="none"/>
        <c:tickLblPos val="nextTo"/>
        <c:txPr>
          <a:bodyPr/>
          <a:lstStyle/>
          <a:p>
            <a:pPr>
              <a:defRPr sz="900"/>
            </a:pPr>
            <a:endParaRPr lang="es-CL"/>
          </a:p>
        </c:txPr>
        <c:crossAx val="262018176"/>
        <c:crosses val="autoZero"/>
        <c:auto val="1"/>
        <c:lblAlgn val="ctr"/>
        <c:lblOffset val="100"/>
        <c:noMultiLvlLbl val="0"/>
      </c:catAx>
      <c:valAx>
        <c:axId val="262018176"/>
        <c:scaling>
          <c:orientation val="minMax"/>
        </c:scaling>
        <c:delete val="1"/>
        <c:axPos val="l"/>
        <c:numFmt formatCode="#,##0" sourceLinked="1"/>
        <c:majorTickMark val="out"/>
        <c:minorTickMark val="none"/>
        <c:tickLblPos val="nextTo"/>
        <c:crossAx val="261974272"/>
        <c:crosses val="autoZero"/>
        <c:crossBetween val="between"/>
      </c:valAx>
    </c:plotArea>
    <c:plotVisOnly val="1"/>
    <c:dispBlanksAs val="gap"/>
    <c:showDLblsOverMax val="0"/>
  </c:chart>
  <c:txPr>
    <a:bodyPr/>
    <a:lstStyle/>
    <a:p>
      <a:pPr>
        <a:defRPr sz="1000"/>
      </a:pPr>
      <a:endParaRPr lang="es-CL"/>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Volumen promedio de residuos generados  por tonelada de producto final </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invertIfNegative val="0"/>
          <c:dLbls>
            <c:dLbl>
              <c:idx val="0"/>
              <c:layout>
                <c:manualLayout>
                  <c:x val="1.1111111111111112E-2"/>
                  <c:y val="-1.3888888888888888E-2"/>
                </c:manualLayout>
              </c:layout>
              <c:showLegendKey val="0"/>
              <c:showVal val="1"/>
              <c:showCatName val="0"/>
              <c:showSerName val="0"/>
              <c:showPercent val="0"/>
              <c:showBubbleSize val="0"/>
            </c:dLbl>
            <c:dLbl>
              <c:idx val="1"/>
              <c:layout>
                <c:manualLayout>
                  <c:x val="1.6666666666666666E-2"/>
                  <c:y val="-1.3888888888888888E-2"/>
                </c:manualLayout>
              </c:layout>
              <c:showLegendKey val="0"/>
              <c:showVal val="1"/>
              <c:showCatName val="0"/>
              <c:showSerName val="0"/>
              <c:showPercent val="0"/>
              <c:showBubbleSize val="0"/>
            </c:dLbl>
            <c:dLbl>
              <c:idx val="2"/>
              <c:layout>
                <c:manualLayout>
                  <c:x val="2.5000000000000001E-2"/>
                  <c:y val="-1.8518518518518517E-2"/>
                </c:manualLayout>
              </c:layout>
              <c:showLegendKey val="0"/>
              <c:showVal val="1"/>
              <c:showCatName val="0"/>
              <c:showSerName val="0"/>
              <c:showPercent val="0"/>
              <c:showBubbleSize val="0"/>
            </c:dLbl>
            <c:dLbl>
              <c:idx val="3"/>
              <c:layout>
                <c:manualLayout>
                  <c:x val="3.0555555555555555E-2"/>
                  <c:y val="-1.3888888888888888E-2"/>
                </c:manualLayout>
              </c:layout>
              <c:showLegendKey val="0"/>
              <c:showVal val="1"/>
              <c:showCatName val="0"/>
              <c:showSerName val="0"/>
              <c:showPercent val="0"/>
              <c:showBubbleSize val="0"/>
            </c:dLbl>
            <c:txPr>
              <a:bodyPr/>
              <a:lstStyle/>
              <a:p>
                <a:pPr>
                  <a:defRPr sz="800"/>
                </a:pPr>
                <a:endParaRPr lang="es-CL"/>
              </a:p>
            </c:txPr>
            <c:showLegendKey val="0"/>
            <c:showVal val="1"/>
            <c:showCatName val="0"/>
            <c:showSerName val="0"/>
            <c:showPercent val="0"/>
            <c:showBubbleSize val="0"/>
            <c:showLeaderLines val="0"/>
          </c:dLbls>
          <c:cat>
            <c:strRef>
              <c:f>Residuos!$H$17:$K$17</c:f>
              <c:strCache>
                <c:ptCount val="4"/>
                <c:pt idx="0">
                  <c:v> Riles (M3/Ton) </c:v>
                </c:pt>
                <c:pt idx="1">
                  <c:v>Conchillas (M3/PF (Ton)</c:v>
                </c:pt>
                <c:pt idx="2">
                  <c:v>Residuos Sólidos (M3/PF (Ton)</c:v>
                </c:pt>
                <c:pt idx="3">
                  <c:v> Residuos Peligrosos (Kg/PF (Ton) </c:v>
                </c:pt>
              </c:strCache>
            </c:strRef>
          </c:cat>
          <c:val>
            <c:numRef>
              <c:f>Residuos!$H$18:$K$18</c:f>
              <c:numCache>
                <c:formatCode>_-* #,##0.0\ _€_-;\-* #,##0.0\ _€_-;_-* "-"??\ _€_-;_-@_-</c:formatCode>
                <c:ptCount val="4"/>
                <c:pt idx="0">
                  <c:v>97.369194412442639</c:v>
                </c:pt>
                <c:pt idx="1">
                  <c:v>2.345558010926025</c:v>
                </c:pt>
                <c:pt idx="2">
                  <c:v>1.8815788778017946</c:v>
                </c:pt>
                <c:pt idx="3">
                  <c:v>0.60537963121407978</c:v>
                </c:pt>
              </c:numCache>
            </c:numRef>
          </c:val>
        </c:ser>
        <c:dLbls>
          <c:showLegendKey val="0"/>
          <c:showVal val="1"/>
          <c:showCatName val="0"/>
          <c:showSerName val="0"/>
          <c:showPercent val="0"/>
          <c:showBubbleSize val="0"/>
        </c:dLbls>
        <c:gapWidth val="150"/>
        <c:shape val="box"/>
        <c:axId val="228367744"/>
        <c:axId val="231295232"/>
        <c:axId val="0"/>
      </c:bar3DChart>
      <c:catAx>
        <c:axId val="228367744"/>
        <c:scaling>
          <c:orientation val="minMax"/>
        </c:scaling>
        <c:delete val="0"/>
        <c:axPos val="l"/>
        <c:majorTickMark val="none"/>
        <c:minorTickMark val="none"/>
        <c:tickLblPos val="nextTo"/>
        <c:txPr>
          <a:bodyPr/>
          <a:lstStyle/>
          <a:p>
            <a:pPr>
              <a:defRPr sz="800"/>
            </a:pPr>
            <a:endParaRPr lang="es-CL"/>
          </a:p>
        </c:txPr>
        <c:crossAx val="231295232"/>
        <c:crosses val="autoZero"/>
        <c:auto val="1"/>
        <c:lblAlgn val="ctr"/>
        <c:lblOffset val="100"/>
        <c:noMultiLvlLbl val="0"/>
      </c:catAx>
      <c:valAx>
        <c:axId val="231295232"/>
        <c:scaling>
          <c:orientation val="minMax"/>
        </c:scaling>
        <c:delete val="1"/>
        <c:axPos val="b"/>
        <c:numFmt formatCode="_-* #,##0.0\ _€_-;\-* #,##0.0\ _€_-;_-* &quot;-&quot;??\ _€_-;_-@_-" sourceLinked="1"/>
        <c:majorTickMark val="out"/>
        <c:minorTickMark val="none"/>
        <c:tickLblPos val="nextTo"/>
        <c:crossAx val="228367744"/>
        <c:crosses val="autoZero"/>
        <c:crossBetween val="between"/>
      </c:valAx>
    </c:plotArea>
    <c:plotVisOnly val="1"/>
    <c:dispBlanksAs val="gap"/>
    <c:showDLblsOverMax val="0"/>
  </c:chart>
  <c:txPr>
    <a:bodyPr/>
    <a:lstStyle/>
    <a:p>
      <a:pPr>
        <a:defRPr sz="700"/>
      </a:pPr>
      <a:endParaRPr lang="es-CL"/>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lrMapOvr bg1="lt1" tx1="dk1" bg2="lt2" tx2="dk2" accent1="accent1" accent2="accent2" accent3="accent3" accent4="accent4" accent5="accent5" accent6="accent6" hlink="hlink" folHlink="folHlink"/>
  <c:chart>
    <c:title>
      <c:tx>
        <c:rich>
          <a:bodyPr/>
          <a:lstStyle/>
          <a:p>
            <a:pPr>
              <a:defRPr/>
            </a:pPr>
            <a:r>
              <a:rPr lang="es-CL"/>
              <a:t>Riles</a:t>
            </a:r>
            <a:r>
              <a:rPr lang="es-CL" baseline="0"/>
              <a:t>  (M</a:t>
            </a:r>
            <a:r>
              <a:rPr lang="es-CL" baseline="30000"/>
              <a:t>3</a:t>
            </a:r>
            <a:r>
              <a:rPr lang="es-CL" baseline="0"/>
              <a:t>) </a:t>
            </a:r>
            <a:endParaRPr lang="es-CL"/>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25060490389520984"/>
          <c:y val="0.28578171091445426"/>
          <c:w val="0.68382132561298692"/>
          <c:h val="0.64932153392330383"/>
        </c:manualLayout>
      </c:layout>
      <c:bar3DChart>
        <c:barDir val="bar"/>
        <c:grouping val="clustered"/>
        <c:varyColors val="0"/>
        <c:ser>
          <c:idx val="0"/>
          <c:order val="0"/>
          <c:invertIfNegative val="0"/>
          <c:dLbls>
            <c:dLbl>
              <c:idx val="0"/>
              <c:layout>
                <c:manualLayout>
                  <c:x val="1.1111111111111112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6666666666666666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5000000000000001E-2"/>
                  <c:y val="-1.851851851851851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0555555555555555E-2"/>
                  <c:y val="-1.388888888888888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Residuos!$M$17:$N$17</c:f>
              <c:strCache>
                <c:ptCount val="2"/>
                <c:pt idx="0">
                  <c:v>Riles total  (M3)</c:v>
                </c:pt>
                <c:pt idx="1">
                  <c:v>Riles promedio (M3)</c:v>
                </c:pt>
              </c:strCache>
            </c:strRef>
          </c:cat>
          <c:val>
            <c:numRef>
              <c:f>Residuos!$M$18:$N$18</c:f>
              <c:numCache>
                <c:formatCode>#,##0</c:formatCode>
                <c:ptCount val="2"/>
                <c:pt idx="0">
                  <c:v>3840249</c:v>
                </c:pt>
                <c:pt idx="1">
                  <c:v>548607</c:v>
                </c:pt>
              </c:numCache>
            </c:numRef>
          </c:val>
        </c:ser>
        <c:dLbls>
          <c:showLegendKey val="0"/>
          <c:showVal val="1"/>
          <c:showCatName val="0"/>
          <c:showSerName val="0"/>
          <c:showPercent val="0"/>
          <c:showBubbleSize val="0"/>
        </c:dLbls>
        <c:gapWidth val="150"/>
        <c:shape val="box"/>
        <c:axId val="232060032"/>
        <c:axId val="232886272"/>
        <c:axId val="0"/>
      </c:bar3DChart>
      <c:catAx>
        <c:axId val="232060032"/>
        <c:scaling>
          <c:orientation val="minMax"/>
        </c:scaling>
        <c:delete val="0"/>
        <c:axPos val="l"/>
        <c:numFmt formatCode="General" sourceLinked="0"/>
        <c:majorTickMark val="none"/>
        <c:minorTickMark val="none"/>
        <c:tickLblPos val="nextTo"/>
        <c:crossAx val="232886272"/>
        <c:crosses val="autoZero"/>
        <c:auto val="1"/>
        <c:lblAlgn val="ctr"/>
        <c:lblOffset val="100"/>
        <c:noMultiLvlLbl val="0"/>
      </c:catAx>
      <c:valAx>
        <c:axId val="232886272"/>
        <c:scaling>
          <c:orientation val="minMax"/>
        </c:scaling>
        <c:delete val="1"/>
        <c:axPos val="b"/>
        <c:numFmt formatCode="#,##0" sourceLinked="1"/>
        <c:majorTickMark val="out"/>
        <c:minorTickMark val="none"/>
        <c:tickLblPos val="nextTo"/>
        <c:crossAx val="232060032"/>
        <c:crosses val="autoZero"/>
        <c:crossBetween val="between"/>
      </c:valAx>
    </c:plotArea>
    <c:plotVisOnly val="1"/>
    <c:dispBlanksAs val="gap"/>
    <c:showDLblsOverMax val="0"/>
  </c:chart>
  <c:txPr>
    <a:bodyPr/>
    <a:lstStyle/>
    <a:p>
      <a:pPr>
        <a:defRPr sz="800"/>
      </a:pPr>
      <a:endParaRPr lang="es-CL"/>
    </a:p>
  </c:txPr>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lrMapOvr bg1="lt1" tx1="dk1" bg2="lt2" tx2="dk2" accent1="accent1" accent2="accent2" accent3="accent3" accent4="accent4" accent5="accent5" accent6="accent6" hlink="hlink" folHlink="folHlink"/>
  <c:chart>
    <c:title>
      <c:tx>
        <c:rich>
          <a:bodyPr/>
          <a:lstStyle/>
          <a:p>
            <a:pPr>
              <a:defRPr/>
            </a:pPr>
            <a:r>
              <a:rPr lang="es-CL" baseline="0"/>
              <a:t>Residuos sólidos (M</a:t>
            </a:r>
            <a:r>
              <a:rPr lang="es-CL" baseline="30000"/>
              <a:t>3</a:t>
            </a:r>
            <a:r>
              <a:rPr lang="es-CL" baseline="0"/>
              <a:t>) </a:t>
            </a:r>
            <a:endParaRPr lang="es-CL"/>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25060490389520984"/>
          <c:y val="0.28578171091445426"/>
          <c:w val="0.68382132561298692"/>
          <c:h val="0.64932153392330383"/>
        </c:manualLayout>
      </c:layout>
      <c:bar3DChart>
        <c:barDir val="bar"/>
        <c:grouping val="clustered"/>
        <c:varyColors val="0"/>
        <c:ser>
          <c:idx val="0"/>
          <c:order val="0"/>
          <c:invertIfNegative val="0"/>
          <c:dLbls>
            <c:dLbl>
              <c:idx val="0"/>
              <c:layout>
                <c:manualLayout>
                  <c:x val="1.1111111111111112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6666666666666666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5000000000000001E-2"/>
                  <c:y val="-1.851851851851851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0555555555555555E-2"/>
                  <c:y val="-1.388888888888888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Residuos!$AF$17:$AG$17</c:f>
              <c:strCache>
                <c:ptCount val="2"/>
                <c:pt idx="0">
                  <c:v>Residuos sólidos total (M3)</c:v>
                </c:pt>
                <c:pt idx="1">
                  <c:v>Residuos sólidos promedio (M3)</c:v>
                </c:pt>
              </c:strCache>
            </c:strRef>
          </c:cat>
          <c:val>
            <c:numRef>
              <c:f>Residuos!$AF$18:$AG$18</c:f>
              <c:numCache>
                <c:formatCode>#,##0</c:formatCode>
                <c:ptCount val="2"/>
                <c:pt idx="0">
                  <c:v>84811</c:v>
                </c:pt>
                <c:pt idx="1">
                  <c:v>10601.375</c:v>
                </c:pt>
              </c:numCache>
            </c:numRef>
          </c:val>
        </c:ser>
        <c:dLbls>
          <c:showLegendKey val="0"/>
          <c:showVal val="1"/>
          <c:showCatName val="0"/>
          <c:showSerName val="0"/>
          <c:showPercent val="0"/>
          <c:showBubbleSize val="0"/>
        </c:dLbls>
        <c:gapWidth val="150"/>
        <c:shape val="box"/>
        <c:axId val="245313920"/>
        <c:axId val="245331840"/>
        <c:axId val="0"/>
      </c:bar3DChart>
      <c:catAx>
        <c:axId val="245313920"/>
        <c:scaling>
          <c:orientation val="minMax"/>
        </c:scaling>
        <c:delete val="0"/>
        <c:axPos val="l"/>
        <c:numFmt formatCode="General" sourceLinked="0"/>
        <c:majorTickMark val="none"/>
        <c:minorTickMark val="none"/>
        <c:tickLblPos val="nextTo"/>
        <c:crossAx val="245331840"/>
        <c:crosses val="autoZero"/>
        <c:auto val="1"/>
        <c:lblAlgn val="ctr"/>
        <c:lblOffset val="100"/>
        <c:noMultiLvlLbl val="0"/>
      </c:catAx>
      <c:valAx>
        <c:axId val="245331840"/>
        <c:scaling>
          <c:orientation val="minMax"/>
        </c:scaling>
        <c:delete val="1"/>
        <c:axPos val="b"/>
        <c:numFmt formatCode="#,##0" sourceLinked="1"/>
        <c:majorTickMark val="out"/>
        <c:minorTickMark val="none"/>
        <c:tickLblPos val="nextTo"/>
        <c:crossAx val="245313920"/>
        <c:crosses val="autoZero"/>
        <c:crossBetween val="between"/>
      </c:valAx>
    </c:plotArea>
    <c:plotVisOnly val="1"/>
    <c:dispBlanksAs val="gap"/>
    <c:showDLblsOverMax val="0"/>
  </c:chart>
  <c:txPr>
    <a:bodyPr/>
    <a:lstStyle/>
    <a:p>
      <a:pPr>
        <a:defRPr sz="800"/>
      </a:pPr>
      <a:endParaRPr lang="es-CL"/>
    </a:p>
  </c:tx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lrMapOvr bg1="lt1" tx1="dk1" bg2="lt2" tx2="dk2" accent1="accent1" accent2="accent2" accent3="accent3" accent4="accent4" accent5="accent5" accent6="accent6" hlink="hlink" folHlink="folHlink"/>
  <c:chart>
    <c:title>
      <c:tx>
        <c:rich>
          <a:bodyPr/>
          <a:lstStyle/>
          <a:p>
            <a:pPr>
              <a:defRPr/>
            </a:pPr>
            <a:r>
              <a:rPr lang="es-CL" baseline="0"/>
              <a:t>Conchillas (M</a:t>
            </a:r>
            <a:r>
              <a:rPr lang="es-CL" baseline="30000"/>
              <a:t>3</a:t>
            </a:r>
            <a:r>
              <a:rPr lang="es-CL" baseline="0"/>
              <a:t>) </a:t>
            </a:r>
            <a:endParaRPr lang="es-CL"/>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25060490389520984"/>
          <c:y val="0.28578171091445426"/>
          <c:w val="0.68382132561298692"/>
          <c:h val="0.64932153392330383"/>
        </c:manualLayout>
      </c:layout>
      <c:bar3DChart>
        <c:barDir val="bar"/>
        <c:grouping val="clustered"/>
        <c:varyColors val="0"/>
        <c:ser>
          <c:idx val="0"/>
          <c:order val="0"/>
          <c:invertIfNegative val="0"/>
          <c:dLbls>
            <c:dLbl>
              <c:idx val="0"/>
              <c:layout>
                <c:manualLayout>
                  <c:x val="1.1111111111111112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6666666666666666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5000000000000001E-2"/>
                  <c:y val="-1.851851851851851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0555555555555555E-2"/>
                  <c:y val="-1.388888888888888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Residuos!$W$17:$X$17</c:f>
              <c:strCache>
                <c:ptCount val="2"/>
                <c:pt idx="0">
                  <c:v>Conchilla total (M3)</c:v>
                </c:pt>
                <c:pt idx="1">
                  <c:v>Conchilla promedio (M3)</c:v>
                </c:pt>
              </c:strCache>
            </c:strRef>
          </c:cat>
          <c:val>
            <c:numRef>
              <c:f>Residuos!$W$18:$X$18</c:f>
              <c:numCache>
                <c:formatCode>#,##0</c:formatCode>
                <c:ptCount val="2"/>
                <c:pt idx="0">
                  <c:v>92509</c:v>
                </c:pt>
                <c:pt idx="1">
                  <c:v>13215.571428571429</c:v>
                </c:pt>
              </c:numCache>
            </c:numRef>
          </c:val>
        </c:ser>
        <c:dLbls>
          <c:showLegendKey val="0"/>
          <c:showVal val="1"/>
          <c:showCatName val="0"/>
          <c:showSerName val="0"/>
          <c:showPercent val="0"/>
          <c:showBubbleSize val="0"/>
        </c:dLbls>
        <c:gapWidth val="150"/>
        <c:shape val="box"/>
        <c:axId val="259560576"/>
        <c:axId val="259633152"/>
        <c:axId val="0"/>
      </c:bar3DChart>
      <c:catAx>
        <c:axId val="259560576"/>
        <c:scaling>
          <c:orientation val="minMax"/>
        </c:scaling>
        <c:delete val="0"/>
        <c:axPos val="l"/>
        <c:numFmt formatCode="General" sourceLinked="0"/>
        <c:majorTickMark val="none"/>
        <c:minorTickMark val="none"/>
        <c:tickLblPos val="nextTo"/>
        <c:crossAx val="259633152"/>
        <c:crosses val="autoZero"/>
        <c:auto val="1"/>
        <c:lblAlgn val="ctr"/>
        <c:lblOffset val="100"/>
        <c:noMultiLvlLbl val="0"/>
      </c:catAx>
      <c:valAx>
        <c:axId val="259633152"/>
        <c:scaling>
          <c:orientation val="minMax"/>
        </c:scaling>
        <c:delete val="1"/>
        <c:axPos val="b"/>
        <c:numFmt formatCode="#,##0" sourceLinked="1"/>
        <c:majorTickMark val="out"/>
        <c:minorTickMark val="none"/>
        <c:tickLblPos val="nextTo"/>
        <c:crossAx val="259560576"/>
        <c:crosses val="autoZero"/>
        <c:crossBetween val="between"/>
      </c:valAx>
    </c:plotArea>
    <c:plotVisOnly val="1"/>
    <c:dispBlanksAs val="gap"/>
    <c:showDLblsOverMax val="0"/>
  </c:chart>
  <c:txPr>
    <a:bodyPr/>
    <a:lstStyle/>
    <a:p>
      <a:pPr>
        <a:defRPr sz="800"/>
      </a:pPr>
      <a:endParaRPr lang="es-CL"/>
    </a:p>
  </c:tx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lrMapOvr bg1="lt1" tx1="dk1" bg2="lt2" tx2="dk2" accent1="accent1" accent2="accent2" accent3="accent3" accent4="accent4" accent5="accent5" accent6="accent6" hlink="hlink" folHlink="folHlink"/>
  <c:chart>
    <c:title>
      <c:tx>
        <c:rich>
          <a:bodyPr/>
          <a:lstStyle/>
          <a:p>
            <a:pPr>
              <a:defRPr/>
            </a:pPr>
            <a:r>
              <a:rPr lang="es-CL" baseline="0"/>
              <a:t>Residuos Peligrosos  (Kg) </a:t>
            </a:r>
            <a:endParaRPr lang="es-CL"/>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25060490389520984"/>
          <c:y val="0.28578171091445426"/>
          <c:w val="0.68382132561298692"/>
          <c:h val="0.64932153392330383"/>
        </c:manualLayout>
      </c:layout>
      <c:bar3DChart>
        <c:barDir val="bar"/>
        <c:grouping val="clustered"/>
        <c:varyColors val="0"/>
        <c:ser>
          <c:idx val="0"/>
          <c:order val="0"/>
          <c:invertIfNegative val="0"/>
          <c:dLbls>
            <c:dLbl>
              <c:idx val="0"/>
              <c:layout>
                <c:manualLayout>
                  <c:x val="1.1111111111111112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6666666666666666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5000000000000001E-2"/>
                  <c:y val="-1.851851851851851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0555555555555555E-2"/>
                  <c:y val="-1.388888888888888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Residuos!$AO$17:$AP$17</c:f>
              <c:strCache>
                <c:ptCount val="2"/>
                <c:pt idx="0">
                  <c:v>Residuos  peligrosos total (Kg)</c:v>
                </c:pt>
                <c:pt idx="1">
                  <c:v>Promedio Residuos  peligrosos (Kg)</c:v>
                </c:pt>
              </c:strCache>
            </c:strRef>
          </c:cat>
          <c:val>
            <c:numRef>
              <c:f>Residuos!$AO$18:$AP$18</c:f>
              <c:numCache>
                <c:formatCode>#,##0</c:formatCode>
                <c:ptCount val="2"/>
                <c:pt idx="0">
                  <c:v>30698</c:v>
                </c:pt>
                <c:pt idx="1">
                  <c:v>3410.8888888888887</c:v>
                </c:pt>
              </c:numCache>
            </c:numRef>
          </c:val>
        </c:ser>
        <c:dLbls>
          <c:showLegendKey val="0"/>
          <c:showVal val="1"/>
          <c:showCatName val="0"/>
          <c:showSerName val="0"/>
          <c:showPercent val="0"/>
          <c:showBubbleSize val="0"/>
        </c:dLbls>
        <c:gapWidth val="150"/>
        <c:shape val="box"/>
        <c:axId val="260852736"/>
        <c:axId val="261171072"/>
        <c:axId val="0"/>
      </c:bar3DChart>
      <c:catAx>
        <c:axId val="260852736"/>
        <c:scaling>
          <c:orientation val="minMax"/>
        </c:scaling>
        <c:delete val="0"/>
        <c:axPos val="l"/>
        <c:numFmt formatCode="General" sourceLinked="0"/>
        <c:majorTickMark val="none"/>
        <c:minorTickMark val="none"/>
        <c:tickLblPos val="nextTo"/>
        <c:crossAx val="261171072"/>
        <c:crosses val="autoZero"/>
        <c:auto val="1"/>
        <c:lblAlgn val="ctr"/>
        <c:lblOffset val="100"/>
        <c:noMultiLvlLbl val="0"/>
      </c:catAx>
      <c:valAx>
        <c:axId val="261171072"/>
        <c:scaling>
          <c:orientation val="minMax"/>
        </c:scaling>
        <c:delete val="1"/>
        <c:axPos val="b"/>
        <c:numFmt formatCode="#,##0" sourceLinked="1"/>
        <c:majorTickMark val="out"/>
        <c:minorTickMark val="none"/>
        <c:tickLblPos val="nextTo"/>
        <c:crossAx val="260852736"/>
        <c:crosses val="autoZero"/>
        <c:crossBetween val="between"/>
      </c:valAx>
    </c:plotArea>
    <c:plotVisOnly val="1"/>
    <c:dispBlanksAs val="gap"/>
    <c:showDLblsOverMax val="0"/>
  </c:chart>
  <c:txPr>
    <a:bodyPr/>
    <a:lstStyle/>
    <a:p>
      <a:pPr>
        <a:defRPr sz="800"/>
      </a:pPr>
      <a:endParaRPr lang="es-CL"/>
    </a:p>
  </c:txPr>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1000"/>
            </a:pPr>
            <a:r>
              <a:rPr lang="es-CL" sz="1000"/>
              <a:t>Energía  por</a:t>
            </a:r>
            <a:r>
              <a:rPr lang="es-CL" sz="1000" baseline="0"/>
              <a:t> tonelada de producto final (MJ/Ton)</a:t>
            </a:r>
            <a:endParaRPr lang="es-CL" sz="100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3.6111111111111108E-2"/>
          <c:y val="0.16298629337999415"/>
          <c:w val="0.93888888888888888"/>
          <c:h val="0.62191309419655871"/>
        </c:manualLayout>
      </c:layout>
      <c:bar3DChart>
        <c:barDir val="col"/>
        <c:grouping val="clustered"/>
        <c:varyColors val="0"/>
        <c:ser>
          <c:idx val="0"/>
          <c:order val="0"/>
          <c:invertIfNegative val="0"/>
          <c:dLbls>
            <c:dLbl>
              <c:idx val="0"/>
              <c:layout>
                <c:manualLayout>
                  <c:x val="1.6666666666666666E-2"/>
                  <c:y val="-1.3888888888888888E-2"/>
                </c:manualLayout>
              </c:layout>
              <c:showLegendKey val="0"/>
              <c:showVal val="1"/>
              <c:showCatName val="0"/>
              <c:showSerName val="0"/>
              <c:showPercent val="0"/>
              <c:showBubbleSize val="0"/>
            </c:dLbl>
            <c:dLbl>
              <c:idx val="1"/>
              <c:layout>
                <c:manualLayout>
                  <c:x val="1.9444444444444497E-2"/>
                  <c:y val="-1.3888888888888888E-2"/>
                </c:manualLayout>
              </c:layout>
              <c:showLegendKey val="0"/>
              <c:showVal val="1"/>
              <c:showCatName val="0"/>
              <c:showSerName val="0"/>
              <c:showPercent val="0"/>
              <c:showBubbleSize val="0"/>
            </c:dLbl>
            <c:dLbl>
              <c:idx val="2"/>
              <c:layout>
                <c:manualLayout>
                  <c:x val="2.2222222222222223E-2"/>
                  <c:y val="-1.3888888888888888E-2"/>
                </c:manualLayout>
              </c:layout>
              <c:showLegendKey val="0"/>
              <c:showVal val="1"/>
              <c:showCatName val="0"/>
              <c:showSerName val="0"/>
              <c:showPercent val="0"/>
              <c:showBubbleSize val="0"/>
            </c:dLbl>
            <c:dLbl>
              <c:idx val="3"/>
              <c:layout>
                <c:manualLayout>
                  <c:x val="1.6666666666666566E-2"/>
                  <c:y val="-1.8518518518518517E-2"/>
                </c:manualLayout>
              </c:layout>
              <c:showLegendKey val="0"/>
              <c:showVal val="1"/>
              <c:showCatName val="0"/>
              <c:showSerName val="0"/>
              <c:showPercent val="0"/>
              <c:showBubbleSize val="0"/>
            </c:dLbl>
            <c:txPr>
              <a:bodyPr/>
              <a:lstStyle/>
              <a:p>
                <a:pPr>
                  <a:defRPr sz="900"/>
                </a:pPr>
                <a:endParaRPr lang="es-CL"/>
              </a:p>
            </c:txPr>
            <c:showLegendKey val="0"/>
            <c:showVal val="1"/>
            <c:showCatName val="0"/>
            <c:showSerName val="0"/>
            <c:showPercent val="0"/>
            <c:showBubbleSize val="0"/>
            <c:showLeaderLines val="0"/>
          </c:dLbls>
          <c:cat>
            <c:strRef>
              <c:f>'Consumos promedios'!$U$22:$X$22</c:f>
              <c:strCache>
                <c:ptCount val="4"/>
                <c:pt idx="0">
                  <c:v>Gas (MJ/Ton)</c:v>
                </c:pt>
                <c:pt idx="1">
                  <c:v>Energía Eléctrica (MJ/Ton)</c:v>
                </c:pt>
                <c:pt idx="2">
                  <c:v>Petróleo Diesel (MJ/Ton)</c:v>
                </c:pt>
                <c:pt idx="3">
                  <c:v>Leña (MJ/Ton)</c:v>
                </c:pt>
              </c:strCache>
            </c:strRef>
          </c:cat>
          <c:val>
            <c:numRef>
              <c:f>'Consumos promedios'!$U$23:$X$23</c:f>
              <c:numCache>
                <c:formatCode>#,##0</c:formatCode>
                <c:ptCount val="4"/>
                <c:pt idx="0">
                  <c:v>1029</c:v>
                </c:pt>
                <c:pt idx="1">
                  <c:v>3067</c:v>
                </c:pt>
                <c:pt idx="2">
                  <c:v>4250</c:v>
                </c:pt>
                <c:pt idx="3">
                  <c:v>13300</c:v>
                </c:pt>
              </c:numCache>
            </c:numRef>
          </c:val>
        </c:ser>
        <c:dLbls>
          <c:showLegendKey val="0"/>
          <c:showVal val="1"/>
          <c:showCatName val="0"/>
          <c:showSerName val="0"/>
          <c:showPercent val="0"/>
          <c:showBubbleSize val="0"/>
        </c:dLbls>
        <c:gapWidth val="150"/>
        <c:shape val="box"/>
        <c:axId val="261198976"/>
        <c:axId val="261832704"/>
        <c:axId val="0"/>
      </c:bar3DChart>
      <c:catAx>
        <c:axId val="261198976"/>
        <c:scaling>
          <c:orientation val="minMax"/>
        </c:scaling>
        <c:delete val="0"/>
        <c:axPos val="b"/>
        <c:majorTickMark val="none"/>
        <c:minorTickMark val="none"/>
        <c:tickLblPos val="nextTo"/>
        <c:crossAx val="261832704"/>
        <c:crosses val="autoZero"/>
        <c:auto val="1"/>
        <c:lblAlgn val="ctr"/>
        <c:lblOffset val="100"/>
        <c:noMultiLvlLbl val="0"/>
      </c:catAx>
      <c:valAx>
        <c:axId val="261832704"/>
        <c:scaling>
          <c:orientation val="minMax"/>
        </c:scaling>
        <c:delete val="1"/>
        <c:axPos val="l"/>
        <c:numFmt formatCode="#,##0" sourceLinked="1"/>
        <c:majorTickMark val="out"/>
        <c:minorTickMark val="none"/>
        <c:tickLblPos val="nextTo"/>
        <c:crossAx val="261198976"/>
        <c:crosses val="autoZero"/>
        <c:crossBetween val="between"/>
      </c:valAx>
    </c:plotArea>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lrMapOvr bg1="lt1" tx1="dk1" bg2="lt2" tx2="dk2" accent1="accent1" accent2="accent2" accent3="accent3" accent4="accent4" accent5="accent5" accent6="accent6" hlink="hlink" folHlink="folHlink"/>
  <c:chart>
    <c:title>
      <c:tx>
        <c:rich>
          <a:bodyPr/>
          <a:lstStyle/>
          <a:p>
            <a:pPr>
              <a:defRPr sz="1000"/>
            </a:pPr>
            <a:r>
              <a:rPr lang="es-ES" sz="1000"/>
              <a:t>Gestión</a:t>
            </a:r>
            <a:r>
              <a:rPr lang="es-ES" sz="1000" baseline="0"/>
              <a:t> en Eficiencia Energética (%)</a:t>
            </a:r>
            <a:endParaRPr lang="es-ES" sz="1000"/>
          </a:p>
        </c:rich>
      </c:tx>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Residuos!$B$52</c:f>
              <c:strCache>
                <c:ptCount val="1"/>
                <c:pt idx="0">
                  <c:v>SI</c:v>
                </c:pt>
              </c:strCache>
            </c:strRef>
          </c:tx>
          <c:invertIfNegative val="0"/>
          <c:dLbls>
            <c:spPr>
              <a:noFill/>
              <a:ln>
                <a:noFill/>
              </a:ln>
              <a:effectLst/>
            </c:spPr>
            <c:txPr>
              <a:bodyPr/>
              <a:lstStyle/>
              <a:p>
                <a:pPr>
                  <a:defRPr sz="800"/>
                </a:pPr>
                <a:endParaRPr lang="es-C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Residuos!$A$53:$A$57</c:f>
              <c:strCache>
                <c:ptCount val="5"/>
                <c:pt idx="0">
                  <c:v>Utiliza sistemas de iluminación de bajo consumo</c:v>
                </c:pt>
                <c:pt idx="1">
                  <c:v>Mantiene un registro del consumo de energía en el proceso/ actividad y áreas administrativas</c:v>
                </c:pt>
                <c:pt idx="2">
                  <c:v>Se han implementado programas de eficiencia energética en la instalación</c:v>
                </c:pt>
                <c:pt idx="3">
                  <c:v>Las medidas implementadas han permitido reducir los consumos de energía</c:v>
                </c:pt>
                <c:pt idx="4">
                  <c:v>Utiliza fuentes de energía no convencionales</c:v>
                </c:pt>
              </c:strCache>
            </c:strRef>
          </c:cat>
          <c:val>
            <c:numRef>
              <c:f>Residuos!$B$53:$B$57</c:f>
              <c:numCache>
                <c:formatCode>0%</c:formatCode>
                <c:ptCount val="5"/>
                <c:pt idx="0">
                  <c:v>0.77777777777777779</c:v>
                </c:pt>
                <c:pt idx="1">
                  <c:v>0.77777777777777801</c:v>
                </c:pt>
                <c:pt idx="2">
                  <c:v>0.33333333333333298</c:v>
                </c:pt>
                <c:pt idx="3">
                  <c:v>0.33333333333333298</c:v>
                </c:pt>
                <c:pt idx="4">
                  <c:v>0.1111111111111111</c:v>
                </c:pt>
              </c:numCache>
            </c:numRef>
          </c:val>
        </c:ser>
        <c:ser>
          <c:idx val="1"/>
          <c:order val="1"/>
          <c:tx>
            <c:strRef>
              <c:f>Residuos!$C$52</c:f>
              <c:strCache>
                <c:ptCount val="1"/>
                <c:pt idx="0">
                  <c:v>NO</c:v>
                </c:pt>
              </c:strCache>
            </c:strRef>
          </c:tx>
          <c:invertIfNegative val="0"/>
          <c:dLbls>
            <c:spPr>
              <a:noFill/>
              <a:ln>
                <a:noFill/>
              </a:ln>
              <a:effectLst/>
            </c:spPr>
            <c:txPr>
              <a:bodyPr/>
              <a:lstStyle/>
              <a:p>
                <a:pPr>
                  <a:defRPr sz="800"/>
                </a:pPr>
                <a:endParaRPr lang="es-C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Residuos!$A$53:$A$57</c:f>
              <c:strCache>
                <c:ptCount val="5"/>
                <c:pt idx="0">
                  <c:v>Utiliza sistemas de iluminación de bajo consumo</c:v>
                </c:pt>
                <c:pt idx="1">
                  <c:v>Mantiene un registro del consumo de energía en el proceso/ actividad y áreas administrativas</c:v>
                </c:pt>
                <c:pt idx="2">
                  <c:v>Se han implementado programas de eficiencia energética en la instalación</c:v>
                </c:pt>
                <c:pt idx="3">
                  <c:v>Las medidas implementadas han permitido reducir los consumos de energía</c:v>
                </c:pt>
                <c:pt idx="4">
                  <c:v>Utiliza fuentes de energía no convencionales</c:v>
                </c:pt>
              </c:strCache>
            </c:strRef>
          </c:cat>
          <c:val>
            <c:numRef>
              <c:f>Residuos!$C$53:$C$57</c:f>
              <c:numCache>
                <c:formatCode>0%</c:formatCode>
                <c:ptCount val="5"/>
                <c:pt idx="0">
                  <c:v>0.22222222222222199</c:v>
                </c:pt>
                <c:pt idx="1">
                  <c:v>0.22222222222222199</c:v>
                </c:pt>
                <c:pt idx="2">
                  <c:v>0.66666666666666663</c:v>
                </c:pt>
                <c:pt idx="4">
                  <c:v>0.88888888888888884</c:v>
                </c:pt>
              </c:numCache>
            </c:numRef>
          </c:val>
        </c:ser>
        <c:ser>
          <c:idx val="2"/>
          <c:order val="2"/>
          <c:tx>
            <c:strRef>
              <c:f>Residuos!$D$52</c:f>
              <c:strCache>
                <c:ptCount val="1"/>
                <c:pt idx="0">
                  <c:v>NO APLICA</c:v>
                </c:pt>
              </c:strCache>
            </c:strRef>
          </c:tx>
          <c:invertIfNegative val="0"/>
          <c:dLbls>
            <c:spPr>
              <a:noFill/>
              <a:ln>
                <a:noFill/>
              </a:ln>
              <a:effectLst/>
            </c:spPr>
            <c:txPr>
              <a:bodyPr/>
              <a:lstStyle/>
              <a:p>
                <a:pPr>
                  <a:defRPr sz="800"/>
                </a:pPr>
                <a:endParaRPr lang="es-C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Residuos!$A$53:$A$57</c:f>
              <c:strCache>
                <c:ptCount val="5"/>
                <c:pt idx="0">
                  <c:v>Utiliza sistemas de iluminación de bajo consumo</c:v>
                </c:pt>
                <c:pt idx="1">
                  <c:v>Mantiene un registro del consumo de energía en el proceso/ actividad y áreas administrativas</c:v>
                </c:pt>
                <c:pt idx="2">
                  <c:v>Se han implementado programas de eficiencia energética en la instalación</c:v>
                </c:pt>
                <c:pt idx="3">
                  <c:v>Las medidas implementadas han permitido reducir los consumos de energía</c:v>
                </c:pt>
                <c:pt idx="4">
                  <c:v>Utiliza fuentes de energía no convencionales</c:v>
                </c:pt>
              </c:strCache>
            </c:strRef>
          </c:cat>
          <c:val>
            <c:numRef>
              <c:f>Residuos!$D$53:$D$57</c:f>
              <c:numCache>
                <c:formatCode>General</c:formatCode>
                <c:ptCount val="5"/>
                <c:pt idx="3" formatCode="0%">
                  <c:v>0.66666666666666696</c:v>
                </c:pt>
              </c:numCache>
            </c:numRef>
          </c:val>
        </c:ser>
        <c:dLbls>
          <c:showLegendKey val="0"/>
          <c:showVal val="1"/>
          <c:showCatName val="0"/>
          <c:showSerName val="0"/>
          <c:showPercent val="0"/>
          <c:showBubbleSize val="0"/>
        </c:dLbls>
        <c:gapWidth val="95"/>
        <c:gapDepth val="95"/>
        <c:shape val="box"/>
        <c:axId val="261855872"/>
        <c:axId val="261910912"/>
        <c:axId val="0"/>
      </c:bar3DChart>
      <c:catAx>
        <c:axId val="261855872"/>
        <c:scaling>
          <c:orientation val="maxMin"/>
        </c:scaling>
        <c:delete val="0"/>
        <c:axPos val="l"/>
        <c:numFmt formatCode="General" sourceLinked="0"/>
        <c:majorTickMark val="none"/>
        <c:minorTickMark val="none"/>
        <c:tickLblPos val="nextTo"/>
        <c:txPr>
          <a:bodyPr/>
          <a:lstStyle/>
          <a:p>
            <a:pPr>
              <a:defRPr sz="800"/>
            </a:pPr>
            <a:endParaRPr lang="es-CL"/>
          </a:p>
        </c:txPr>
        <c:crossAx val="261910912"/>
        <c:crosses val="autoZero"/>
        <c:auto val="1"/>
        <c:lblAlgn val="ctr"/>
        <c:lblOffset val="100"/>
        <c:noMultiLvlLbl val="0"/>
      </c:catAx>
      <c:valAx>
        <c:axId val="261910912"/>
        <c:scaling>
          <c:orientation val="minMax"/>
        </c:scaling>
        <c:delete val="1"/>
        <c:axPos val="t"/>
        <c:numFmt formatCode="0%" sourceLinked="1"/>
        <c:majorTickMark val="out"/>
        <c:minorTickMark val="none"/>
        <c:tickLblPos val="nextTo"/>
        <c:crossAx val="261855872"/>
        <c:crosses val="autoZero"/>
        <c:crossBetween val="between"/>
      </c:valAx>
    </c:plotArea>
    <c:legend>
      <c:legendPos val="t"/>
      <c:overlay val="0"/>
      <c:txPr>
        <a:bodyPr/>
        <a:lstStyle/>
        <a:p>
          <a:pPr>
            <a:defRPr sz="800"/>
          </a:pPr>
          <a:endParaRPr lang="es-CL"/>
        </a:p>
      </c:txPr>
    </c:legend>
    <c:plotVisOnly val="1"/>
    <c:dispBlanksAs val="gap"/>
    <c:showDLblsOverMax val="0"/>
  </c:chart>
  <c:externalData r:id="rId2">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1200" baseline="-25000"/>
            </a:pPr>
            <a:r>
              <a:rPr lang="es-ES" sz="1200" baseline="-25000"/>
              <a:t>Valorización de Residuos (%)</a:t>
            </a:r>
          </a:p>
        </c:rich>
      </c:tx>
      <c:layout>
        <c:manualLayout>
          <c:xMode val="edge"/>
          <c:yMode val="edge"/>
          <c:x val="0.37627157366598718"/>
          <c:y val="3.6327638975929938E-6"/>
        </c:manualLayout>
      </c:layout>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Residuos!$B$81</c:f>
              <c:strCache>
                <c:ptCount val="1"/>
                <c:pt idx="0">
                  <c:v>SI</c:v>
                </c:pt>
              </c:strCache>
            </c:strRef>
          </c:tx>
          <c:invertIfNegative val="0"/>
          <c:dLbls>
            <c:spPr>
              <a:noFill/>
              <a:ln>
                <a:noFill/>
              </a:ln>
              <a:effectLst/>
            </c:spPr>
            <c:txPr>
              <a:bodyPr/>
              <a:lstStyle/>
              <a:p>
                <a:pPr>
                  <a:defRPr sz="800"/>
                </a:pPr>
                <a:endParaRPr lang="es-C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Residuos!$A$82:$A$84</c:f>
              <c:strCache>
                <c:ptCount val="3"/>
                <c:pt idx="0">
                  <c:v>Se reutiliza algún residuo internamente</c:v>
                </c:pt>
                <c:pt idx="1">
                  <c:v>Se valoriza algún residuo fuera de la instalación. Indique como.</c:v>
                </c:pt>
                <c:pt idx="2">
                  <c:v>Existen propuestas para valorizar otros residuos, cuáles</c:v>
                </c:pt>
              </c:strCache>
            </c:strRef>
          </c:cat>
          <c:val>
            <c:numRef>
              <c:f>Residuos!$B$82:$B$84</c:f>
              <c:numCache>
                <c:formatCode>0%</c:formatCode>
                <c:ptCount val="3"/>
                <c:pt idx="0">
                  <c:v>0.22222222222222221</c:v>
                </c:pt>
                <c:pt idx="1">
                  <c:v>0.88888888888888884</c:v>
                </c:pt>
                <c:pt idx="2">
                  <c:v>0.33333333333333331</c:v>
                </c:pt>
              </c:numCache>
            </c:numRef>
          </c:val>
        </c:ser>
        <c:ser>
          <c:idx val="1"/>
          <c:order val="1"/>
          <c:tx>
            <c:strRef>
              <c:f>Residuos!$C$81</c:f>
              <c:strCache>
                <c:ptCount val="1"/>
                <c:pt idx="0">
                  <c:v>NO</c:v>
                </c:pt>
              </c:strCache>
            </c:strRef>
          </c:tx>
          <c:invertIfNegative val="0"/>
          <c:dLbls>
            <c:spPr>
              <a:noFill/>
              <a:ln>
                <a:noFill/>
              </a:ln>
              <a:effectLst/>
            </c:spPr>
            <c:txPr>
              <a:bodyPr/>
              <a:lstStyle/>
              <a:p>
                <a:pPr>
                  <a:defRPr sz="800"/>
                </a:pPr>
                <a:endParaRPr lang="es-C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Residuos!$A$82:$A$84</c:f>
              <c:strCache>
                <c:ptCount val="3"/>
                <c:pt idx="0">
                  <c:v>Se reutiliza algún residuo internamente</c:v>
                </c:pt>
                <c:pt idx="1">
                  <c:v>Se valoriza algún residuo fuera de la instalación. Indique como.</c:v>
                </c:pt>
                <c:pt idx="2">
                  <c:v>Existen propuestas para valorizar otros residuos, cuáles</c:v>
                </c:pt>
              </c:strCache>
            </c:strRef>
          </c:cat>
          <c:val>
            <c:numRef>
              <c:f>Residuos!$C$82:$C$84</c:f>
              <c:numCache>
                <c:formatCode>0%</c:formatCode>
                <c:ptCount val="3"/>
                <c:pt idx="0">
                  <c:v>0.77777777777777779</c:v>
                </c:pt>
                <c:pt idx="1">
                  <c:v>0.11111111111111099</c:v>
                </c:pt>
                <c:pt idx="2">
                  <c:v>0.66666666666666696</c:v>
                </c:pt>
              </c:numCache>
            </c:numRef>
          </c:val>
        </c:ser>
        <c:dLbls>
          <c:showLegendKey val="0"/>
          <c:showVal val="1"/>
          <c:showCatName val="0"/>
          <c:showSerName val="0"/>
          <c:showPercent val="0"/>
          <c:showBubbleSize val="0"/>
        </c:dLbls>
        <c:gapWidth val="95"/>
        <c:gapDepth val="95"/>
        <c:shape val="box"/>
        <c:axId val="261933312"/>
        <c:axId val="261967872"/>
        <c:axId val="0"/>
      </c:bar3DChart>
      <c:catAx>
        <c:axId val="261933312"/>
        <c:scaling>
          <c:orientation val="maxMin"/>
        </c:scaling>
        <c:delete val="0"/>
        <c:axPos val="l"/>
        <c:numFmt formatCode="General" sourceLinked="0"/>
        <c:majorTickMark val="none"/>
        <c:minorTickMark val="none"/>
        <c:tickLblPos val="nextTo"/>
        <c:txPr>
          <a:bodyPr/>
          <a:lstStyle/>
          <a:p>
            <a:pPr>
              <a:defRPr sz="800"/>
            </a:pPr>
            <a:endParaRPr lang="es-CL"/>
          </a:p>
        </c:txPr>
        <c:crossAx val="261967872"/>
        <c:crosses val="autoZero"/>
        <c:auto val="1"/>
        <c:lblAlgn val="ctr"/>
        <c:lblOffset val="100"/>
        <c:noMultiLvlLbl val="0"/>
      </c:catAx>
      <c:valAx>
        <c:axId val="261967872"/>
        <c:scaling>
          <c:orientation val="minMax"/>
        </c:scaling>
        <c:delete val="1"/>
        <c:axPos val="t"/>
        <c:numFmt formatCode="0%" sourceLinked="1"/>
        <c:majorTickMark val="out"/>
        <c:minorTickMark val="none"/>
        <c:tickLblPos val="nextTo"/>
        <c:crossAx val="261933312"/>
        <c:crosses val="autoZero"/>
        <c:crossBetween val="between"/>
      </c:valAx>
    </c:plotArea>
    <c:legend>
      <c:legendPos val="t"/>
      <c:overlay val="0"/>
      <c:txPr>
        <a:bodyPr/>
        <a:lstStyle/>
        <a:p>
          <a:pPr>
            <a:defRPr sz="800"/>
          </a:pPr>
          <a:endParaRPr lang="es-CL"/>
        </a:p>
      </c:txPr>
    </c:legend>
    <c:plotVisOnly val="1"/>
    <c:dispBlanksAs val="gap"/>
    <c:showDLblsOverMax val="0"/>
  </c:chart>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1000"/>
            </a:pPr>
            <a:r>
              <a:rPr lang="es-ES" sz="1000"/>
              <a:t>Gestión Emisiones Atmosfericas (%)</a:t>
            </a:r>
          </a:p>
        </c:rich>
      </c:tx>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'Emisiones '!$Q$27</c:f>
              <c:strCache>
                <c:ptCount val="1"/>
                <c:pt idx="0">
                  <c:v>%SI</c:v>
                </c:pt>
              </c:strCache>
            </c:strRef>
          </c:tx>
          <c:invertIfNegative val="0"/>
          <c:dLbls>
            <c:dLbl>
              <c:idx val="6"/>
              <c:delete val="1"/>
              <c:extLst>
                <c:ext xmlns:c15="http://schemas.microsoft.com/office/drawing/2012/chart" uri="{CE6537A1-D6FC-4f65-9D91-7224C49458BB}"/>
              </c:extLst>
            </c:dLbl>
            <c:spPr>
              <a:noFill/>
              <a:ln>
                <a:noFill/>
              </a:ln>
              <a:effectLst/>
            </c:spPr>
            <c:txPr>
              <a:bodyPr/>
              <a:lstStyle/>
              <a:p>
                <a:pPr>
                  <a:defRPr sz="800"/>
                </a:pPr>
                <a:endParaRPr lang="es-C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'Emisiones '!$B$28:$B$38</c:f>
              <c:strCache>
                <c:ptCount val="11"/>
                <c:pt idx="0">
                  <c:v>Genera emisiones atmosféricas</c:v>
                </c:pt>
                <c:pt idx="1">
                  <c:v>Cuenta con una caracterización de sus emisiones</c:v>
                </c:pt>
                <c:pt idx="2">
                  <c:v>Conoce la normativa ambiental aplicable a emisiones atmosféricas</c:v>
                </c:pt>
                <c:pt idx="3">
                  <c:v>Cumple la normativa ambiental aplicable a emisiones atmosféricas</c:v>
                </c:pt>
                <c:pt idx="4">
                  <c:v>Realiza la declaración de emisiones exigida en el DS 138 “Establece la Obligación de Declarar Emisiones”</c:v>
                </c:pt>
                <c:pt idx="5">
                  <c:v>Ha analizado el incluir alternativas de tecnologías de tratamiento. </c:v>
                </c:pt>
                <c:pt idx="6">
                  <c:v>Ha implementado tecnologías de tratamiento</c:v>
                </c:pt>
                <c:pt idx="7">
                  <c:v>Cuenta con sistema de registro de emisiones.</c:v>
                </c:pt>
                <c:pt idx="8">
                  <c:v>Cuenta con procedimientos para el control o tratamiento de emisiones.</c:v>
                </c:pt>
                <c:pt idx="9">
                  <c:v>Se utilizan materias primas o insumos que generen menos emisiones de GEI</c:v>
                </c:pt>
                <c:pt idx="10">
                  <c:v>Se han mejorado etapas del proceso con el fin de generar menos emisiones gases efecto invernadero</c:v>
                </c:pt>
              </c:strCache>
            </c:strRef>
          </c:cat>
          <c:val>
            <c:numRef>
              <c:f>'Emisiones '!$Q$28:$Q$38</c:f>
              <c:numCache>
                <c:formatCode>0%</c:formatCode>
                <c:ptCount val="11"/>
                <c:pt idx="0">
                  <c:v>1</c:v>
                </c:pt>
                <c:pt idx="1">
                  <c:v>0.66666666666666663</c:v>
                </c:pt>
                <c:pt idx="2">
                  <c:v>0.88888888888888884</c:v>
                </c:pt>
                <c:pt idx="3">
                  <c:v>0.88888888888888884</c:v>
                </c:pt>
                <c:pt idx="4">
                  <c:v>1</c:v>
                </c:pt>
                <c:pt idx="5">
                  <c:v>0.1111111111111111</c:v>
                </c:pt>
                <c:pt idx="6">
                  <c:v>0</c:v>
                </c:pt>
                <c:pt idx="7">
                  <c:v>0.375</c:v>
                </c:pt>
                <c:pt idx="8">
                  <c:v>0.88888888888888884</c:v>
                </c:pt>
                <c:pt idx="9">
                  <c:v>0.22222222222222221</c:v>
                </c:pt>
                <c:pt idx="10">
                  <c:v>0.33333333333333331</c:v>
                </c:pt>
              </c:numCache>
            </c:numRef>
          </c:val>
        </c:ser>
        <c:ser>
          <c:idx val="1"/>
          <c:order val="1"/>
          <c:tx>
            <c:strRef>
              <c:f>'Emisiones '!$R$27</c:f>
              <c:strCache>
                <c:ptCount val="1"/>
                <c:pt idx="0">
                  <c:v>%NO</c:v>
                </c:pt>
              </c:strCache>
            </c:strRef>
          </c:tx>
          <c:invertIfNegative val="0"/>
          <c:dLbls>
            <c:dLbl>
              <c:idx val="0"/>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8"/>
              <c:delete val="1"/>
              <c:extLst>
                <c:ext xmlns:c15="http://schemas.microsoft.com/office/drawing/2012/chart" uri="{CE6537A1-D6FC-4f65-9D91-7224C49458BB}"/>
              </c:extLst>
            </c:dLbl>
            <c:spPr>
              <a:noFill/>
              <a:ln>
                <a:noFill/>
              </a:ln>
              <a:effectLst/>
            </c:spPr>
            <c:txPr>
              <a:bodyPr/>
              <a:lstStyle/>
              <a:p>
                <a:pPr>
                  <a:defRPr sz="800"/>
                </a:pPr>
                <a:endParaRPr lang="es-C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'Emisiones '!$B$28:$B$38</c:f>
              <c:strCache>
                <c:ptCount val="11"/>
                <c:pt idx="0">
                  <c:v>Genera emisiones atmosféricas</c:v>
                </c:pt>
                <c:pt idx="1">
                  <c:v>Cuenta con una caracterización de sus emisiones</c:v>
                </c:pt>
                <c:pt idx="2">
                  <c:v>Conoce la normativa ambiental aplicable a emisiones atmosféricas</c:v>
                </c:pt>
                <c:pt idx="3">
                  <c:v>Cumple la normativa ambiental aplicable a emisiones atmosféricas</c:v>
                </c:pt>
                <c:pt idx="4">
                  <c:v>Realiza la declaración de emisiones exigida en el DS 138 “Establece la Obligación de Declarar Emisiones”</c:v>
                </c:pt>
                <c:pt idx="5">
                  <c:v>Ha analizado el incluir alternativas de tecnologías de tratamiento. </c:v>
                </c:pt>
                <c:pt idx="6">
                  <c:v>Ha implementado tecnologías de tratamiento</c:v>
                </c:pt>
                <c:pt idx="7">
                  <c:v>Cuenta con sistema de registro de emisiones.</c:v>
                </c:pt>
                <c:pt idx="8">
                  <c:v>Cuenta con procedimientos para el control o tratamiento de emisiones.</c:v>
                </c:pt>
                <c:pt idx="9">
                  <c:v>Se utilizan materias primas o insumos que generen menos emisiones de GEI</c:v>
                </c:pt>
                <c:pt idx="10">
                  <c:v>Se han mejorado etapas del proceso con el fin de generar menos emisiones gases efecto invernadero</c:v>
                </c:pt>
              </c:strCache>
            </c:strRef>
          </c:cat>
          <c:val>
            <c:numRef>
              <c:f>'Emisiones '!$R$28:$R$38</c:f>
              <c:numCache>
                <c:formatCode>0%</c:formatCode>
                <c:ptCount val="11"/>
                <c:pt idx="0">
                  <c:v>0</c:v>
                </c:pt>
                <c:pt idx="1">
                  <c:v>0.33333333333333331</c:v>
                </c:pt>
                <c:pt idx="2">
                  <c:v>0.1111111111111111</c:v>
                </c:pt>
                <c:pt idx="3">
                  <c:v>0</c:v>
                </c:pt>
                <c:pt idx="4">
                  <c:v>0</c:v>
                </c:pt>
                <c:pt idx="5">
                  <c:v>0.88888888888888884</c:v>
                </c:pt>
                <c:pt idx="6">
                  <c:v>1</c:v>
                </c:pt>
                <c:pt idx="7">
                  <c:v>0.5</c:v>
                </c:pt>
                <c:pt idx="8">
                  <c:v>0</c:v>
                </c:pt>
                <c:pt idx="9">
                  <c:v>0.66666666666666663</c:v>
                </c:pt>
                <c:pt idx="10">
                  <c:v>0.55555555555555558</c:v>
                </c:pt>
              </c:numCache>
            </c:numRef>
          </c:val>
        </c:ser>
        <c:ser>
          <c:idx val="2"/>
          <c:order val="2"/>
          <c:tx>
            <c:strRef>
              <c:f>'Emisiones '!$S$27</c:f>
              <c:strCache>
                <c:ptCount val="1"/>
                <c:pt idx="0">
                  <c:v>%NO SABE</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dLbl>
              <c:idx val="6"/>
              <c:delete val="1"/>
              <c:extLst>
                <c:ext xmlns:c15="http://schemas.microsoft.com/office/drawing/2012/chart" uri="{CE6537A1-D6FC-4f65-9D91-7224C49458BB}"/>
              </c:extLst>
            </c:dLbl>
            <c:dLbl>
              <c:idx val="7"/>
              <c:delete val="1"/>
              <c:extLst>
                <c:ext xmlns:c15="http://schemas.microsoft.com/office/drawing/2012/chart" uri="{CE6537A1-D6FC-4f65-9D91-7224C49458BB}"/>
              </c:extLst>
            </c:dLbl>
            <c:dLbl>
              <c:idx val="8"/>
              <c:delete val="1"/>
              <c:extLst>
                <c:ext xmlns:c15="http://schemas.microsoft.com/office/drawing/2012/chart" uri="{CE6537A1-D6FC-4f65-9D91-7224C49458BB}"/>
              </c:extLst>
            </c:dLbl>
            <c:dLbl>
              <c:idx val="10"/>
              <c:delete val="1"/>
              <c:extLst>
                <c:ext xmlns:c15="http://schemas.microsoft.com/office/drawing/2012/chart" uri="{CE6537A1-D6FC-4f65-9D91-7224C49458BB}"/>
              </c:extLst>
            </c:dLbl>
            <c:spPr>
              <a:noFill/>
              <a:ln>
                <a:noFill/>
              </a:ln>
              <a:effectLst/>
            </c:spPr>
            <c:txPr>
              <a:bodyPr/>
              <a:lstStyle/>
              <a:p>
                <a:pPr>
                  <a:defRPr sz="800"/>
                </a:pPr>
                <a:endParaRPr lang="es-C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'Emisiones '!$B$28:$B$38</c:f>
              <c:strCache>
                <c:ptCount val="11"/>
                <c:pt idx="0">
                  <c:v>Genera emisiones atmosféricas</c:v>
                </c:pt>
                <c:pt idx="1">
                  <c:v>Cuenta con una caracterización de sus emisiones</c:v>
                </c:pt>
                <c:pt idx="2">
                  <c:v>Conoce la normativa ambiental aplicable a emisiones atmosféricas</c:v>
                </c:pt>
                <c:pt idx="3">
                  <c:v>Cumple la normativa ambiental aplicable a emisiones atmosféricas</c:v>
                </c:pt>
                <c:pt idx="4">
                  <c:v>Realiza la declaración de emisiones exigida en el DS 138 “Establece la Obligación de Declarar Emisiones”</c:v>
                </c:pt>
                <c:pt idx="5">
                  <c:v>Ha analizado el incluir alternativas de tecnologías de tratamiento. </c:v>
                </c:pt>
                <c:pt idx="6">
                  <c:v>Ha implementado tecnologías de tratamiento</c:v>
                </c:pt>
                <c:pt idx="7">
                  <c:v>Cuenta con sistema de registro de emisiones.</c:v>
                </c:pt>
                <c:pt idx="8">
                  <c:v>Cuenta con procedimientos para el control o tratamiento de emisiones.</c:v>
                </c:pt>
                <c:pt idx="9">
                  <c:v>Se utilizan materias primas o insumos que generen menos emisiones de GEI</c:v>
                </c:pt>
                <c:pt idx="10">
                  <c:v>Se han mejorado etapas del proceso con el fin de generar menos emisiones gases efecto invernadero</c:v>
                </c:pt>
              </c:strCache>
            </c:strRef>
          </c:cat>
          <c:val>
            <c:numRef>
              <c:f>'Emisiones '!$S$28:$S$38</c:f>
              <c:numCache>
                <c:formatCode>0%</c:formatCode>
                <c:ptCount val="11"/>
                <c:pt idx="0">
                  <c:v>0</c:v>
                </c:pt>
                <c:pt idx="1">
                  <c:v>0</c:v>
                </c:pt>
                <c:pt idx="2">
                  <c:v>0</c:v>
                </c:pt>
                <c:pt idx="3">
                  <c:v>0.1111111111111111</c:v>
                </c:pt>
                <c:pt idx="4">
                  <c:v>0</c:v>
                </c:pt>
                <c:pt idx="5">
                  <c:v>0</c:v>
                </c:pt>
                <c:pt idx="6">
                  <c:v>0</c:v>
                </c:pt>
                <c:pt idx="7">
                  <c:v>0</c:v>
                </c:pt>
                <c:pt idx="8">
                  <c:v>0</c:v>
                </c:pt>
                <c:pt idx="9">
                  <c:v>0.1111111111111111</c:v>
                </c:pt>
                <c:pt idx="10">
                  <c:v>0</c:v>
                </c:pt>
              </c:numCache>
            </c:numRef>
          </c:val>
        </c:ser>
        <c:ser>
          <c:idx val="3"/>
          <c:order val="3"/>
          <c:tx>
            <c:strRef>
              <c:f>'Emisiones '!$T$27</c:f>
              <c:strCache>
                <c:ptCount val="1"/>
                <c:pt idx="0">
                  <c:v>%NI</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dLbl>
              <c:idx val="6"/>
              <c:delete val="1"/>
              <c:extLst>
                <c:ext xmlns:c15="http://schemas.microsoft.com/office/drawing/2012/chart" uri="{CE6537A1-D6FC-4f65-9D91-7224C49458BB}"/>
              </c:extLst>
            </c:dLbl>
            <c:dLbl>
              <c:idx val="9"/>
              <c:delete val="1"/>
              <c:extLst>
                <c:ext xmlns:c15="http://schemas.microsoft.com/office/drawing/2012/chart" uri="{CE6537A1-D6FC-4f65-9D91-7224C49458BB}"/>
              </c:extLst>
            </c:dLbl>
            <c:spPr>
              <a:noFill/>
              <a:ln>
                <a:noFill/>
              </a:ln>
              <a:effectLst/>
            </c:spPr>
            <c:txPr>
              <a:bodyPr/>
              <a:lstStyle/>
              <a:p>
                <a:pPr>
                  <a:defRPr sz="800"/>
                </a:pPr>
                <a:endParaRPr lang="es-C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'Emisiones '!$B$28:$B$38</c:f>
              <c:strCache>
                <c:ptCount val="11"/>
                <c:pt idx="0">
                  <c:v>Genera emisiones atmosféricas</c:v>
                </c:pt>
                <c:pt idx="1">
                  <c:v>Cuenta con una caracterización de sus emisiones</c:v>
                </c:pt>
                <c:pt idx="2">
                  <c:v>Conoce la normativa ambiental aplicable a emisiones atmosféricas</c:v>
                </c:pt>
                <c:pt idx="3">
                  <c:v>Cumple la normativa ambiental aplicable a emisiones atmosféricas</c:v>
                </c:pt>
                <c:pt idx="4">
                  <c:v>Realiza la declaración de emisiones exigida en el DS 138 “Establece la Obligación de Declarar Emisiones”</c:v>
                </c:pt>
                <c:pt idx="5">
                  <c:v>Ha analizado el incluir alternativas de tecnologías de tratamiento. </c:v>
                </c:pt>
                <c:pt idx="6">
                  <c:v>Ha implementado tecnologías de tratamiento</c:v>
                </c:pt>
                <c:pt idx="7">
                  <c:v>Cuenta con sistema de registro de emisiones.</c:v>
                </c:pt>
                <c:pt idx="8">
                  <c:v>Cuenta con procedimientos para el control o tratamiento de emisiones.</c:v>
                </c:pt>
                <c:pt idx="9">
                  <c:v>Se utilizan materias primas o insumos que generen menos emisiones de GEI</c:v>
                </c:pt>
                <c:pt idx="10">
                  <c:v>Se han mejorado etapas del proceso con el fin de generar menos emisiones gases efecto invernadero</c:v>
                </c:pt>
              </c:strCache>
            </c:strRef>
          </c:cat>
          <c:val>
            <c:numRef>
              <c:f>'Emisiones '!$T$28:$T$38</c:f>
              <c:numCache>
                <c:formatCode>0%</c:formatCode>
                <c:ptCount val="11"/>
                <c:pt idx="0">
                  <c:v>0</c:v>
                </c:pt>
                <c:pt idx="1">
                  <c:v>0</c:v>
                </c:pt>
                <c:pt idx="2">
                  <c:v>0</c:v>
                </c:pt>
                <c:pt idx="3">
                  <c:v>0</c:v>
                </c:pt>
                <c:pt idx="4">
                  <c:v>0</c:v>
                </c:pt>
                <c:pt idx="5">
                  <c:v>0</c:v>
                </c:pt>
                <c:pt idx="6">
                  <c:v>0</c:v>
                </c:pt>
                <c:pt idx="7">
                  <c:v>0.125</c:v>
                </c:pt>
                <c:pt idx="8">
                  <c:v>0.1111111111111111</c:v>
                </c:pt>
                <c:pt idx="9">
                  <c:v>0</c:v>
                </c:pt>
                <c:pt idx="10">
                  <c:v>0.1111111111111111</c:v>
                </c:pt>
              </c:numCache>
            </c:numRef>
          </c:val>
        </c:ser>
        <c:dLbls>
          <c:showLegendKey val="0"/>
          <c:showVal val="1"/>
          <c:showCatName val="0"/>
          <c:showSerName val="0"/>
          <c:showPercent val="0"/>
          <c:showBubbleSize val="0"/>
        </c:dLbls>
        <c:gapWidth val="95"/>
        <c:gapDepth val="95"/>
        <c:shape val="box"/>
        <c:axId val="262001024"/>
        <c:axId val="262002560"/>
        <c:axId val="0"/>
      </c:bar3DChart>
      <c:catAx>
        <c:axId val="262001024"/>
        <c:scaling>
          <c:orientation val="maxMin"/>
        </c:scaling>
        <c:delete val="0"/>
        <c:axPos val="l"/>
        <c:numFmt formatCode="General" sourceLinked="0"/>
        <c:majorTickMark val="none"/>
        <c:minorTickMark val="none"/>
        <c:tickLblPos val="nextTo"/>
        <c:txPr>
          <a:bodyPr/>
          <a:lstStyle/>
          <a:p>
            <a:pPr>
              <a:defRPr sz="800"/>
            </a:pPr>
            <a:endParaRPr lang="es-CL"/>
          </a:p>
        </c:txPr>
        <c:crossAx val="262002560"/>
        <c:crosses val="autoZero"/>
        <c:auto val="1"/>
        <c:lblAlgn val="ctr"/>
        <c:lblOffset val="100"/>
        <c:noMultiLvlLbl val="0"/>
      </c:catAx>
      <c:valAx>
        <c:axId val="262002560"/>
        <c:scaling>
          <c:orientation val="minMax"/>
        </c:scaling>
        <c:delete val="1"/>
        <c:axPos val="t"/>
        <c:numFmt formatCode="0%" sourceLinked="1"/>
        <c:majorTickMark val="out"/>
        <c:minorTickMark val="none"/>
        <c:tickLblPos val="nextTo"/>
        <c:crossAx val="262001024"/>
        <c:crosses val="autoZero"/>
        <c:crossBetween val="between"/>
      </c:valAx>
    </c:plotArea>
    <c:legend>
      <c:legendPos val="t"/>
      <c:overlay val="0"/>
      <c:txPr>
        <a:bodyPr/>
        <a:lstStyle/>
        <a:p>
          <a:pPr>
            <a:defRPr sz="800"/>
          </a:pPr>
          <a:endParaRPr lang="es-CL"/>
        </a:p>
      </c:txPr>
    </c:legend>
    <c:plotVisOnly val="1"/>
    <c:dispBlanksAs val="gap"/>
    <c:showDLblsOverMax val="0"/>
  </c:chart>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s-ES"/>
              <a:t>Gestión</a:t>
            </a:r>
            <a:r>
              <a:rPr lang="es-ES" baseline="0"/>
              <a:t> Ambiental (%)</a:t>
            </a:r>
            <a:endParaRPr lang="es-ES"/>
          </a:p>
        </c:rich>
      </c:tx>
      <c:layout>
        <c:manualLayout>
          <c:xMode val="edge"/>
          <c:yMode val="edge"/>
          <c:x val="0.34745454891901101"/>
          <c:y val="3.2527749210964928E-2"/>
        </c:manualLayout>
      </c:layout>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Hoja3!$E$21</c:f>
              <c:strCache>
                <c:ptCount val="1"/>
                <c:pt idx="0">
                  <c:v>Si</c:v>
                </c:pt>
              </c:strCache>
            </c:strRef>
          </c:tx>
          <c:invertIfNegative val="0"/>
          <c:cat>
            <c:strRef>
              <c:f>Hoja3!$D$22:$D$33</c:f>
              <c:strCache>
                <c:ptCount val="12"/>
                <c:pt idx="0">
                  <c:v>La instalación cuenta con algún tipo de certificación. </c:v>
                </c:pt>
                <c:pt idx="1">
                  <c:v>Existen problemas con la localización de la empresa/planta.</c:v>
                </c:pt>
                <c:pt idx="2">
                  <c:v>Existen datos de anteriores evaluaciones de tipo ambiental</c:v>
                </c:pt>
                <c:pt idx="3">
                  <c:v>Existe algún estándar interno de tipo ambiental</c:v>
                </c:pt>
                <c:pt idx="4">
                  <c:v>Existen recursos financieros asignados a la gestión ambiental</c:v>
                </c:pt>
                <c:pt idx="5">
                  <c:v>Existe entrenamiento del personal en el manejo y prevención de la contaminación </c:v>
                </c:pt>
                <c:pt idx="6">
                  <c:v>La empresa capacita al personal en el manejo de residuos peligrosos</c:v>
                </c:pt>
                <c:pt idx="7">
                  <c:v>La empresa capacita al personal en el manejo de sustancias peligrosas</c:v>
                </c:pt>
                <c:pt idx="8">
                  <c:v>Existen registros de algún tipo de incidentes ambientales</c:v>
                </c:pt>
                <c:pt idx="9">
                  <c:v>Existen procedimientos para prevenir problemas ambientales</c:v>
                </c:pt>
                <c:pt idx="10">
                  <c:v>Existe mantención y control de la documentación de relevancia ambiental</c:v>
                </c:pt>
                <c:pt idx="11">
                  <c:v>Posee un procedimiento de  transporte por tierra desde el centro de cultivo a planta que evite el escurrimiento de agua</c:v>
                </c:pt>
              </c:strCache>
            </c:strRef>
          </c:cat>
          <c:val>
            <c:numRef>
              <c:f>Hoja3!$E$22:$E$33</c:f>
              <c:numCache>
                <c:formatCode>0%</c:formatCode>
                <c:ptCount val="12"/>
                <c:pt idx="0">
                  <c:v>1</c:v>
                </c:pt>
                <c:pt idx="1">
                  <c:v>0</c:v>
                </c:pt>
                <c:pt idx="2">
                  <c:v>0.44444444444444442</c:v>
                </c:pt>
                <c:pt idx="3">
                  <c:v>0.55555555555555558</c:v>
                </c:pt>
                <c:pt idx="4">
                  <c:v>0.88888888888888884</c:v>
                </c:pt>
                <c:pt idx="5">
                  <c:v>0.88888888888888884</c:v>
                </c:pt>
                <c:pt idx="6">
                  <c:v>0.88888888888888884</c:v>
                </c:pt>
                <c:pt idx="7">
                  <c:v>0.88888888888888884</c:v>
                </c:pt>
                <c:pt idx="8">
                  <c:v>0.55555555555555558</c:v>
                </c:pt>
                <c:pt idx="9">
                  <c:v>0.77777777777777779</c:v>
                </c:pt>
                <c:pt idx="10">
                  <c:v>0.77777777777777779</c:v>
                </c:pt>
                <c:pt idx="11">
                  <c:v>0.77777777777777779</c:v>
                </c:pt>
              </c:numCache>
            </c:numRef>
          </c:val>
        </c:ser>
        <c:ser>
          <c:idx val="1"/>
          <c:order val="1"/>
          <c:tx>
            <c:strRef>
              <c:f>Hoja3!$F$21</c:f>
              <c:strCache>
                <c:ptCount val="1"/>
                <c:pt idx="0">
                  <c:v>No</c:v>
                </c:pt>
              </c:strCache>
            </c:strRef>
          </c:tx>
          <c:invertIfNegative val="0"/>
          <c:cat>
            <c:strRef>
              <c:f>Hoja3!$D$22:$D$33</c:f>
              <c:strCache>
                <c:ptCount val="12"/>
                <c:pt idx="0">
                  <c:v>La instalación cuenta con algún tipo de certificación. </c:v>
                </c:pt>
                <c:pt idx="1">
                  <c:v>Existen problemas con la localización de la empresa/planta.</c:v>
                </c:pt>
                <c:pt idx="2">
                  <c:v>Existen datos de anteriores evaluaciones de tipo ambiental</c:v>
                </c:pt>
                <c:pt idx="3">
                  <c:v>Existe algún estándar interno de tipo ambiental</c:v>
                </c:pt>
                <c:pt idx="4">
                  <c:v>Existen recursos financieros asignados a la gestión ambiental</c:v>
                </c:pt>
                <c:pt idx="5">
                  <c:v>Existe entrenamiento del personal en el manejo y prevención de la contaminación </c:v>
                </c:pt>
                <c:pt idx="6">
                  <c:v>La empresa capacita al personal en el manejo de residuos peligrosos</c:v>
                </c:pt>
                <c:pt idx="7">
                  <c:v>La empresa capacita al personal en el manejo de sustancias peligrosas</c:v>
                </c:pt>
                <c:pt idx="8">
                  <c:v>Existen registros de algún tipo de incidentes ambientales</c:v>
                </c:pt>
                <c:pt idx="9">
                  <c:v>Existen procedimientos para prevenir problemas ambientales</c:v>
                </c:pt>
                <c:pt idx="10">
                  <c:v>Existe mantención y control de la documentación de relevancia ambiental</c:v>
                </c:pt>
                <c:pt idx="11">
                  <c:v>Posee un procedimiento de  transporte por tierra desde el centro de cultivo a planta que evite el escurrimiento de agua</c:v>
                </c:pt>
              </c:strCache>
            </c:strRef>
          </c:cat>
          <c:val>
            <c:numRef>
              <c:f>Hoja3!$F$22:$F$33</c:f>
              <c:numCache>
                <c:formatCode>0%</c:formatCode>
                <c:ptCount val="12"/>
                <c:pt idx="0">
                  <c:v>0</c:v>
                </c:pt>
                <c:pt idx="1">
                  <c:v>1</c:v>
                </c:pt>
                <c:pt idx="2">
                  <c:v>0.55555555555555558</c:v>
                </c:pt>
                <c:pt idx="3">
                  <c:v>0.33333333333333331</c:v>
                </c:pt>
                <c:pt idx="4">
                  <c:v>0.1111111111111111</c:v>
                </c:pt>
                <c:pt idx="5">
                  <c:v>0.1111111111111111</c:v>
                </c:pt>
                <c:pt idx="6">
                  <c:v>0.1111111111111111</c:v>
                </c:pt>
                <c:pt idx="7">
                  <c:v>0.1111111111111111</c:v>
                </c:pt>
                <c:pt idx="8">
                  <c:v>0.44444444444444442</c:v>
                </c:pt>
                <c:pt idx="9">
                  <c:v>0.22222222222222221</c:v>
                </c:pt>
                <c:pt idx="10">
                  <c:v>0.22222222222222221</c:v>
                </c:pt>
                <c:pt idx="11">
                  <c:v>0.22222222222222221</c:v>
                </c:pt>
              </c:numCache>
            </c:numRef>
          </c:val>
        </c:ser>
        <c:ser>
          <c:idx val="2"/>
          <c:order val="2"/>
          <c:tx>
            <c:strRef>
              <c:f>Hoja3!$G$21</c:f>
              <c:strCache>
                <c:ptCount val="1"/>
                <c:pt idx="0">
                  <c:v>NI</c:v>
                </c:pt>
              </c:strCache>
            </c:strRef>
          </c:tx>
          <c:invertIfNegative val="0"/>
          <c:dLbls>
            <c:dLbl>
              <c:idx val="0"/>
              <c:delete val="1"/>
            </c:dLbl>
            <c:dLbl>
              <c:idx val="1"/>
              <c:delete val="1"/>
            </c:dLbl>
            <c:dLbl>
              <c:idx val="2"/>
              <c:delete val="1"/>
            </c:dLbl>
            <c:dLbl>
              <c:idx val="4"/>
              <c:delete val="1"/>
            </c:dLbl>
            <c:dLbl>
              <c:idx val="5"/>
              <c:delete val="1"/>
            </c:dLbl>
            <c:dLbl>
              <c:idx val="6"/>
              <c:delete val="1"/>
            </c:dLbl>
            <c:dLbl>
              <c:idx val="7"/>
              <c:delete val="1"/>
            </c:dLbl>
            <c:dLbl>
              <c:idx val="8"/>
              <c:delete val="1"/>
            </c:dLbl>
            <c:dLbl>
              <c:idx val="9"/>
              <c:delete val="1"/>
            </c:dLbl>
            <c:dLbl>
              <c:idx val="10"/>
              <c:delete val="1"/>
            </c:dLbl>
            <c:dLbl>
              <c:idx val="11"/>
              <c:delete val="1"/>
            </c:dLbl>
            <c:showLegendKey val="0"/>
            <c:showVal val="1"/>
            <c:showCatName val="0"/>
            <c:showSerName val="0"/>
            <c:showPercent val="0"/>
            <c:showBubbleSize val="0"/>
            <c:showLeaderLines val="0"/>
          </c:dLbls>
          <c:cat>
            <c:strRef>
              <c:f>Hoja3!$D$22:$D$33</c:f>
              <c:strCache>
                <c:ptCount val="12"/>
                <c:pt idx="0">
                  <c:v>La instalación cuenta con algún tipo de certificación. </c:v>
                </c:pt>
                <c:pt idx="1">
                  <c:v>Existen problemas con la localización de la empresa/planta.</c:v>
                </c:pt>
                <c:pt idx="2">
                  <c:v>Existen datos de anteriores evaluaciones de tipo ambiental</c:v>
                </c:pt>
                <c:pt idx="3">
                  <c:v>Existe algún estándar interno de tipo ambiental</c:v>
                </c:pt>
                <c:pt idx="4">
                  <c:v>Existen recursos financieros asignados a la gestión ambiental</c:v>
                </c:pt>
                <c:pt idx="5">
                  <c:v>Existe entrenamiento del personal en el manejo y prevención de la contaminación </c:v>
                </c:pt>
                <c:pt idx="6">
                  <c:v>La empresa capacita al personal en el manejo de residuos peligrosos</c:v>
                </c:pt>
                <c:pt idx="7">
                  <c:v>La empresa capacita al personal en el manejo de sustancias peligrosas</c:v>
                </c:pt>
                <c:pt idx="8">
                  <c:v>Existen registros de algún tipo de incidentes ambientales</c:v>
                </c:pt>
                <c:pt idx="9">
                  <c:v>Existen procedimientos para prevenir problemas ambientales</c:v>
                </c:pt>
                <c:pt idx="10">
                  <c:v>Existe mantención y control de la documentación de relevancia ambiental</c:v>
                </c:pt>
                <c:pt idx="11">
                  <c:v>Posee un procedimiento de  transporte por tierra desde el centro de cultivo a planta que evite el escurrimiento de agua</c:v>
                </c:pt>
              </c:strCache>
            </c:strRef>
          </c:cat>
          <c:val>
            <c:numRef>
              <c:f>Hoja3!$G$22:$G$33</c:f>
              <c:numCache>
                <c:formatCode>0%</c:formatCode>
                <c:ptCount val="12"/>
                <c:pt idx="0">
                  <c:v>0</c:v>
                </c:pt>
                <c:pt idx="1">
                  <c:v>0</c:v>
                </c:pt>
                <c:pt idx="2">
                  <c:v>0</c:v>
                </c:pt>
                <c:pt idx="3">
                  <c:v>0.1111111111111111</c:v>
                </c:pt>
                <c:pt idx="4">
                  <c:v>0</c:v>
                </c:pt>
                <c:pt idx="5">
                  <c:v>0</c:v>
                </c:pt>
                <c:pt idx="6">
                  <c:v>0</c:v>
                </c:pt>
                <c:pt idx="7">
                  <c:v>0</c:v>
                </c:pt>
                <c:pt idx="8">
                  <c:v>0</c:v>
                </c:pt>
                <c:pt idx="9">
                  <c:v>0</c:v>
                </c:pt>
                <c:pt idx="10">
                  <c:v>0</c:v>
                </c:pt>
                <c:pt idx="11">
                  <c:v>0</c:v>
                </c:pt>
              </c:numCache>
            </c:numRef>
          </c:val>
        </c:ser>
        <c:dLbls>
          <c:showLegendKey val="0"/>
          <c:showVal val="1"/>
          <c:showCatName val="0"/>
          <c:showSerName val="0"/>
          <c:showPercent val="0"/>
          <c:showBubbleSize val="0"/>
        </c:dLbls>
        <c:gapWidth val="95"/>
        <c:gapDepth val="95"/>
        <c:shape val="box"/>
        <c:axId val="262305280"/>
        <c:axId val="262683264"/>
        <c:axId val="0"/>
      </c:bar3DChart>
      <c:catAx>
        <c:axId val="262305280"/>
        <c:scaling>
          <c:orientation val="maxMin"/>
        </c:scaling>
        <c:delete val="0"/>
        <c:axPos val="l"/>
        <c:majorTickMark val="none"/>
        <c:minorTickMark val="none"/>
        <c:tickLblPos val="nextTo"/>
        <c:crossAx val="262683264"/>
        <c:crosses val="autoZero"/>
        <c:auto val="1"/>
        <c:lblAlgn val="ctr"/>
        <c:lblOffset val="100"/>
        <c:noMultiLvlLbl val="0"/>
      </c:catAx>
      <c:valAx>
        <c:axId val="262683264"/>
        <c:scaling>
          <c:orientation val="minMax"/>
        </c:scaling>
        <c:delete val="1"/>
        <c:axPos val="t"/>
        <c:numFmt formatCode="0%" sourceLinked="1"/>
        <c:majorTickMark val="out"/>
        <c:minorTickMark val="none"/>
        <c:tickLblPos val="nextTo"/>
        <c:crossAx val="262305280"/>
        <c:crosses val="autoZero"/>
        <c:crossBetween val="between"/>
      </c:valAx>
    </c:plotArea>
    <c:legend>
      <c:legendPos val="t"/>
      <c:overlay val="0"/>
    </c:legend>
    <c:plotVisOnly val="1"/>
    <c:dispBlanksAs val="gap"/>
    <c:showDLblsOverMax val="0"/>
  </c:chart>
  <c:txPr>
    <a:bodyPr/>
    <a:lstStyle/>
    <a:p>
      <a:pPr>
        <a:defRPr sz="800"/>
      </a:pPr>
      <a:endParaRPr lang="es-C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lrMapOvr bg1="lt1" tx1="dk1" bg2="lt2" tx2="dk2" accent1="accent1" accent2="accent2" accent3="accent3" accent4="accent4" accent5="accent5" accent6="accent6" hlink="hlink" folHlink="folHlink"/>
  <c:chart>
    <c:title>
      <c:tx>
        <c:rich>
          <a:bodyPr/>
          <a:lstStyle/>
          <a:p>
            <a:pPr>
              <a:defRPr sz="800"/>
            </a:pPr>
            <a:r>
              <a:rPr lang="es-ES" sz="800"/>
              <a:t>Principales Líneas de Producción  Plantas de Proceso (%)</a:t>
            </a:r>
          </a:p>
        </c:rich>
      </c:tx>
      <c:layout>
        <c:manualLayout>
          <c:xMode val="edge"/>
          <c:yMode val="edge"/>
          <c:x val="0.17013524351122777"/>
          <c:y val="5.9872232952013084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percentStacked"/>
        <c:varyColors val="0"/>
        <c:ser>
          <c:idx val="0"/>
          <c:order val="0"/>
          <c:tx>
            <c:strRef>
              <c:f>Empresas!$M$16</c:f>
              <c:strCache>
                <c:ptCount val="1"/>
                <c:pt idx="0">
                  <c:v>Si </c:v>
                </c:pt>
              </c:strCache>
            </c:strRef>
          </c:tx>
          <c:invertIfNegative val="0"/>
          <c:dLbls>
            <c:spPr>
              <a:noFill/>
              <a:ln>
                <a:noFill/>
              </a:ln>
              <a:effectLst/>
            </c:spPr>
            <c:txPr>
              <a:bodyPr/>
              <a:lstStyle/>
              <a:p>
                <a:pPr>
                  <a:defRPr sz="800"/>
                </a:pPr>
                <a:endParaRPr lang="es-C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Empresas!$N$15:$Q$15</c:f>
              <c:strCache>
                <c:ptCount val="4"/>
                <c:pt idx="0">
                  <c:v>Carne</c:v>
                </c:pt>
                <c:pt idx="1">
                  <c:v>Entero o Jugozón</c:v>
                </c:pt>
                <c:pt idx="2">
                  <c:v>Media Concha</c:v>
                </c:pt>
                <c:pt idx="3">
                  <c:v>Conservas</c:v>
                </c:pt>
              </c:strCache>
            </c:strRef>
          </c:cat>
          <c:val>
            <c:numRef>
              <c:f>Empresas!$N$16:$Q$16</c:f>
              <c:numCache>
                <c:formatCode>0%</c:formatCode>
                <c:ptCount val="4"/>
                <c:pt idx="0">
                  <c:v>0.88888888888888884</c:v>
                </c:pt>
                <c:pt idx="1">
                  <c:v>0.88888888888888884</c:v>
                </c:pt>
                <c:pt idx="2">
                  <c:v>0.66666666666666663</c:v>
                </c:pt>
                <c:pt idx="3">
                  <c:v>0.44444444444444442</c:v>
                </c:pt>
              </c:numCache>
            </c:numRef>
          </c:val>
        </c:ser>
        <c:ser>
          <c:idx val="1"/>
          <c:order val="1"/>
          <c:tx>
            <c:strRef>
              <c:f>Empresas!$M$17</c:f>
              <c:strCache>
                <c:ptCount val="1"/>
                <c:pt idx="0">
                  <c:v>No</c:v>
                </c:pt>
              </c:strCache>
            </c:strRef>
          </c:tx>
          <c:invertIfNegative val="0"/>
          <c:dLbls>
            <c:spPr>
              <a:noFill/>
              <a:ln>
                <a:noFill/>
              </a:ln>
              <a:effectLst/>
            </c:spPr>
            <c:txPr>
              <a:bodyPr/>
              <a:lstStyle/>
              <a:p>
                <a:pPr>
                  <a:defRPr sz="800"/>
                </a:pPr>
                <a:endParaRPr lang="es-C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Empresas!$N$15:$Q$15</c:f>
              <c:strCache>
                <c:ptCount val="4"/>
                <c:pt idx="0">
                  <c:v>Carne</c:v>
                </c:pt>
                <c:pt idx="1">
                  <c:v>Entero o Jugozón</c:v>
                </c:pt>
                <c:pt idx="2">
                  <c:v>Media Concha</c:v>
                </c:pt>
                <c:pt idx="3">
                  <c:v>Conservas</c:v>
                </c:pt>
              </c:strCache>
            </c:strRef>
          </c:cat>
          <c:val>
            <c:numRef>
              <c:f>Empresas!$N$17:$Q$17</c:f>
              <c:numCache>
                <c:formatCode>0%</c:formatCode>
                <c:ptCount val="4"/>
                <c:pt idx="0">
                  <c:v>0.1111111111111111</c:v>
                </c:pt>
                <c:pt idx="1">
                  <c:v>0.1111111111111111</c:v>
                </c:pt>
                <c:pt idx="2">
                  <c:v>0.33333333333333331</c:v>
                </c:pt>
                <c:pt idx="3">
                  <c:v>0.55555555555555558</c:v>
                </c:pt>
              </c:numCache>
            </c:numRef>
          </c:val>
        </c:ser>
        <c:dLbls>
          <c:showLegendKey val="0"/>
          <c:showVal val="1"/>
          <c:showCatName val="0"/>
          <c:showSerName val="0"/>
          <c:showPercent val="0"/>
          <c:showBubbleSize val="0"/>
        </c:dLbls>
        <c:gapWidth val="95"/>
        <c:gapDepth val="95"/>
        <c:shape val="box"/>
        <c:axId val="267358976"/>
        <c:axId val="269713792"/>
        <c:axId val="0"/>
      </c:bar3DChart>
      <c:catAx>
        <c:axId val="267358976"/>
        <c:scaling>
          <c:orientation val="minMax"/>
        </c:scaling>
        <c:delete val="0"/>
        <c:axPos val="b"/>
        <c:numFmt formatCode="General" sourceLinked="1"/>
        <c:majorTickMark val="none"/>
        <c:minorTickMark val="none"/>
        <c:tickLblPos val="nextTo"/>
        <c:txPr>
          <a:bodyPr/>
          <a:lstStyle/>
          <a:p>
            <a:pPr>
              <a:defRPr sz="800"/>
            </a:pPr>
            <a:endParaRPr lang="es-CL"/>
          </a:p>
        </c:txPr>
        <c:crossAx val="269713792"/>
        <c:crosses val="autoZero"/>
        <c:auto val="1"/>
        <c:lblAlgn val="ctr"/>
        <c:lblOffset val="100"/>
        <c:noMultiLvlLbl val="0"/>
      </c:catAx>
      <c:valAx>
        <c:axId val="269713792"/>
        <c:scaling>
          <c:orientation val="minMax"/>
        </c:scaling>
        <c:delete val="1"/>
        <c:axPos val="l"/>
        <c:numFmt formatCode="0%" sourceLinked="1"/>
        <c:majorTickMark val="none"/>
        <c:minorTickMark val="none"/>
        <c:tickLblPos val="nextTo"/>
        <c:crossAx val="267358976"/>
        <c:crosses val="autoZero"/>
        <c:crossBetween val="between"/>
      </c:valAx>
    </c:plotArea>
    <c:legend>
      <c:legendPos val="t"/>
      <c:layout>
        <c:manualLayout>
          <c:xMode val="edge"/>
          <c:yMode val="edge"/>
          <c:x val="0.42747156605424325"/>
          <c:y val="0.15981726340811173"/>
          <c:w val="0.138331210764469"/>
          <c:h val="8.8113344826410395E-2"/>
        </c:manualLayout>
      </c:layout>
      <c:overlay val="0"/>
      <c:txPr>
        <a:bodyPr/>
        <a:lstStyle/>
        <a:p>
          <a:pPr>
            <a:defRPr sz="800"/>
          </a:pPr>
          <a:endParaRPr lang="es-CL"/>
        </a:p>
      </c:txPr>
    </c:legend>
    <c:plotVisOnly val="1"/>
    <c:dispBlanksAs val="gap"/>
    <c:showDLblsOverMax val="0"/>
  </c:chart>
  <c:externalData r:id="rId2">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lrMapOvr bg1="lt1" tx1="dk1" bg2="lt2" tx2="dk2" accent1="accent1" accent2="accent2" accent3="accent3" accent4="accent4" accent5="accent5" accent6="accent6" hlink="hlink" folHlink="folHlink"/>
  <c:chart>
    <c:title>
      <c:tx>
        <c:rich>
          <a:bodyPr/>
          <a:lstStyle/>
          <a:p>
            <a:pPr>
              <a:defRPr sz="1000"/>
            </a:pPr>
            <a:r>
              <a:rPr lang="es-ES" sz="1000"/>
              <a:t>Emisiones</a:t>
            </a:r>
            <a:r>
              <a:rPr lang="es-ES" sz="1000" baseline="0"/>
              <a:t> de ruido (%)</a:t>
            </a:r>
            <a:endParaRPr lang="es-ES" sz="1000"/>
          </a:p>
        </c:rich>
      </c:tx>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'Emisiones '!$E$1</c:f>
              <c:strCache>
                <c:ptCount val="1"/>
                <c:pt idx="0">
                  <c:v>Ruido</c:v>
                </c:pt>
              </c:strCache>
            </c:strRef>
          </c:tx>
          <c:invertIfNegative val="0"/>
          <c:dLbls>
            <c:txPr>
              <a:bodyPr/>
              <a:lstStyle/>
              <a:p>
                <a:pPr>
                  <a:defRPr sz="800"/>
                </a:pPr>
                <a:endParaRPr lang="es-CL"/>
              </a:p>
            </c:txPr>
            <c:showLegendKey val="0"/>
            <c:showVal val="1"/>
            <c:showCatName val="0"/>
            <c:showSerName val="0"/>
            <c:showPercent val="0"/>
            <c:showBubbleSize val="0"/>
            <c:showLeaderLines val="0"/>
          </c:dLbls>
          <c:cat>
            <c:strRef>
              <c:f>'Emisiones '!$D$3:$D$7</c:f>
              <c:strCache>
                <c:ptCount val="5"/>
                <c:pt idx="0">
                  <c:v>Conoce la normativa ambiental aplicable a ruidos</c:v>
                </c:pt>
                <c:pt idx="1">
                  <c:v>Se han realizado mediciones de ruido dentro del ambiente de trabajo</c:v>
                </c:pt>
                <c:pt idx="2">
                  <c:v>Se han realizado mediciones de ruido fuera de la planta de proceso</c:v>
                </c:pt>
                <c:pt idx="3">
                  <c:v>Mantiene registros actualizados de las mediciones de ruido</c:v>
                </c:pt>
                <c:pt idx="4">
                  <c:v>Los niveles de ruido medidos cumplen la normativa vigente</c:v>
                </c:pt>
              </c:strCache>
            </c:strRef>
          </c:cat>
          <c:val>
            <c:numRef>
              <c:f>'Emisiones '!$E$3:$E$7</c:f>
              <c:numCache>
                <c:formatCode>0%</c:formatCode>
                <c:ptCount val="5"/>
                <c:pt idx="0">
                  <c:v>1</c:v>
                </c:pt>
                <c:pt idx="1">
                  <c:v>1</c:v>
                </c:pt>
                <c:pt idx="2">
                  <c:v>1</c:v>
                </c:pt>
                <c:pt idx="3">
                  <c:v>1</c:v>
                </c:pt>
                <c:pt idx="4">
                  <c:v>1</c:v>
                </c:pt>
              </c:numCache>
            </c:numRef>
          </c:val>
        </c:ser>
        <c:dLbls>
          <c:showLegendKey val="0"/>
          <c:showVal val="1"/>
          <c:showCatName val="0"/>
          <c:showSerName val="0"/>
          <c:showPercent val="0"/>
          <c:showBubbleSize val="0"/>
        </c:dLbls>
        <c:gapWidth val="95"/>
        <c:gapDepth val="95"/>
        <c:shape val="box"/>
        <c:axId val="262711552"/>
        <c:axId val="262714496"/>
        <c:axId val="0"/>
      </c:bar3DChart>
      <c:catAx>
        <c:axId val="262711552"/>
        <c:scaling>
          <c:orientation val="maxMin"/>
        </c:scaling>
        <c:delete val="0"/>
        <c:axPos val="l"/>
        <c:majorTickMark val="none"/>
        <c:minorTickMark val="none"/>
        <c:tickLblPos val="nextTo"/>
        <c:txPr>
          <a:bodyPr/>
          <a:lstStyle/>
          <a:p>
            <a:pPr>
              <a:defRPr sz="800"/>
            </a:pPr>
            <a:endParaRPr lang="es-CL"/>
          </a:p>
        </c:txPr>
        <c:crossAx val="262714496"/>
        <c:crosses val="autoZero"/>
        <c:auto val="1"/>
        <c:lblAlgn val="ctr"/>
        <c:lblOffset val="100"/>
        <c:noMultiLvlLbl val="0"/>
      </c:catAx>
      <c:valAx>
        <c:axId val="262714496"/>
        <c:scaling>
          <c:orientation val="minMax"/>
        </c:scaling>
        <c:delete val="1"/>
        <c:axPos val="t"/>
        <c:numFmt formatCode="0%" sourceLinked="1"/>
        <c:majorTickMark val="out"/>
        <c:minorTickMark val="none"/>
        <c:tickLblPos val="nextTo"/>
        <c:crossAx val="262711552"/>
        <c:crosses val="autoZero"/>
        <c:crossBetween val="between"/>
      </c:valAx>
    </c:plotArea>
    <c:plotVisOnly val="1"/>
    <c:dispBlanksAs val="gap"/>
    <c:showDLblsOverMax val="0"/>
  </c:chart>
  <c:externalData r:id="rId2">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s-ES"/>
              <a:t>Luminancia e Iluminancia (%)</a:t>
            </a:r>
          </a:p>
        </c:rich>
      </c:tx>
      <c:layout>
        <c:manualLayout>
          <c:xMode val="edge"/>
          <c:yMode val="edge"/>
          <c:x val="0.27072260801348169"/>
          <c:y val="2.4539281751183847E-2"/>
        </c:manualLayout>
      </c:layout>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Luminaria!$B$3</c:f>
              <c:strCache>
                <c:ptCount val="1"/>
                <c:pt idx="0">
                  <c:v>Si</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Luminaria!$A$4:$A$7</c:f>
              <c:strCache>
                <c:ptCount val="4"/>
                <c:pt idx="0">
                  <c:v>Conoce la normativa ambiental aplicable a luminancia en lugares de trabajo</c:v>
                </c:pt>
                <c:pt idx="1">
                  <c:v>Se han realizado mediciones de iluminancia y luminancia en el lugar de trabajo</c:v>
                </c:pt>
                <c:pt idx="2">
                  <c:v>Mantiene registros actualizados de las mediciones iluminancia y luminancia</c:v>
                </c:pt>
                <c:pt idx="3">
                  <c:v>Los niveles de luminancia e iluminancia cumplen la normativa vigente</c:v>
                </c:pt>
              </c:strCache>
            </c:strRef>
          </c:cat>
          <c:val>
            <c:numRef>
              <c:f>Luminaria!$B$4:$B$7</c:f>
              <c:numCache>
                <c:formatCode>0%</c:formatCode>
                <c:ptCount val="4"/>
                <c:pt idx="0">
                  <c:v>1</c:v>
                </c:pt>
                <c:pt idx="1">
                  <c:v>1</c:v>
                </c:pt>
                <c:pt idx="2">
                  <c:v>1</c:v>
                </c:pt>
                <c:pt idx="3">
                  <c:v>1</c:v>
                </c:pt>
              </c:numCache>
            </c:numRef>
          </c:val>
        </c:ser>
        <c:ser>
          <c:idx val="1"/>
          <c:order val="1"/>
          <c:tx>
            <c:strRef>
              <c:f>Luminaria!$C$3</c:f>
              <c:strCache>
                <c:ptCount val="1"/>
                <c:pt idx="0">
                  <c:v>No</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Luminaria!$A$4:$A$7</c:f>
              <c:strCache>
                <c:ptCount val="4"/>
                <c:pt idx="0">
                  <c:v>Conoce la normativa ambiental aplicable a luminancia en lugares de trabajo</c:v>
                </c:pt>
                <c:pt idx="1">
                  <c:v>Se han realizado mediciones de iluminancia y luminancia en el lugar de trabajo</c:v>
                </c:pt>
                <c:pt idx="2">
                  <c:v>Mantiene registros actualizados de las mediciones iluminancia y luminancia</c:v>
                </c:pt>
                <c:pt idx="3">
                  <c:v>Los niveles de luminancia e iluminancia cumplen la normativa vigente</c:v>
                </c:pt>
              </c:strCache>
            </c:strRef>
          </c:cat>
          <c:val>
            <c:numRef>
              <c:f>Luminaria!$C$4:$C$7</c:f>
              <c:numCache>
                <c:formatCode>0%</c:formatCode>
                <c:ptCount val="4"/>
                <c:pt idx="0">
                  <c:v>0</c:v>
                </c:pt>
                <c:pt idx="1">
                  <c:v>0</c:v>
                </c:pt>
                <c:pt idx="2">
                  <c:v>0</c:v>
                </c:pt>
                <c:pt idx="3">
                  <c:v>0</c:v>
                </c:pt>
              </c:numCache>
            </c:numRef>
          </c:val>
        </c:ser>
        <c:dLbls>
          <c:showLegendKey val="0"/>
          <c:showVal val="1"/>
          <c:showCatName val="0"/>
          <c:showSerName val="0"/>
          <c:showPercent val="0"/>
          <c:showBubbleSize val="0"/>
        </c:dLbls>
        <c:gapWidth val="95"/>
        <c:gapDepth val="95"/>
        <c:shape val="box"/>
        <c:axId val="265820800"/>
        <c:axId val="265834880"/>
        <c:axId val="0"/>
      </c:bar3DChart>
      <c:catAx>
        <c:axId val="265820800"/>
        <c:scaling>
          <c:orientation val="maxMin"/>
        </c:scaling>
        <c:delete val="0"/>
        <c:axPos val="l"/>
        <c:numFmt formatCode="General" sourceLinked="0"/>
        <c:majorTickMark val="none"/>
        <c:minorTickMark val="none"/>
        <c:tickLblPos val="nextTo"/>
        <c:crossAx val="265834880"/>
        <c:crosses val="autoZero"/>
        <c:auto val="1"/>
        <c:lblAlgn val="ctr"/>
        <c:lblOffset val="100"/>
        <c:noMultiLvlLbl val="0"/>
      </c:catAx>
      <c:valAx>
        <c:axId val="265834880"/>
        <c:scaling>
          <c:orientation val="minMax"/>
        </c:scaling>
        <c:delete val="1"/>
        <c:axPos val="t"/>
        <c:numFmt formatCode="0%" sourceLinked="1"/>
        <c:majorTickMark val="out"/>
        <c:minorTickMark val="none"/>
        <c:tickLblPos val="nextTo"/>
        <c:crossAx val="265820800"/>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lrMapOvr bg1="lt1" tx1="dk1" bg2="lt2" tx2="dk2" accent1="accent1" accent2="accent2" accent3="accent3" accent4="accent4" accent5="accent5" accent6="accent6" hlink="hlink" folHlink="folHlink"/>
  <c:chart>
    <c:title>
      <c:tx>
        <c:rich>
          <a:bodyPr/>
          <a:lstStyle/>
          <a:p>
            <a:pPr>
              <a:defRPr/>
            </a:pPr>
            <a:r>
              <a:rPr lang="es-ES"/>
              <a:t>Certificaciones (%)</a:t>
            </a:r>
          </a:p>
        </c:rich>
      </c:tx>
      <c:layout>
        <c:manualLayout>
          <c:xMode val="edge"/>
          <c:yMode val="edge"/>
          <c:x val="0.38077638375961287"/>
          <c:y val="2.2345913657344552E-2"/>
        </c:manualLayout>
      </c:layout>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Hoja2!$B$21</c:f>
              <c:strCache>
                <c:ptCount val="1"/>
                <c:pt idx="0">
                  <c:v>Si</c:v>
                </c:pt>
              </c:strCache>
            </c:strRef>
          </c:tx>
          <c:invertIfNegative val="0"/>
          <c:cat>
            <c:strRef>
              <c:f>Hoja2!$A$22:$A$30</c:f>
              <c:strCache>
                <c:ptCount val="9"/>
                <c:pt idx="0">
                  <c:v>British Retailers Consortium (BRC)</c:v>
                </c:pt>
                <c:pt idx="1">
                  <c:v>International Featured Standards (IFS)</c:v>
                </c:pt>
                <c:pt idx="2">
                  <c:v>Buenas Practicas Acuicolas (BAP)</c:v>
                </c:pt>
                <c:pt idx="3">
                  <c:v>C.Organica</c:v>
                </c:pt>
                <c:pt idx="4">
                  <c:v>Halal</c:v>
                </c:pt>
                <c:pt idx="5">
                  <c:v>NCh 3361/2014</c:v>
                </c:pt>
                <c:pt idx="6">
                  <c:v>Aquaculture Stewardship Council (ASC)</c:v>
                </c:pt>
                <c:pt idx="7">
                  <c:v>En Proceso de Implementación ASC</c:v>
                </c:pt>
                <c:pt idx="8">
                  <c:v>Marine Stewardship Council (MSC)</c:v>
                </c:pt>
              </c:strCache>
            </c:strRef>
          </c:cat>
          <c:val>
            <c:numRef>
              <c:f>Hoja2!$B$22:$B$30</c:f>
              <c:numCache>
                <c:formatCode>0%</c:formatCode>
                <c:ptCount val="9"/>
                <c:pt idx="0">
                  <c:v>1</c:v>
                </c:pt>
                <c:pt idx="1">
                  <c:v>0.38</c:v>
                </c:pt>
                <c:pt idx="2">
                  <c:v>0.43</c:v>
                </c:pt>
                <c:pt idx="3">
                  <c:v>0.14000000000000001</c:v>
                </c:pt>
                <c:pt idx="4">
                  <c:v>0.43</c:v>
                </c:pt>
                <c:pt idx="5">
                  <c:v>0.5</c:v>
                </c:pt>
                <c:pt idx="6">
                  <c:v>0.38</c:v>
                </c:pt>
                <c:pt idx="7">
                  <c:v>0.38</c:v>
                </c:pt>
                <c:pt idx="8">
                  <c:v>0.25</c:v>
                </c:pt>
              </c:numCache>
            </c:numRef>
          </c:val>
        </c:ser>
        <c:ser>
          <c:idx val="1"/>
          <c:order val="1"/>
          <c:tx>
            <c:strRef>
              <c:f>Hoja2!$C$21</c:f>
              <c:strCache>
                <c:ptCount val="1"/>
                <c:pt idx="0">
                  <c:v>No</c:v>
                </c:pt>
              </c:strCache>
            </c:strRef>
          </c:tx>
          <c:invertIfNegative val="0"/>
          <c:cat>
            <c:strRef>
              <c:f>Hoja2!$A$22:$A$30</c:f>
              <c:strCache>
                <c:ptCount val="9"/>
                <c:pt idx="0">
                  <c:v>British Retailers Consortium (BRC)</c:v>
                </c:pt>
                <c:pt idx="1">
                  <c:v>International Featured Standards (IFS)</c:v>
                </c:pt>
                <c:pt idx="2">
                  <c:v>Buenas Practicas Acuicolas (BAP)</c:v>
                </c:pt>
                <c:pt idx="3">
                  <c:v>C.Organica</c:v>
                </c:pt>
                <c:pt idx="4">
                  <c:v>Halal</c:v>
                </c:pt>
                <c:pt idx="5">
                  <c:v>NCh 3361/2014</c:v>
                </c:pt>
                <c:pt idx="6">
                  <c:v>Aquaculture Stewardship Council (ASC)</c:v>
                </c:pt>
                <c:pt idx="7">
                  <c:v>En Proceso de Implementación ASC</c:v>
                </c:pt>
                <c:pt idx="8">
                  <c:v>Marine Stewardship Council (MSC)</c:v>
                </c:pt>
              </c:strCache>
            </c:strRef>
          </c:cat>
          <c:val>
            <c:numRef>
              <c:f>Hoja2!$C$22:$C$30</c:f>
              <c:numCache>
                <c:formatCode>0%</c:formatCode>
                <c:ptCount val="9"/>
                <c:pt idx="1">
                  <c:v>0.63</c:v>
                </c:pt>
                <c:pt idx="2">
                  <c:v>0.56999999999999995</c:v>
                </c:pt>
                <c:pt idx="3">
                  <c:v>0.86</c:v>
                </c:pt>
                <c:pt idx="4">
                  <c:v>0.56999999999999995</c:v>
                </c:pt>
                <c:pt idx="5">
                  <c:v>0.5</c:v>
                </c:pt>
                <c:pt idx="6">
                  <c:v>0.63</c:v>
                </c:pt>
                <c:pt idx="7">
                  <c:v>0.63</c:v>
                </c:pt>
              </c:numCache>
            </c:numRef>
          </c:val>
        </c:ser>
        <c:ser>
          <c:idx val="2"/>
          <c:order val="2"/>
          <c:tx>
            <c:strRef>
              <c:f>Hoja2!$D$21</c:f>
              <c:strCache>
                <c:ptCount val="1"/>
                <c:pt idx="0">
                  <c:v>No considera implementar</c:v>
                </c:pt>
              </c:strCache>
            </c:strRef>
          </c:tx>
          <c:invertIfNegative val="0"/>
          <c:cat>
            <c:strRef>
              <c:f>Hoja2!$A$22:$A$30</c:f>
              <c:strCache>
                <c:ptCount val="9"/>
                <c:pt idx="0">
                  <c:v>British Retailers Consortium (BRC)</c:v>
                </c:pt>
                <c:pt idx="1">
                  <c:v>International Featured Standards (IFS)</c:v>
                </c:pt>
                <c:pt idx="2">
                  <c:v>Buenas Practicas Acuicolas (BAP)</c:v>
                </c:pt>
                <c:pt idx="3">
                  <c:v>C.Organica</c:v>
                </c:pt>
                <c:pt idx="4">
                  <c:v>Halal</c:v>
                </c:pt>
                <c:pt idx="5">
                  <c:v>NCh 3361/2014</c:v>
                </c:pt>
                <c:pt idx="6">
                  <c:v>Aquaculture Stewardship Council (ASC)</c:v>
                </c:pt>
                <c:pt idx="7">
                  <c:v>En Proceso de Implementación ASC</c:v>
                </c:pt>
                <c:pt idx="8">
                  <c:v>Marine Stewardship Council (MSC)</c:v>
                </c:pt>
              </c:strCache>
            </c:strRef>
          </c:cat>
          <c:val>
            <c:numRef>
              <c:f>Hoja2!$D$22:$D$30</c:f>
              <c:numCache>
                <c:formatCode>General</c:formatCode>
                <c:ptCount val="9"/>
                <c:pt idx="8" formatCode="0%">
                  <c:v>0.75</c:v>
                </c:pt>
              </c:numCache>
            </c:numRef>
          </c:val>
        </c:ser>
        <c:dLbls>
          <c:showLegendKey val="0"/>
          <c:showVal val="1"/>
          <c:showCatName val="0"/>
          <c:showSerName val="0"/>
          <c:showPercent val="0"/>
          <c:showBubbleSize val="0"/>
        </c:dLbls>
        <c:gapWidth val="95"/>
        <c:gapDepth val="95"/>
        <c:shape val="box"/>
        <c:axId val="265858432"/>
        <c:axId val="265876608"/>
        <c:axId val="0"/>
      </c:bar3DChart>
      <c:catAx>
        <c:axId val="265858432"/>
        <c:scaling>
          <c:orientation val="maxMin"/>
        </c:scaling>
        <c:delete val="0"/>
        <c:axPos val="l"/>
        <c:majorTickMark val="none"/>
        <c:minorTickMark val="none"/>
        <c:tickLblPos val="nextTo"/>
        <c:crossAx val="265876608"/>
        <c:crosses val="autoZero"/>
        <c:auto val="1"/>
        <c:lblAlgn val="ctr"/>
        <c:lblOffset val="100"/>
        <c:noMultiLvlLbl val="0"/>
      </c:catAx>
      <c:valAx>
        <c:axId val="265876608"/>
        <c:scaling>
          <c:orientation val="minMax"/>
        </c:scaling>
        <c:delete val="1"/>
        <c:axPos val="t"/>
        <c:numFmt formatCode="0%" sourceLinked="1"/>
        <c:majorTickMark val="out"/>
        <c:minorTickMark val="none"/>
        <c:tickLblPos val="nextTo"/>
        <c:crossAx val="265858432"/>
        <c:crosses val="autoZero"/>
        <c:crossBetween val="between"/>
      </c:valAx>
    </c:plotArea>
    <c:legend>
      <c:legendPos val="t"/>
      <c:layout>
        <c:manualLayout>
          <c:xMode val="edge"/>
          <c:yMode val="edge"/>
          <c:x val="0.23841264639158558"/>
          <c:y val="7.7664142556893037E-2"/>
          <c:w val="0.46533059763049456"/>
          <c:h val="4.0018704558481916E-2"/>
        </c:manualLayout>
      </c:layout>
      <c:overlay val="0"/>
    </c:legend>
    <c:plotVisOnly val="1"/>
    <c:dispBlanksAs val="gap"/>
    <c:showDLblsOverMax val="0"/>
  </c:chart>
  <c:txPr>
    <a:bodyPr/>
    <a:lstStyle/>
    <a:p>
      <a:pPr>
        <a:defRPr sz="800"/>
      </a:pPr>
      <a:endParaRPr lang="es-CL"/>
    </a:p>
  </c:txPr>
  <c:externalData r:id="rId2">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lrMapOvr bg1="lt1" tx1="dk1" bg2="lt2" tx2="dk2" accent1="accent1" accent2="accent2" accent3="accent3" accent4="accent4" accent5="accent5" accent6="accent6" hlink="hlink" folHlink="folHlink"/>
  <c:chart>
    <c:title>
      <c:tx>
        <c:rich>
          <a:bodyPr/>
          <a:lstStyle/>
          <a:p>
            <a:pPr>
              <a:defRPr sz="1000"/>
            </a:pPr>
            <a:r>
              <a:rPr lang="es-ES" sz="1000" baseline="0"/>
              <a:t>Empresas que poseen b</a:t>
            </a:r>
            <a:r>
              <a:rPr lang="es-ES" sz="1000"/>
              <a:t>odegas o sitios de almacenamiento (%)</a:t>
            </a:r>
          </a:p>
        </c:rich>
      </c:tx>
      <c:layout>
        <c:manualLayout>
          <c:xMode val="edge"/>
          <c:yMode val="edge"/>
          <c:x val="0.13407587687902647"/>
          <c:y val="2.2684177836549059E-2"/>
        </c:manualLayout>
      </c:layout>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Hoja1!$D$4</c:f>
              <c:strCache>
                <c:ptCount val="1"/>
                <c:pt idx="0">
                  <c:v>Bodegas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Hoja1!$C$5:$C$10</c:f>
              <c:strCache>
                <c:ptCount val="6"/>
                <c:pt idx="0">
                  <c:v>Bodegas o patio de materias primas</c:v>
                </c:pt>
                <c:pt idx="1">
                  <c:v>Bodega de productos terminados (frigoríficos)</c:v>
                </c:pt>
                <c:pt idx="2">
                  <c:v>Bodega de insumos</c:v>
                </c:pt>
                <c:pt idx="3">
                  <c:v>Bodega de químicos</c:v>
                </c:pt>
                <c:pt idx="4">
                  <c:v>Patio de acopio de residuos industriales no peligrosos</c:v>
                </c:pt>
                <c:pt idx="5">
                  <c:v>Bodega de residuos  peligrosos</c:v>
                </c:pt>
              </c:strCache>
            </c:strRef>
          </c:cat>
          <c:val>
            <c:numRef>
              <c:f>Hoja1!$D$5:$D$10</c:f>
              <c:numCache>
                <c:formatCode>0%</c:formatCode>
                <c:ptCount val="6"/>
                <c:pt idx="0">
                  <c:v>1</c:v>
                </c:pt>
                <c:pt idx="1">
                  <c:v>1</c:v>
                </c:pt>
                <c:pt idx="2">
                  <c:v>1</c:v>
                </c:pt>
                <c:pt idx="3">
                  <c:v>1</c:v>
                </c:pt>
                <c:pt idx="4">
                  <c:v>1</c:v>
                </c:pt>
                <c:pt idx="5">
                  <c:v>1</c:v>
                </c:pt>
              </c:numCache>
            </c:numRef>
          </c:val>
        </c:ser>
        <c:dLbls>
          <c:showLegendKey val="0"/>
          <c:showVal val="1"/>
          <c:showCatName val="0"/>
          <c:showSerName val="0"/>
          <c:showPercent val="0"/>
          <c:showBubbleSize val="0"/>
        </c:dLbls>
        <c:gapWidth val="95"/>
        <c:gapDepth val="95"/>
        <c:shape val="box"/>
        <c:axId val="266806016"/>
        <c:axId val="266808704"/>
        <c:axId val="0"/>
      </c:bar3DChart>
      <c:catAx>
        <c:axId val="266806016"/>
        <c:scaling>
          <c:orientation val="maxMin"/>
        </c:scaling>
        <c:delete val="0"/>
        <c:axPos val="l"/>
        <c:numFmt formatCode="General" sourceLinked="0"/>
        <c:majorTickMark val="none"/>
        <c:minorTickMark val="none"/>
        <c:tickLblPos val="nextTo"/>
        <c:crossAx val="266808704"/>
        <c:crosses val="autoZero"/>
        <c:auto val="1"/>
        <c:lblAlgn val="ctr"/>
        <c:lblOffset val="100"/>
        <c:noMultiLvlLbl val="0"/>
      </c:catAx>
      <c:valAx>
        <c:axId val="266808704"/>
        <c:scaling>
          <c:orientation val="minMax"/>
        </c:scaling>
        <c:delete val="1"/>
        <c:axPos val="t"/>
        <c:numFmt formatCode="0%" sourceLinked="1"/>
        <c:majorTickMark val="out"/>
        <c:minorTickMark val="none"/>
        <c:tickLblPos val="nextTo"/>
        <c:crossAx val="266806016"/>
        <c:crosses val="autoZero"/>
        <c:crossBetween val="between"/>
      </c:valAx>
    </c:plotArea>
    <c:plotVisOnly val="1"/>
    <c:dispBlanksAs val="gap"/>
    <c:showDLblsOverMax val="0"/>
  </c:chart>
  <c:txPr>
    <a:bodyPr/>
    <a:lstStyle/>
    <a:p>
      <a:pPr>
        <a:defRPr sz="800"/>
      </a:pPr>
      <a:endParaRPr lang="es-CL"/>
    </a:p>
  </c:txPr>
  <c:externalData r:id="rId2">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s-ES"/>
              <a:t>Seguridad Ocupacional (%)</a:t>
            </a:r>
          </a:p>
        </c:rich>
      </c:tx>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'Seguridad Ocupac'!$C$4</c:f>
              <c:strCache>
                <c:ptCount val="1"/>
                <c:pt idx="0">
                  <c:v>Si</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'Seguridad Ocupac'!$B$5:$B$20</c:f>
              <c:strCache>
                <c:ptCount val="16"/>
                <c:pt idx="0">
                  <c:v>La empresa está afiliada a alguna mutual de seguridad</c:v>
                </c:pt>
                <c:pt idx="1">
                  <c:v>Se mantienen registros de la tasa de accidentabilidad histórica</c:v>
                </c:pt>
                <c:pt idx="2">
                  <c:v>Se mantienen registros de la tasa de accidentabilidad actual</c:v>
                </c:pt>
                <c:pt idx="3">
                  <c:v>Existe un comité paritario de higiene y seguridad </c:v>
                </c:pt>
                <c:pt idx="4">
                  <c:v>Existe un reglamento interno de higiene y seguridad</c:v>
                </c:pt>
                <c:pt idx="5">
                  <c:v>Existe una identificación y evaluación de los riesgos  de seguridad ambientales de la empresa (Ley 16.744, DS 594, DS 40, DS 76)</c:v>
                </c:pt>
                <c:pt idx="6">
                  <c:v>Existen programas de prevención para emergencias (sismos, incendios, accidentes, etc.) indicar cuales tiene</c:v>
                </c:pt>
                <c:pt idx="7">
                  <c:v>La empresa ha recibido sanciones por incumplimiento del DS 594 sobre condiciones sanitarias y ambientales del lugar de trabajo</c:v>
                </c:pt>
                <c:pt idx="8">
                  <c:v>Existen procedimientos de trabajo seguro para los trabajadores</c:v>
                </c:pt>
                <c:pt idx="9">
                  <c:v>Existe un cronograma establecido de capacitaciones para el personal </c:v>
                </c:pt>
                <c:pt idx="10">
                  <c:v>Existen registros de capacitaciones, derecho a Saber al trabajador nuevo, entrega de elementos de protección personal, etc) </c:v>
                </c:pt>
                <c:pt idx="11">
                  <c:v>Cumplen con lo establecido en la Ley 20.123 - Subcontratación</c:v>
                </c:pt>
                <c:pt idx="12">
                  <c:v>Cumple con la norma técnica TMERT</c:v>
                </c:pt>
                <c:pt idx="13">
                  <c:v>Cumple con el Protocolo PREXOR</c:v>
                </c:pt>
                <c:pt idx="14">
                  <c:v>Cumple con el protocolo psicosocial</c:v>
                </c:pt>
                <c:pt idx="15">
                  <c:v>Protocolo para la evaluación de la  luminancia e iluminancia</c:v>
                </c:pt>
              </c:strCache>
            </c:strRef>
          </c:cat>
          <c:val>
            <c:numRef>
              <c:f>'Seguridad Ocupac'!$C$5:$C$20</c:f>
              <c:numCache>
                <c:formatCode>0%</c:formatCode>
                <c:ptCount val="16"/>
                <c:pt idx="0">
                  <c:v>1</c:v>
                </c:pt>
                <c:pt idx="1">
                  <c:v>1</c:v>
                </c:pt>
                <c:pt idx="2">
                  <c:v>1</c:v>
                </c:pt>
                <c:pt idx="3">
                  <c:v>1</c:v>
                </c:pt>
                <c:pt idx="4">
                  <c:v>1</c:v>
                </c:pt>
                <c:pt idx="5">
                  <c:v>1</c:v>
                </c:pt>
                <c:pt idx="6">
                  <c:v>1</c:v>
                </c:pt>
                <c:pt idx="7">
                  <c:v>1</c:v>
                </c:pt>
                <c:pt idx="8">
                  <c:v>1</c:v>
                </c:pt>
                <c:pt idx="9">
                  <c:v>1</c:v>
                </c:pt>
                <c:pt idx="10">
                  <c:v>1</c:v>
                </c:pt>
                <c:pt idx="11">
                  <c:v>1</c:v>
                </c:pt>
                <c:pt idx="12">
                  <c:v>1</c:v>
                </c:pt>
                <c:pt idx="13">
                  <c:v>1</c:v>
                </c:pt>
                <c:pt idx="14">
                  <c:v>1</c:v>
                </c:pt>
                <c:pt idx="15">
                  <c:v>1</c:v>
                </c:pt>
              </c:numCache>
            </c:numRef>
          </c:val>
        </c:ser>
        <c:ser>
          <c:idx val="1"/>
          <c:order val="1"/>
          <c:tx>
            <c:strRef>
              <c:f>'Seguridad Ocupac'!$D$4</c:f>
              <c:strCache>
                <c:ptCount val="1"/>
                <c:pt idx="0">
                  <c:v>No</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'Seguridad Ocupac'!$B$5:$B$20</c:f>
              <c:strCache>
                <c:ptCount val="16"/>
                <c:pt idx="0">
                  <c:v>La empresa está afiliada a alguna mutual de seguridad</c:v>
                </c:pt>
                <c:pt idx="1">
                  <c:v>Se mantienen registros de la tasa de accidentabilidad histórica</c:v>
                </c:pt>
                <c:pt idx="2">
                  <c:v>Se mantienen registros de la tasa de accidentabilidad actual</c:v>
                </c:pt>
                <c:pt idx="3">
                  <c:v>Existe un comité paritario de higiene y seguridad </c:v>
                </c:pt>
                <c:pt idx="4">
                  <c:v>Existe un reglamento interno de higiene y seguridad</c:v>
                </c:pt>
                <c:pt idx="5">
                  <c:v>Existe una identificación y evaluación de los riesgos  de seguridad ambientales de la empresa (Ley 16.744, DS 594, DS 40, DS 76)</c:v>
                </c:pt>
                <c:pt idx="6">
                  <c:v>Existen programas de prevención para emergencias (sismos, incendios, accidentes, etc.) indicar cuales tiene</c:v>
                </c:pt>
                <c:pt idx="7">
                  <c:v>La empresa ha recibido sanciones por incumplimiento del DS 594 sobre condiciones sanitarias y ambientales del lugar de trabajo</c:v>
                </c:pt>
                <c:pt idx="8">
                  <c:v>Existen procedimientos de trabajo seguro para los trabajadores</c:v>
                </c:pt>
                <c:pt idx="9">
                  <c:v>Existe un cronograma establecido de capacitaciones para el personal </c:v>
                </c:pt>
                <c:pt idx="10">
                  <c:v>Existen registros de capacitaciones, derecho a Saber al trabajador nuevo, entrega de elementos de protección personal, etc) </c:v>
                </c:pt>
                <c:pt idx="11">
                  <c:v>Cumplen con lo establecido en la Ley 20.123 - Subcontratación</c:v>
                </c:pt>
                <c:pt idx="12">
                  <c:v>Cumple con la norma técnica TMERT</c:v>
                </c:pt>
                <c:pt idx="13">
                  <c:v>Cumple con el Protocolo PREXOR</c:v>
                </c:pt>
                <c:pt idx="14">
                  <c:v>Cumple con el protocolo psicosocial</c:v>
                </c:pt>
                <c:pt idx="15">
                  <c:v>Protocolo para la evaluación de la  luminancia e iluminancia</c:v>
                </c:pt>
              </c:strCache>
            </c:strRef>
          </c:cat>
          <c:val>
            <c:numRef>
              <c:f>'Seguridad Ocupac'!$D$5:$D$20</c:f>
              <c:numCache>
                <c:formatCode>0%</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val>
        </c:ser>
        <c:dLbls>
          <c:showLegendKey val="0"/>
          <c:showVal val="1"/>
          <c:showCatName val="0"/>
          <c:showSerName val="0"/>
          <c:showPercent val="0"/>
          <c:showBubbleSize val="0"/>
        </c:dLbls>
        <c:gapWidth val="95"/>
        <c:gapDepth val="95"/>
        <c:shape val="box"/>
        <c:axId val="266859648"/>
        <c:axId val="266861184"/>
        <c:axId val="0"/>
      </c:bar3DChart>
      <c:catAx>
        <c:axId val="266859648"/>
        <c:scaling>
          <c:orientation val="maxMin"/>
        </c:scaling>
        <c:delete val="0"/>
        <c:axPos val="l"/>
        <c:numFmt formatCode="General" sourceLinked="0"/>
        <c:majorTickMark val="none"/>
        <c:minorTickMark val="none"/>
        <c:tickLblPos val="nextTo"/>
        <c:crossAx val="266861184"/>
        <c:crosses val="autoZero"/>
        <c:auto val="1"/>
        <c:lblAlgn val="ctr"/>
        <c:lblOffset val="100"/>
        <c:noMultiLvlLbl val="0"/>
      </c:catAx>
      <c:valAx>
        <c:axId val="266861184"/>
        <c:scaling>
          <c:orientation val="minMax"/>
        </c:scaling>
        <c:delete val="1"/>
        <c:axPos val="t"/>
        <c:numFmt formatCode="0%" sourceLinked="1"/>
        <c:majorTickMark val="out"/>
        <c:minorTickMark val="none"/>
        <c:tickLblPos val="nextTo"/>
        <c:crossAx val="266859648"/>
        <c:crosses val="autoZero"/>
        <c:crossBetween val="between"/>
      </c:valAx>
    </c:plotArea>
    <c:legend>
      <c:legendPos val="t"/>
      <c:overlay val="0"/>
    </c:legend>
    <c:plotVisOnly val="1"/>
    <c:dispBlanksAs val="gap"/>
    <c:showDLblsOverMax val="0"/>
  </c:chart>
  <c:txPr>
    <a:bodyPr/>
    <a:lstStyle/>
    <a:p>
      <a:pPr>
        <a:defRPr sz="800"/>
      </a:pPr>
      <a:endParaRPr lang="es-C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1000"/>
            </a:pPr>
            <a:r>
              <a:rPr lang="en-US" sz="1000"/>
              <a:t>Según genero (N°)</a:t>
            </a:r>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4.9929127087319863E-2"/>
          <c:y val="0.29622821142272893"/>
          <c:w val="0.90014174582536033"/>
          <c:h val="0.5583557025660667"/>
        </c:manualLayout>
      </c:layout>
      <c:bar3DChart>
        <c:barDir val="col"/>
        <c:grouping val="stacked"/>
        <c:varyColors val="0"/>
        <c:ser>
          <c:idx val="0"/>
          <c:order val="0"/>
          <c:tx>
            <c:strRef>
              <c:f>RRHH!$J$16</c:f>
              <c:strCache>
                <c:ptCount val="1"/>
                <c:pt idx="0">
                  <c:v>Promedio</c:v>
                </c:pt>
              </c:strCache>
            </c:strRef>
          </c:tx>
          <c:invertIfNegative val="0"/>
          <c:dLbls>
            <c:dLbl>
              <c:idx val="0"/>
              <c:layout>
                <c:manualLayout>
                  <c:x val="3.9841569158917955E-2"/>
                  <c:y val="-0.25540506631698601"/>
                </c:manualLayout>
              </c:layout>
              <c:showLegendKey val="0"/>
              <c:showVal val="1"/>
              <c:showCatName val="0"/>
              <c:showSerName val="0"/>
              <c:showPercent val="0"/>
              <c:showBubbleSize val="0"/>
            </c:dLbl>
            <c:dLbl>
              <c:idx val="1"/>
              <c:layout>
                <c:manualLayout>
                  <c:x val="5.7951373322062474E-2"/>
                  <c:y val="-0.20896740757465718"/>
                </c:manualLayout>
              </c:layout>
              <c:showLegendKey val="0"/>
              <c:showVal val="1"/>
              <c:showCatName val="0"/>
              <c:showSerName val="0"/>
              <c:showPercent val="0"/>
              <c:showBubbleSize val="0"/>
            </c:dLbl>
            <c:numFmt formatCode="#,##0" sourceLinked="0"/>
            <c:txPr>
              <a:bodyPr/>
              <a:lstStyle/>
              <a:p>
                <a:pPr>
                  <a:defRPr sz="900"/>
                </a:pPr>
                <a:endParaRPr lang="es-CL"/>
              </a:p>
            </c:txPr>
            <c:showLegendKey val="0"/>
            <c:showVal val="1"/>
            <c:showCatName val="0"/>
            <c:showSerName val="0"/>
            <c:showPercent val="0"/>
            <c:showBubbleSize val="0"/>
            <c:showLeaderLines val="0"/>
          </c:dLbls>
          <c:cat>
            <c:strRef>
              <c:f>RRHH!$K$15:$L$15</c:f>
              <c:strCache>
                <c:ptCount val="2"/>
                <c:pt idx="0">
                  <c:v>Mujeres</c:v>
                </c:pt>
                <c:pt idx="1">
                  <c:v>Hombres</c:v>
                </c:pt>
              </c:strCache>
            </c:strRef>
          </c:cat>
          <c:val>
            <c:numRef>
              <c:f>RRHH!$K$16:$L$16</c:f>
              <c:numCache>
                <c:formatCode>_-* #,##0\ _€_-;\-* #,##0\ _€_-;_-* "-"??\ _€_-;_-@_-</c:formatCode>
                <c:ptCount val="2"/>
                <c:pt idx="0">
                  <c:v>213.625</c:v>
                </c:pt>
                <c:pt idx="1">
                  <c:v>140.625</c:v>
                </c:pt>
              </c:numCache>
            </c:numRef>
          </c:val>
        </c:ser>
        <c:dLbls>
          <c:showLegendKey val="0"/>
          <c:showVal val="1"/>
          <c:showCatName val="0"/>
          <c:showSerName val="0"/>
          <c:showPercent val="0"/>
          <c:showBubbleSize val="0"/>
        </c:dLbls>
        <c:gapWidth val="95"/>
        <c:gapDepth val="95"/>
        <c:shape val="box"/>
        <c:axId val="382789120"/>
        <c:axId val="385233664"/>
        <c:axId val="0"/>
      </c:bar3DChart>
      <c:catAx>
        <c:axId val="382789120"/>
        <c:scaling>
          <c:orientation val="minMax"/>
        </c:scaling>
        <c:delete val="0"/>
        <c:axPos val="b"/>
        <c:majorTickMark val="none"/>
        <c:minorTickMark val="none"/>
        <c:tickLblPos val="nextTo"/>
        <c:txPr>
          <a:bodyPr/>
          <a:lstStyle/>
          <a:p>
            <a:pPr>
              <a:defRPr sz="900"/>
            </a:pPr>
            <a:endParaRPr lang="es-CL"/>
          </a:p>
        </c:txPr>
        <c:crossAx val="385233664"/>
        <c:crosses val="autoZero"/>
        <c:auto val="1"/>
        <c:lblAlgn val="ctr"/>
        <c:lblOffset val="100"/>
        <c:noMultiLvlLbl val="0"/>
      </c:catAx>
      <c:valAx>
        <c:axId val="385233664"/>
        <c:scaling>
          <c:orientation val="minMax"/>
        </c:scaling>
        <c:delete val="1"/>
        <c:axPos val="l"/>
        <c:numFmt formatCode="_-* #,##0\ _€_-;\-* #,##0\ _€_-;_-* &quot;-&quot;??\ _€_-;_-@_-" sourceLinked="1"/>
        <c:majorTickMark val="out"/>
        <c:minorTickMark val="none"/>
        <c:tickLblPos val="nextTo"/>
        <c:crossAx val="382789120"/>
        <c:crosses val="autoZero"/>
        <c:crossBetween val="between"/>
      </c:valAx>
    </c:plotArea>
    <c:plotVisOnly val="1"/>
    <c:dispBlanksAs val="gap"/>
    <c:showDLblsOverMax val="0"/>
  </c:chart>
  <c:txPr>
    <a:bodyPr/>
    <a:lstStyle/>
    <a:p>
      <a:pPr>
        <a:defRPr sz="1000"/>
      </a:pPr>
      <a:endParaRPr lang="es-C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1000"/>
            </a:pPr>
            <a:r>
              <a:rPr lang="en-US" sz="1000"/>
              <a:t>Tipo de Contrato  (N°)</a:t>
            </a:r>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4.9929127087319863E-2"/>
          <c:y val="0.27315495536589635"/>
          <c:w val="0.90014174582536033"/>
          <c:h val="0.58142895862289934"/>
        </c:manualLayout>
      </c:layout>
      <c:bar3DChart>
        <c:barDir val="col"/>
        <c:grouping val="stacked"/>
        <c:varyColors val="0"/>
        <c:ser>
          <c:idx val="0"/>
          <c:order val="0"/>
          <c:tx>
            <c:strRef>
              <c:f>RRHH!$E$16</c:f>
              <c:strCache>
                <c:ptCount val="1"/>
                <c:pt idx="0">
                  <c:v>Promedio</c:v>
                </c:pt>
              </c:strCache>
            </c:strRef>
          </c:tx>
          <c:invertIfNegative val="0"/>
          <c:dLbls>
            <c:dLbl>
              <c:idx val="0"/>
              <c:layout>
                <c:manualLayout>
                  <c:x val="1.8109804163144557E-2"/>
                  <c:y val="-0.2844278603099501"/>
                </c:manualLayout>
              </c:layout>
              <c:showLegendKey val="0"/>
              <c:showVal val="1"/>
              <c:showCatName val="0"/>
              <c:showSerName val="0"/>
              <c:showPercent val="0"/>
              <c:showBubbleSize val="0"/>
            </c:dLbl>
            <c:dLbl>
              <c:idx val="1"/>
              <c:layout>
                <c:manualLayout>
                  <c:x val="2.8975686661031237E-2"/>
                  <c:y val="-0.21477205778506431"/>
                </c:manualLayout>
              </c:layout>
              <c:showLegendKey val="0"/>
              <c:showVal val="1"/>
              <c:showCatName val="0"/>
              <c:showSerName val="0"/>
              <c:showPercent val="0"/>
              <c:showBubbleSize val="0"/>
            </c:dLbl>
            <c:txPr>
              <a:bodyPr/>
              <a:lstStyle/>
              <a:p>
                <a:pPr>
                  <a:defRPr sz="900"/>
                </a:pPr>
                <a:endParaRPr lang="es-CL"/>
              </a:p>
            </c:txPr>
            <c:showLegendKey val="0"/>
            <c:showVal val="1"/>
            <c:showCatName val="0"/>
            <c:showSerName val="0"/>
            <c:showPercent val="0"/>
            <c:showBubbleSize val="0"/>
            <c:showLeaderLines val="0"/>
          </c:dLbls>
          <c:cat>
            <c:strRef>
              <c:f>RRHH!$F$15:$G$15</c:f>
              <c:strCache>
                <c:ptCount val="2"/>
                <c:pt idx="0">
                  <c:v>Temporal</c:v>
                </c:pt>
                <c:pt idx="1">
                  <c:v>Indefinido</c:v>
                </c:pt>
              </c:strCache>
            </c:strRef>
          </c:cat>
          <c:val>
            <c:numRef>
              <c:f>RRHH!$F$16:$G$16</c:f>
              <c:numCache>
                <c:formatCode>_-* #,##0\ _€_-;\-* #,##0\ _€_-;_-* "-"??\ _€_-;_-@_-</c:formatCode>
                <c:ptCount val="2"/>
                <c:pt idx="0">
                  <c:v>216</c:v>
                </c:pt>
                <c:pt idx="1">
                  <c:v>138.25</c:v>
                </c:pt>
              </c:numCache>
            </c:numRef>
          </c:val>
        </c:ser>
        <c:dLbls>
          <c:showLegendKey val="0"/>
          <c:showVal val="1"/>
          <c:showCatName val="0"/>
          <c:showSerName val="0"/>
          <c:showPercent val="0"/>
          <c:showBubbleSize val="0"/>
        </c:dLbls>
        <c:gapWidth val="95"/>
        <c:gapDepth val="95"/>
        <c:shape val="box"/>
        <c:axId val="390383488"/>
        <c:axId val="390433792"/>
        <c:axId val="0"/>
      </c:bar3DChart>
      <c:catAx>
        <c:axId val="390383488"/>
        <c:scaling>
          <c:orientation val="minMax"/>
        </c:scaling>
        <c:delete val="0"/>
        <c:axPos val="b"/>
        <c:majorTickMark val="none"/>
        <c:minorTickMark val="none"/>
        <c:tickLblPos val="nextTo"/>
        <c:txPr>
          <a:bodyPr/>
          <a:lstStyle/>
          <a:p>
            <a:pPr>
              <a:defRPr sz="900"/>
            </a:pPr>
            <a:endParaRPr lang="es-CL"/>
          </a:p>
        </c:txPr>
        <c:crossAx val="390433792"/>
        <c:crosses val="autoZero"/>
        <c:auto val="1"/>
        <c:lblAlgn val="ctr"/>
        <c:lblOffset val="100"/>
        <c:noMultiLvlLbl val="0"/>
      </c:catAx>
      <c:valAx>
        <c:axId val="390433792"/>
        <c:scaling>
          <c:orientation val="minMax"/>
        </c:scaling>
        <c:delete val="1"/>
        <c:axPos val="l"/>
        <c:numFmt formatCode="_-* #,##0\ _€_-;\-* #,##0\ _€_-;_-* &quot;-&quot;??\ _€_-;_-@_-" sourceLinked="1"/>
        <c:majorTickMark val="out"/>
        <c:minorTickMark val="none"/>
        <c:tickLblPos val="nextTo"/>
        <c:crossAx val="390383488"/>
        <c:crosses val="autoZero"/>
        <c:crossBetween val="between"/>
      </c:valAx>
    </c:plotArea>
    <c:plotVisOnly val="1"/>
    <c:dispBlanksAs val="gap"/>
    <c:showDLblsOverMax val="0"/>
  </c:chart>
  <c:txPr>
    <a:bodyPr/>
    <a:lstStyle/>
    <a:p>
      <a:pPr>
        <a:defRPr sz="1000"/>
      </a:pPr>
      <a:endParaRPr lang="es-C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900"/>
            </a:pPr>
            <a:r>
              <a:rPr lang="es-ES" sz="900"/>
              <a:t>Nivel de Educacion RRHH Plantas de Proceso (%)</a:t>
            </a:r>
          </a:p>
        </c:rich>
      </c:tx>
      <c:layout>
        <c:manualLayout>
          <c:xMode val="edge"/>
          <c:yMode val="edge"/>
          <c:x val="0.1423995568256482"/>
          <c:y val="1.7391304347826087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27004480838945466"/>
          <c:y val="0.48729714249347672"/>
          <c:w val="0.61208747685318599"/>
          <c:h val="0.48955096326063041"/>
        </c:manualLayout>
      </c:layout>
      <c:pie3DChart>
        <c:varyColors val="1"/>
        <c:ser>
          <c:idx val="0"/>
          <c:order val="0"/>
          <c:dPt>
            <c:idx val="1"/>
            <c:bubble3D val="0"/>
          </c:dPt>
          <c:dLbls>
            <c:dLbl>
              <c:idx val="2"/>
              <c:layout>
                <c:manualLayout>
                  <c:x val="0.22422812773403325"/>
                  <c:y val="-0.11736038203557889"/>
                </c:manualLayout>
              </c:layout>
              <c:showLegendKey val="0"/>
              <c:showVal val="0"/>
              <c:showCatName val="1"/>
              <c:showSerName val="0"/>
              <c:showPercent val="1"/>
              <c:showBubbleSize val="0"/>
            </c:dLbl>
            <c:dLbl>
              <c:idx val="4"/>
              <c:layout>
                <c:manualLayout>
                  <c:x val="-0.20619085579589361"/>
                  <c:y val="0.11061326029898443"/>
                </c:manualLayout>
              </c:layout>
              <c:showLegendKey val="0"/>
              <c:showVal val="0"/>
              <c:showCatName val="1"/>
              <c:showSerName val="0"/>
              <c:showPercent val="1"/>
              <c:showBubbleSize val="0"/>
            </c:dLbl>
            <c:dLbl>
              <c:idx val="5"/>
              <c:layout>
                <c:manualLayout>
                  <c:x val="-7.4128038182856112E-2"/>
                  <c:y val="-1.862102019856211E-2"/>
                </c:manualLayout>
              </c:layout>
              <c:showLegendKey val="0"/>
              <c:showVal val="0"/>
              <c:showCatName val="1"/>
              <c:showSerName val="0"/>
              <c:showPercent val="1"/>
              <c:showBubbleSize val="0"/>
            </c:dLbl>
            <c:dLbl>
              <c:idx val="6"/>
              <c:layout>
                <c:manualLayout>
                  <c:x val="0.31785762417501662"/>
                  <c:y val="-1.4663927878580394E-2"/>
                </c:manualLayout>
              </c:layout>
              <c:showLegendKey val="0"/>
              <c:showVal val="0"/>
              <c:showCatName val="1"/>
              <c:showSerName val="0"/>
              <c:showPercent val="1"/>
              <c:showBubbleSize val="0"/>
            </c:dLbl>
            <c:txPr>
              <a:bodyPr/>
              <a:lstStyle/>
              <a:p>
                <a:pPr>
                  <a:defRPr sz="800"/>
                </a:pPr>
                <a:endParaRPr lang="es-CL"/>
              </a:p>
            </c:txPr>
            <c:showLegendKey val="0"/>
            <c:showVal val="0"/>
            <c:showCatName val="1"/>
            <c:showSerName val="0"/>
            <c:showPercent val="1"/>
            <c:showBubbleSize val="0"/>
            <c:showLeaderLines val="1"/>
          </c:dLbls>
          <c:cat>
            <c:strRef>
              <c:f>RRHH!$A$37:$G$37</c:f>
              <c:strCache>
                <c:ptCount val="7"/>
                <c:pt idx="0">
                  <c:v>Sin Enseñanza</c:v>
                </c:pt>
                <c:pt idx="1">
                  <c:v>Enseñanza Básica</c:v>
                </c:pt>
                <c:pt idx="3">
                  <c:v>Enseñanza Media</c:v>
                </c:pt>
                <c:pt idx="4">
                  <c:v>Profesional Enseñanza Técnica</c:v>
                </c:pt>
                <c:pt idx="5">
                  <c:v>Profesional Enseñanza Superior</c:v>
                </c:pt>
                <c:pt idx="6">
                  <c:v>Postgrado</c:v>
                </c:pt>
              </c:strCache>
            </c:strRef>
          </c:cat>
          <c:val>
            <c:numRef>
              <c:f>RRHH!$A$38:$G$38</c:f>
              <c:numCache>
                <c:formatCode>0</c:formatCode>
                <c:ptCount val="7"/>
                <c:pt idx="1">
                  <c:v>636.29</c:v>
                </c:pt>
                <c:pt idx="3">
                  <c:v>406.17</c:v>
                </c:pt>
                <c:pt idx="4">
                  <c:v>90.05</c:v>
                </c:pt>
                <c:pt idx="5">
                  <c:v>79.490000000000009</c:v>
                </c:pt>
                <c:pt idx="6">
                  <c:v>6</c:v>
                </c:pt>
              </c:numCache>
            </c:numRef>
          </c:val>
        </c:ser>
        <c:dLbls>
          <c:showLegendKey val="0"/>
          <c:showVal val="0"/>
          <c:showCatName val="1"/>
          <c:showSerName val="0"/>
          <c:showPercent val="1"/>
          <c:showBubbleSize val="0"/>
          <c:showLeaderLines val="1"/>
        </c:dLbls>
      </c:pie3DChart>
    </c:plotArea>
    <c:plotVisOnly val="1"/>
    <c:dispBlanksAs val="gap"/>
    <c:showDLblsOverMax val="0"/>
  </c:chart>
  <c:txPr>
    <a:bodyPr/>
    <a:lstStyle/>
    <a:p>
      <a:pPr>
        <a:defRPr sz="900"/>
      </a:pPr>
      <a:endParaRPr lang="es-C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900"/>
            </a:pPr>
            <a:r>
              <a:rPr lang="en-US" sz="900"/>
              <a:t>Plantas de Proceso que Declara Información sobre el Nivel de Escolaridad (%)</a:t>
            </a:r>
          </a:p>
        </c:rich>
      </c:tx>
      <c:layout>
        <c:manualLayout>
          <c:xMode val="edge"/>
          <c:yMode val="edge"/>
          <c:x val="0.12231172237307975"/>
          <c:y val="1.7391304347826087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2287750620222031"/>
          <c:y val="0.3623543576482211"/>
          <c:w val="0.69621761554206707"/>
          <c:h val="0.49342748027835487"/>
        </c:manualLayout>
      </c:layout>
      <c:pie3DChart>
        <c:varyColors val="1"/>
        <c:ser>
          <c:idx val="0"/>
          <c:order val="0"/>
          <c:tx>
            <c:strRef>
              <c:f>RRHH!$B$32</c:f>
              <c:strCache>
                <c:ptCount val="1"/>
                <c:pt idx="0">
                  <c:v>Declara Información</c:v>
                </c:pt>
              </c:strCache>
            </c:strRef>
          </c:tx>
          <c:dLbls>
            <c:dLbl>
              <c:idx val="1"/>
              <c:layout>
                <c:manualLayout>
                  <c:x val="0.27707926264884158"/>
                  <c:y val="-6.70985392181076E-2"/>
                </c:manualLayout>
              </c:layout>
              <c:showLegendKey val="0"/>
              <c:showVal val="0"/>
              <c:showCatName val="1"/>
              <c:showSerName val="0"/>
              <c:showPercent val="1"/>
              <c:showBubbleSize val="0"/>
            </c:dLbl>
            <c:txPr>
              <a:bodyPr/>
              <a:lstStyle/>
              <a:p>
                <a:pPr>
                  <a:defRPr sz="800"/>
                </a:pPr>
                <a:endParaRPr lang="es-CL"/>
              </a:p>
            </c:txPr>
            <c:showLegendKey val="0"/>
            <c:showVal val="0"/>
            <c:showCatName val="1"/>
            <c:showSerName val="0"/>
            <c:showPercent val="1"/>
            <c:showBubbleSize val="0"/>
            <c:showLeaderLines val="1"/>
          </c:dLbls>
          <c:cat>
            <c:strRef>
              <c:f>RRHH!$A$33:$A$34</c:f>
              <c:strCache>
                <c:ptCount val="2"/>
                <c:pt idx="0">
                  <c:v>Si</c:v>
                </c:pt>
                <c:pt idx="1">
                  <c:v>NI</c:v>
                </c:pt>
              </c:strCache>
            </c:strRef>
          </c:cat>
          <c:val>
            <c:numRef>
              <c:f>RRHH!$B$33:$B$34</c:f>
              <c:numCache>
                <c:formatCode>General</c:formatCode>
                <c:ptCount val="2"/>
                <c:pt idx="0">
                  <c:v>4</c:v>
                </c:pt>
                <c:pt idx="1">
                  <c:v>5</c:v>
                </c:pt>
              </c:numCache>
            </c:numRef>
          </c:val>
        </c:ser>
        <c:dLbls>
          <c:showLegendKey val="0"/>
          <c:showVal val="0"/>
          <c:showCatName val="0"/>
          <c:showSerName val="0"/>
          <c:showPercent val="0"/>
          <c:showBubbleSize val="0"/>
          <c:showLeaderLines val="1"/>
        </c:dLbls>
      </c:pie3DChart>
    </c:plotArea>
    <c:plotVisOnly val="1"/>
    <c:dispBlanksAs val="gap"/>
    <c:showDLblsOverMax val="0"/>
  </c:chart>
  <c:txPr>
    <a:bodyPr/>
    <a:lstStyle/>
    <a:p>
      <a:pPr>
        <a:defRPr sz="900"/>
      </a:pPr>
      <a:endParaRPr lang="es-C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lrMapOvr bg1="lt1" tx1="dk1" bg2="lt2" tx2="dk2" accent1="accent1" accent2="accent2" accent3="accent3" accent4="accent4" accent5="accent5" accent6="accent6" hlink="hlink" folHlink="folHlink"/>
  <c:chart>
    <c:title>
      <c:tx>
        <c:rich>
          <a:bodyPr/>
          <a:lstStyle/>
          <a:p>
            <a:pPr>
              <a:defRPr sz="800"/>
            </a:pPr>
            <a:r>
              <a:rPr lang="en-US" sz="800"/>
              <a:t>Toneladas</a:t>
            </a:r>
            <a:r>
              <a:rPr lang="en-US" sz="800" baseline="0"/>
              <a:t> producidas por trabajador </a:t>
            </a:r>
            <a:r>
              <a:rPr lang="en-US" sz="800" b="1" i="0" u="none" strike="noStrike" baseline="0">
                <a:effectLst/>
              </a:rPr>
              <a:t>(Ton/N°)</a:t>
            </a:r>
            <a:endParaRPr lang="en-US" sz="80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RRHH!$N$20</c:f>
              <c:strCache>
                <c:ptCount val="1"/>
                <c:pt idx="0">
                  <c:v>N° Total personas/PF (Ton)</c:v>
                </c:pt>
              </c:strCache>
            </c:strRef>
          </c:tx>
          <c:invertIfNegative val="0"/>
          <c:dLbls>
            <c:dLbl>
              <c:idx val="0"/>
              <c:layout>
                <c:manualLayout>
                  <c:x val="4.4853199564378228E-2"/>
                  <c:y val="-6.893518692938496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RRHH!$P$20</c:f>
              <c:numCache>
                <c:formatCode>_-* #,##0\ _€_-;\-* #,##0\ _€_-;_-* "-"??\ _€_-;_-@_-</c:formatCode>
                <c:ptCount val="1"/>
                <c:pt idx="0">
                  <c:v>15.904862134399748</c:v>
                </c:pt>
              </c:numCache>
            </c:numRef>
          </c:val>
        </c:ser>
        <c:dLbls>
          <c:showLegendKey val="0"/>
          <c:showVal val="1"/>
          <c:showCatName val="0"/>
          <c:showSerName val="0"/>
          <c:showPercent val="0"/>
          <c:showBubbleSize val="0"/>
        </c:dLbls>
        <c:gapWidth val="150"/>
        <c:shape val="box"/>
        <c:axId val="134916736"/>
        <c:axId val="134936064"/>
        <c:axId val="0"/>
      </c:bar3DChart>
      <c:catAx>
        <c:axId val="134916736"/>
        <c:scaling>
          <c:orientation val="minMax"/>
        </c:scaling>
        <c:delete val="1"/>
        <c:axPos val="b"/>
        <c:majorTickMark val="none"/>
        <c:minorTickMark val="none"/>
        <c:tickLblPos val="nextTo"/>
        <c:crossAx val="134936064"/>
        <c:crosses val="autoZero"/>
        <c:auto val="1"/>
        <c:lblAlgn val="ctr"/>
        <c:lblOffset val="100"/>
        <c:noMultiLvlLbl val="0"/>
      </c:catAx>
      <c:valAx>
        <c:axId val="134936064"/>
        <c:scaling>
          <c:orientation val="minMax"/>
        </c:scaling>
        <c:delete val="1"/>
        <c:axPos val="l"/>
        <c:numFmt formatCode="_-* #,##0\ _€_-;\-* #,##0\ _€_-;_-* &quot;-&quot;??\ _€_-;_-@_-" sourceLinked="1"/>
        <c:majorTickMark val="out"/>
        <c:minorTickMark val="none"/>
        <c:tickLblPos val="nextTo"/>
        <c:crossAx val="134916736"/>
        <c:crosses val="autoZero"/>
        <c:crossBetween val="between"/>
      </c:valAx>
    </c:plotArea>
    <c:plotVisOnly val="1"/>
    <c:dispBlanksAs val="gap"/>
    <c:showDLblsOverMax val="0"/>
  </c:chart>
  <c:txPr>
    <a:bodyPr/>
    <a:lstStyle/>
    <a:p>
      <a:pPr>
        <a:defRPr sz="800"/>
      </a:pPr>
      <a:endParaRPr lang="es-CL"/>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Insumos!$B$20</c:f>
              <c:strCache>
                <c:ptCount val="1"/>
                <c:pt idx="0">
                  <c:v>Insumo /Mil Ton PF</c:v>
                </c:pt>
              </c:strCache>
            </c:strRef>
          </c:tx>
          <c:invertIfNegative val="0"/>
          <c:dLbls>
            <c:txPr>
              <a:bodyPr/>
              <a:lstStyle/>
              <a:p>
                <a:pPr>
                  <a:defRPr sz="900"/>
                </a:pPr>
                <a:endParaRPr lang="es-CL"/>
              </a:p>
            </c:txPr>
            <c:showLegendKey val="0"/>
            <c:showVal val="1"/>
            <c:showCatName val="0"/>
            <c:showSerName val="0"/>
            <c:showPercent val="0"/>
            <c:showBubbleSize val="0"/>
            <c:showLeaderLines val="0"/>
          </c:dLbls>
          <c:cat>
            <c:strRef>
              <c:f>Insumos!$C$18:$U$18</c:f>
              <c:strCache>
                <c:ptCount val="19"/>
                <c:pt idx="0">
                  <c:v>Mallas (u//Mil Ton PF)</c:v>
                </c:pt>
                <c:pt idx="1">
                  <c:v>Bins (u/Mil Ton PF)</c:v>
                </c:pt>
                <c:pt idx="2">
                  <c:v>Maxisacos (u//Mil Ton PF)</c:v>
                </c:pt>
                <c:pt idx="3">
                  <c:v>Cajas Cartón (u/Mil Ton PF)</c:v>
                </c:pt>
                <c:pt idx="4">
                  <c:v>Bolsas Plásticas (u/Mil Ton PF)</c:v>
                </c:pt>
                <c:pt idx="5">
                  <c:v>Cintas Embalaje (u/Mil Ton PF)</c:v>
                </c:pt>
                <c:pt idx="6">
                  <c:v>Etiquetas (u/Mil Ton PF)</c:v>
                </c:pt>
                <c:pt idx="7">
                  <c:v>Vitafilm (u/Mil Ton PF)</c:v>
                </c:pt>
                <c:pt idx="8">
                  <c:v>Pallets Madera (u/Mil Ton PF)</c:v>
                </c:pt>
                <c:pt idx="9">
                  <c:v>Pallets Plasticos (u/Mil Ton PF)</c:v>
                </c:pt>
                <c:pt idx="10">
                  <c:v>Tocas (u/Mil Ton PF)</c:v>
                </c:pt>
                <c:pt idx="11">
                  <c:v>Guantes Quirúrgico (pares/Mil Ton PF)</c:v>
                </c:pt>
                <c:pt idx="12">
                  <c:v>Guantes de Hilo (pares/Mil Ton PF)</c:v>
                </c:pt>
                <c:pt idx="13">
                  <c:v>Botas (pares/Mil Ton PF)</c:v>
                </c:pt>
                <c:pt idx="14">
                  <c:v>Mascarillas (u/Mil Ton PF)</c:v>
                </c:pt>
                <c:pt idx="15">
                  <c:v>Protectores Auditivos (u/Mil Ton PF)</c:v>
                </c:pt>
                <c:pt idx="16">
                  <c:v>Pecheras Desechables (u/Mil Ton PF)</c:v>
                </c:pt>
                <c:pt idx="17">
                  <c:v>Salsas (kg/Mil Ton PF)</c:v>
                </c:pt>
                <c:pt idx="18">
                  <c:v>Aceites y Grasas (Lts/Mil Ton PF)</c:v>
                </c:pt>
              </c:strCache>
            </c:strRef>
          </c:cat>
          <c:val>
            <c:numRef>
              <c:f>Insumos!$C$20:$U$20</c:f>
              <c:numCache>
                <c:formatCode>_-* #,##0\ _€_-;\-* #,##0\ _€_-;_-* "-"??\ _€_-;_-@_-</c:formatCode>
                <c:ptCount val="19"/>
                <c:pt idx="0">
                  <c:v>59318.284562643996</c:v>
                </c:pt>
                <c:pt idx="1">
                  <c:v>56.009011513859079</c:v>
                </c:pt>
                <c:pt idx="2">
                  <c:v>170.66394590302647</c:v>
                </c:pt>
                <c:pt idx="3">
                  <c:v>154794.218875761</c:v>
                </c:pt>
                <c:pt idx="4">
                  <c:v>355597.97994097538</c:v>
                </c:pt>
                <c:pt idx="5">
                  <c:v>2416.6785529343433</c:v>
                </c:pt>
                <c:pt idx="6">
                  <c:v>345394.02602868562</c:v>
                </c:pt>
                <c:pt idx="7">
                  <c:v>687.77430746876519</c:v>
                </c:pt>
                <c:pt idx="8">
                  <c:v>505.32349455464538</c:v>
                </c:pt>
                <c:pt idx="9">
                  <c:v>39.9339941757936</c:v>
                </c:pt>
                <c:pt idx="10">
                  <c:v>25701.163682703642</c:v>
                </c:pt>
                <c:pt idx="11">
                  <c:v>55304.366678533355</c:v>
                </c:pt>
                <c:pt idx="12">
                  <c:v>1507.1089401944503</c:v>
                </c:pt>
                <c:pt idx="13">
                  <c:v>98.348553434051681</c:v>
                </c:pt>
                <c:pt idx="14">
                  <c:v>26418.555702519454</c:v>
                </c:pt>
                <c:pt idx="15">
                  <c:v>182.87550777281479</c:v>
                </c:pt>
                <c:pt idx="16">
                  <c:v>26597.206447257639</c:v>
                </c:pt>
                <c:pt idx="17">
                  <c:v>621.19546495678935</c:v>
                </c:pt>
                <c:pt idx="18">
                  <c:v>38175.922267756607</c:v>
                </c:pt>
              </c:numCache>
            </c:numRef>
          </c:val>
        </c:ser>
        <c:dLbls>
          <c:showLegendKey val="0"/>
          <c:showVal val="1"/>
          <c:showCatName val="0"/>
          <c:showSerName val="0"/>
          <c:showPercent val="0"/>
          <c:showBubbleSize val="0"/>
        </c:dLbls>
        <c:gapWidth val="150"/>
        <c:axId val="134963584"/>
        <c:axId val="134966272"/>
      </c:barChart>
      <c:catAx>
        <c:axId val="134963584"/>
        <c:scaling>
          <c:orientation val="minMax"/>
        </c:scaling>
        <c:delete val="0"/>
        <c:axPos val="l"/>
        <c:majorTickMark val="none"/>
        <c:minorTickMark val="none"/>
        <c:tickLblPos val="nextTo"/>
        <c:txPr>
          <a:bodyPr/>
          <a:lstStyle/>
          <a:p>
            <a:pPr>
              <a:defRPr sz="800"/>
            </a:pPr>
            <a:endParaRPr lang="es-CL"/>
          </a:p>
        </c:txPr>
        <c:crossAx val="134966272"/>
        <c:crosses val="autoZero"/>
        <c:auto val="1"/>
        <c:lblAlgn val="ctr"/>
        <c:lblOffset val="100"/>
        <c:noMultiLvlLbl val="0"/>
      </c:catAx>
      <c:valAx>
        <c:axId val="134966272"/>
        <c:scaling>
          <c:orientation val="minMax"/>
        </c:scaling>
        <c:delete val="1"/>
        <c:axPos val="b"/>
        <c:numFmt formatCode="_-* #,##0\ _€_-;\-* #,##0\ _€_-;_-* &quot;-&quot;??\ _€_-;_-@_-" sourceLinked="1"/>
        <c:majorTickMark val="out"/>
        <c:minorTickMark val="none"/>
        <c:tickLblPos val="nextTo"/>
        <c:crossAx val="134963584"/>
        <c:crosses val="autoZero"/>
        <c:crossBetween val="between"/>
      </c:valAx>
    </c:plotArea>
    <c:legend>
      <c:legendPos val="t"/>
      <c:layout>
        <c:manualLayout>
          <c:xMode val="edge"/>
          <c:yMode val="edge"/>
          <c:x val="0.34175836140299592"/>
          <c:y val="1.1293160918589625E-2"/>
          <c:w val="0.49278802836212637"/>
          <c:h val="3.1320666441400462E-2"/>
        </c:manualLayout>
      </c:layout>
      <c:overlay val="0"/>
      <c:txPr>
        <a:bodyPr/>
        <a:lstStyle/>
        <a:p>
          <a:pPr>
            <a:defRPr sz="900" b="1"/>
          </a:pPr>
          <a:endParaRPr lang="es-CL"/>
        </a:p>
      </c:txPr>
    </c:legend>
    <c:plotVisOnly val="1"/>
    <c:dispBlanksAs val="gap"/>
    <c:showDLblsOverMax val="0"/>
  </c:chart>
  <c:txPr>
    <a:bodyPr/>
    <a:lstStyle/>
    <a:p>
      <a:pPr>
        <a:defRPr sz="1050"/>
      </a:pPr>
      <a:endParaRPr lang="es-CL"/>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Ivonne Cartes,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8B0C3B9-F7B1-4833-AEEB-A8FAA2203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42</Pages>
  <Words>8745</Words>
  <Characters>48101</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Sistematización de la información existente sobre la industria mitilicultora en Chi</vt:lpstr>
    </vt:vector>
  </TitlesOfParts>
  <Company>Elaborado pr</Company>
  <LinksUpToDate>false</LinksUpToDate>
  <CharactersWithSpaces>56733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Sistematización de la información existente sobre la industria mitilicultora en Chi</dc:title>
  <dc:creator>Usuario de Microsoft Office</dc:creator>
  <cp:lastModifiedBy>Ivonne Cartes</cp:lastModifiedBy>
  <cp:revision>14</cp:revision>
  <cp:lastPrinted>2017-02-03T19:50:00Z</cp:lastPrinted>
  <dcterms:created xsi:type="dcterms:W3CDTF">2017-01-12T14:53:00Z</dcterms:created>
  <dcterms:modified xsi:type="dcterms:W3CDTF">2017-02-03T19:51:00Z</dcterms:modified>
</cp:coreProperties>
</file>